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APÓLICE DE SEGURO DE RESPONSABILIDADE CIVIL DE ADMINISTRADORES E DIRETORES (D&amp;O)</w:t>
      </w:r>
    </w:p>
    <w:p>
      <w:r>
        <w:rPr>
          <w:b/>
        </w:rPr>
        <w:t>Cerrado Riscos Corporativos S.A. – CNPJ 27.906.331/0001-64 – Código SUSEP 05.230</w:t>
      </w:r>
    </w:p>
    <w:p>
      <w:r>
        <w:rPr>
          <w:color w:val="3B4A5A"/>
          <w:sz w:val="16"/>
        </w:rPr>
        <w:t>Av. T-4, 1.360, sala 1.201, Setor Bueno, Goiânia/GO. Ouvidoria: 0800 500 7310, ouvidoria@cerradoriscos.example.</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3084"/>
            <w:shd w:val="clear" w:fill="E6EAEE"/>
          </w:tcPr>
          <w:p>
            <w:pPr>
              <w:spacing w:after="20"/>
            </w:pPr>
            <w:r>
              <w:rPr>
                <w:sz w:val="17"/>
              </w:rPr>
            </w:r>
            <w:r>
              <w:rPr>
                <w:b/>
                <w:sz w:val="17"/>
              </w:rPr>
              <w:t>Campo</w:t>
            </w:r>
          </w:p>
        </w:tc>
        <w:tc>
          <w:tcPr>
            <w:tcW w:type="dxa" w:w="6554"/>
            <w:shd w:val="clear" w:fill="E6EAEE"/>
          </w:tcPr>
          <w:p>
            <w:pPr>
              <w:spacing w:after="20"/>
            </w:pPr>
            <w:r>
              <w:rPr>
                <w:sz w:val="17"/>
              </w:rPr>
            </w:r>
            <w:r>
              <w:rPr>
                <w:b/>
                <w:sz w:val="17"/>
              </w:rPr>
              <w:t>Informação</w:t>
            </w:r>
          </w:p>
        </w:tc>
      </w:tr>
      <w:tr>
        <w:trPr>
          <w:cantSplit/>
        </w:trPr>
        <w:tc>
          <w:tcPr>
            <w:tcW w:type="dxa" w:w="3084"/>
          </w:tcPr>
          <w:p>
            <w:pPr>
              <w:spacing w:after="20"/>
            </w:pPr>
            <w:r>
              <w:rPr>
                <w:sz w:val="17"/>
              </w:rPr>
              <w:t>Apólice nº</w:t>
            </w:r>
          </w:p>
        </w:tc>
        <w:tc>
          <w:tcPr>
            <w:tcW w:type="dxa" w:w="6554"/>
          </w:tcPr>
          <w:p>
            <w:pPr>
              <w:spacing w:after="20"/>
            </w:pPr>
            <w:r>
              <w:rPr>
                <w:sz w:val="17"/>
              </w:rPr>
              <w:t>CER-0351-2026-000731</w:t>
            </w:r>
          </w:p>
        </w:tc>
      </w:tr>
      <w:tr>
        <w:trPr>
          <w:cantSplit/>
        </w:trPr>
        <w:tc>
          <w:tcPr>
            <w:tcW w:type="dxa" w:w="3084"/>
          </w:tcPr>
          <w:p>
            <w:pPr>
              <w:spacing w:after="20"/>
            </w:pPr>
            <w:r>
              <w:rPr>
                <w:sz w:val="17"/>
              </w:rPr>
              <w:t>Proposta nº</w:t>
            </w:r>
          </w:p>
        </w:tc>
        <w:tc>
          <w:tcPr>
            <w:tcW w:type="dxa" w:w="6554"/>
          </w:tcPr>
          <w:p>
            <w:pPr>
              <w:spacing w:after="20"/>
            </w:pPr>
            <w:r>
              <w:rPr>
                <w:sz w:val="17"/>
              </w:rPr>
              <w:t>CER-P-2026-002904</w:t>
            </w:r>
          </w:p>
        </w:tc>
      </w:tr>
      <w:tr>
        <w:trPr>
          <w:cantSplit/>
        </w:trPr>
        <w:tc>
          <w:tcPr>
            <w:tcW w:type="dxa" w:w="3084"/>
          </w:tcPr>
          <w:p>
            <w:pPr>
              <w:spacing w:after="20"/>
            </w:pPr>
            <w:r>
              <w:rPr>
                <w:sz w:val="17"/>
              </w:rPr>
              <w:t>Processo SUSEP nº</w:t>
            </w:r>
          </w:p>
        </w:tc>
        <w:tc>
          <w:tcPr>
            <w:tcW w:type="dxa" w:w="6554"/>
          </w:tcPr>
          <w:p>
            <w:pPr>
              <w:spacing w:after="20"/>
            </w:pPr>
            <w:r>
              <w:rPr>
                <w:sz w:val="17"/>
              </w:rPr>
              <w:t>15414.700731/2020-58</w:t>
            </w:r>
          </w:p>
        </w:tc>
      </w:tr>
      <w:tr>
        <w:trPr>
          <w:cantSplit/>
        </w:trPr>
        <w:tc>
          <w:tcPr>
            <w:tcW w:type="dxa" w:w="3084"/>
          </w:tcPr>
          <w:p>
            <w:pPr>
              <w:spacing w:after="20"/>
            </w:pPr>
            <w:r>
              <w:rPr>
                <w:sz w:val="17"/>
              </w:rPr>
              <w:t>Ramo / Modalidade</w:t>
            </w:r>
          </w:p>
        </w:tc>
        <w:tc>
          <w:tcPr>
            <w:tcW w:type="dxa" w:w="6554"/>
          </w:tcPr>
          <w:p>
            <w:pPr>
              <w:spacing w:after="20"/>
            </w:pPr>
            <w:r>
              <w:rPr>
                <w:sz w:val="17"/>
              </w:rPr>
              <w:t>0351 – Responsabilidade Civil de Administradores e Diretores (D&amp;O) – base de reclamações (claims made) com notificação</w:t>
            </w:r>
          </w:p>
        </w:tc>
      </w:tr>
      <w:tr>
        <w:trPr>
          <w:cantSplit/>
        </w:trPr>
        <w:tc>
          <w:tcPr>
            <w:tcW w:type="dxa" w:w="3084"/>
          </w:tcPr>
          <w:p>
            <w:pPr>
              <w:spacing w:after="20"/>
            </w:pPr>
            <w:r>
              <w:rPr>
                <w:sz w:val="17"/>
              </w:rPr>
              <w:t>Data de emissão</w:t>
            </w:r>
          </w:p>
        </w:tc>
        <w:tc>
          <w:tcPr>
            <w:tcW w:type="dxa" w:w="6554"/>
          </w:tcPr>
          <w:p>
            <w:pPr>
              <w:spacing w:after="20"/>
            </w:pPr>
            <w:r>
              <w:rPr>
                <w:sz w:val="17"/>
              </w:rPr>
              <w:t>18/09/2026</w:t>
            </w:r>
          </w:p>
        </w:tc>
      </w:tr>
      <w:tr>
        <w:trPr>
          <w:cantSplit/>
        </w:trPr>
        <w:tc>
          <w:tcPr>
            <w:tcW w:type="dxa" w:w="3084"/>
          </w:tcPr>
          <w:p>
            <w:pPr>
              <w:spacing w:after="20"/>
            </w:pPr>
            <w:r>
              <w:rPr>
                <w:sz w:val="17"/>
              </w:rPr>
              <w:t>Vigência</w:t>
            </w:r>
          </w:p>
        </w:tc>
        <w:tc>
          <w:tcPr>
            <w:tcW w:type="dxa" w:w="6554"/>
          </w:tcPr>
          <w:p>
            <w:pPr>
              <w:spacing w:after="20"/>
            </w:pPr>
            <w:r>
              <w:rPr>
                <w:sz w:val="17"/>
              </w:rPr>
              <w:t>Das 24h de 20/10/2026 às 24h de 20/10/2027</w:t>
            </w:r>
          </w:p>
        </w:tc>
      </w:tr>
      <w:tr>
        <w:trPr>
          <w:cantSplit/>
        </w:trPr>
        <w:tc>
          <w:tcPr>
            <w:tcW w:type="dxa" w:w="3084"/>
          </w:tcPr>
          <w:p>
            <w:pPr>
              <w:spacing w:after="20"/>
            </w:pPr>
            <w:r>
              <w:rPr>
                <w:sz w:val="17"/>
              </w:rPr>
              <w:t>Tomador / Segurado principal</w:t>
            </w:r>
          </w:p>
        </w:tc>
        <w:tc>
          <w:tcPr>
            <w:tcW w:type="dxa" w:w="6554"/>
          </w:tcPr>
          <w:p>
            <w:pPr>
              <w:spacing w:after="20"/>
            </w:pPr>
            <w:r>
              <w:rPr>
                <w:sz w:val="17"/>
              </w:rPr>
              <w:t>Agropecuária Vale do Rio Claro S.A. – CNPJ 14.880.276/0001-19</w:t>
            </w:r>
          </w:p>
        </w:tc>
      </w:tr>
      <w:tr>
        <w:trPr>
          <w:cantSplit/>
        </w:trPr>
        <w:tc>
          <w:tcPr>
            <w:tcW w:type="dxa" w:w="3084"/>
          </w:tcPr>
          <w:p>
            <w:pPr>
              <w:spacing w:after="20"/>
            </w:pPr>
            <w:r>
              <w:rPr>
                <w:sz w:val="17"/>
              </w:rPr>
              <w:t>Endereço</w:t>
            </w:r>
          </w:p>
        </w:tc>
        <w:tc>
          <w:tcPr>
            <w:tcW w:type="dxa" w:w="6554"/>
          </w:tcPr>
          <w:p>
            <w:pPr>
              <w:spacing w:after="20"/>
            </w:pPr>
            <w:r>
              <w:rPr>
                <w:sz w:val="17"/>
              </w:rPr>
              <w:t>Rodovia GO-174, km 12, Zona Rural, Rio Verde/GO</w:t>
            </w:r>
          </w:p>
        </w:tc>
      </w:tr>
      <w:tr>
        <w:trPr>
          <w:cantSplit/>
        </w:trPr>
        <w:tc>
          <w:tcPr>
            <w:tcW w:type="dxa" w:w="3084"/>
          </w:tcPr>
          <w:p>
            <w:pPr>
              <w:spacing w:after="20"/>
            </w:pPr>
            <w:r>
              <w:rPr>
                <w:sz w:val="17"/>
              </w:rPr>
              <w:t>Atividade</w:t>
            </w:r>
          </w:p>
        </w:tc>
        <w:tc>
          <w:tcPr>
            <w:tcW w:type="dxa" w:w="6554"/>
          </w:tcPr>
          <w:p>
            <w:pPr>
              <w:spacing w:after="20"/>
            </w:pPr>
            <w:r>
              <w:rPr>
                <w:sz w:val="17"/>
              </w:rPr>
              <w:t>Produção de soja, milho e algodão, beneficiamento e armazenagem de grãos; sociedade anônima de capital fechado, com operações no Paraguai.</w:t>
            </w:r>
          </w:p>
        </w:tc>
      </w:tr>
      <w:tr>
        <w:trPr>
          <w:cantSplit/>
        </w:trPr>
        <w:tc>
          <w:tcPr>
            <w:tcW w:type="dxa" w:w="3084"/>
          </w:tcPr>
          <w:p>
            <w:pPr>
              <w:spacing w:after="20"/>
            </w:pPr>
            <w:r>
              <w:rPr>
                <w:sz w:val="17"/>
              </w:rPr>
              <w:t>Corretor de seguros</w:t>
            </w:r>
          </w:p>
        </w:tc>
        <w:tc>
          <w:tcPr>
            <w:tcW w:type="dxa" w:w="6554"/>
          </w:tcPr>
          <w:p>
            <w:pPr>
              <w:spacing w:after="20"/>
            </w:pPr>
            <w:r>
              <w:rPr>
                <w:sz w:val="17"/>
              </w:rPr>
              <w:t>Safra Grande Corretora de Seguros Ltda. – SUSEP nº 200558316</w:t>
            </w:r>
          </w:p>
        </w:tc>
      </w:tr>
    </w:tbl>
    <w:p>
      <w:pPr>
        <w:spacing w:after="40"/>
      </w:pPr>
    </w:p>
    <w:p>
      <w:pPr>
        <w:jc w:val="both"/>
      </w:pPr>
      <w:r>
        <w:t>A Seguradora, em contraprestação ao prêmio e com base nas declarações prestadas na proposta, garante ao Tomador e aos Segurados as coberturas contratadas indicadas nas Condições Particulares, nos termos destas Condições Gerais e dos endossos emitidos, observada a Circular SUSEP nº 637, de 27 de julho de 2021, e os arts. 757 a 802 do Código Civil (Lei nº 10.406/2002).</w:t>
      </w:r>
    </w:p>
    <w:p>
      <w:r>
        <w:rPr>
          <w:color w:val="3B4A5A"/>
          <w:sz w:val="16"/>
        </w:rPr>
        <w:t>Documento fictício, criado exclusivamente para testes do ClauseAI. As empresas, números, processos e pessoas citados não existem e o texto não tem valor contratual. O registro do produto na SUSEP é automático e não representa aprovação ou recomendação por parte da autarquia.</w:t>
      </w:r>
    </w:p>
    <w:p>
      <w:r>
        <w:br w:type="page"/>
      </w:r>
    </w:p>
    <w:p>
      <w:pPr>
        <w:pStyle w:val="Heading1"/>
      </w:pPr>
      <w:r>
        <w:t>SEÇÃO I – CONDIÇÕES PARTICULARES E QUADRO RESUMO</w:t>
      </w:r>
    </w:p>
    <w:p>
      <w:pPr>
        <w:jc w:val="both"/>
      </w:pPr>
      <w:r>
        <w:t>Apólice nº CER-0351-2026-000731 · Tomador: Agropecuária Vale do Rio Claro S.A.. Somente as coberturas indicadas como Contratada estão em vigor. As coberturas Não contratadas ou Excluídas não geram direito a indenização, ainda que mencionadas nas Condições Gerais.</w:t>
      </w:r>
    </w:p>
    <w:p>
      <w:pPr>
        <w:keepNext/>
        <w:spacing w:before="160"/>
      </w:pPr>
      <w:r>
        <w:rPr>
          <w:b/>
          <w:color w:val="3B4A5A"/>
        </w:rPr>
        <w:t>Quadro 1 – Limite, moeda e prêmio</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3277"/>
            <w:shd w:val="clear" w:fill="E6EAEE"/>
          </w:tcPr>
          <w:p>
            <w:pPr>
              <w:spacing w:after="20"/>
            </w:pPr>
            <w:r>
              <w:rPr>
                <w:sz w:val="17"/>
              </w:rPr>
            </w:r>
            <w:r>
              <w:rPr>
                <w:b/>
                <w:sz w:val="17"/>
              </w:rPr>
              <w:t>Item</w:t>
            </w:r>
          </w:p>
        </w:tc>
        <w:tc>
          <w:tcPr>
            <w:tcW w:type="dxa" w:w="6361"/>
            <w:shd w:val="clear" w:fill="E6EAEE"/>
          </w:tcPr>
          <w:p>
            <w:pPr>
              <w:spacing w:after="20"/>
            </w:pPr>
            <w:r>
              <w:rPr>
                <w:sz w:val="17"/>
              </w:rPr>
            </w:r>
            <w:r>
              <w:rPr>
                <w:b/>
                <w:sz w:val="17"/>
              </w:rPr>
              <w:t>Condição</w:t>
            </w:r>
          </w:p>
        </w:tc>
      </w:tr>
      <w:tr>
        <w:trPr>
          <w:cantSplit/>
        </w:trPr>
        <w:tc>
          <w:tcPr>
            <w:tcW w:type="dxa" w:w="3277"/>
          </w:tcPr>
          <w:p>
            <w:pPr>
              <w:spacing w:after="20"/>
            </w:pPr>
            <w:r>
              <w:rPr>
                <w:sz w:val="17"/>
              </w:rPr>
              <w:t>Limite Máximo de Garantia (LMG)</w:t>
            </w:r>
          </w:p>
        </w:tc>
        <w:tc>
          <w:tcPr>
            <w:tcW w:type="dxa" w:w="6361"/>
          </w:tcPr>
          <w:p>
            <w:pPr>
              <w:spacing w:after="20"/>
            </w:pPr>
            <w:r>
              <w:rPr>
                <w:sz w:val="17"/>
              </w:rPr>
              <w:t>R$ 30.000.000,00 por vigência, em base agregada, para todas as Coberturas, Perdas e Custos de Defesa, salvo quando indicado em contrário.</w:t>
            </w:r>
          </w:p>
        </w:tc>
      </w:tr>
      <w:tr>
        <w:trPr>
          <w:cantSplit/>
        </w:trPr>
        <w:tc>
          <w:tcPr>
            <w:tcW w:type="dxa" w:w="3277"/>
          </w:tcPr>
          <w:p>
            <w:pPr>
              <w:spacing w:after="20"/>
            </w:pPr>
            <w:r>
              <w:rPr>
                <w:sz w:val="17"/>
              </w:rPr>
              <w:t>Limite adicional exclusivo da Cobertura A (DIC)</w:t>
            </w:r>
          </w:p>
        </w:tc>
        <w:tc>
          <w:tcPr>
            <w:tcW w:type="dxa" w:w="6361"/>
          </w:tcPr>
          <w:p>
            <w:pPr>
              <w:spacing w:after="20"/>
            </w:pPr>
            <w:r>
              <w:rPr>
                <w:sz w:val="17"/>
              </w:rPr>
              <w:t>Não contratado.</w:t>
            </w:r>
          </w:p>
        </w:tc>
      </w:tr>
      <w:tr>
        <w:trPr>
          <w:cantSplit/>
        </w:trPr>
        <w:tc>
          <w:tcPr>
            <w:tcW w:type="dxa" w:w="3277"/>
          </w:tcPr>
          <w:p>
            <w:pPr>
              <w:spacing w:after="20"/>
            </w:pPr>
            <w:r>
              <w:rPr>
                <w:sz w:val="17"/>
              </w:rPr>
              <w:t>Moeda</w:t>
            </w:r>
          </w:p>
        </w:tc>
        <w:tc>
          <w:tcPr>
            <w:tcW w:type="dxa" w:w="6361"/>
          </w:tcPr>
          <w:p>
            <w:pPr>
              <w:spacing w:after="20"/>
            </w:pPr>
            <w:r>
              <w:rPr>
                <w:sz w:val="17"/>
              </w:rPr>
              <w:t>Real (R$). Reclamações em moeda estrangeira serão convertidas pela taxa PTAX de venda do Banco Central do Brasil na data do pagamento.</w:t>
            </w:r>
          </w:p>
        </w:tc>
      </w:tr>
      <w:tr>
        <w:trPr>
          <w:cantSplit/>
        </w:trPr>
        <w:tc>
          <w:tcPr>
            <w:tcW w:type="dxa" w:w="3277"/>
          </w:tcPr>
          <w:p>
            <w:pPr>
              <w:spacing w:after="20"/>
            </w:pPr>
            <w:r>
              <w:rPr>
                <w:sz w:val="17"/>
              </w:rPr>
              <w:t>Prêmio líquido</w:t>
            </w:r>
          </w:p>
        </w:tc>
        <w:tc>
          <w:tcPr>
            <w:tcW w:type="dxa" w:w="6361"/>
          </w:tcPr>
          <w:p>
            <w:pPr>
              <w:spacing w:after="20"/>
            </w:pPr>
            <w:r>
              <w:rPr>
                <w:sz w:val="17"/>
              </w:rPr>
              <w:t>R$ 468.000,00</w:t>
            </w:r>
          </w:p>
        </w:tc>
      </w:tr>
      <w:tr>
        <w:trPr>
          <w:cantSplit/>
        </w:trPr>
        <w:tc>
          <w:tcPr>
            <w:tcW w:type="dxa" w:w="3277"/>
          </w:tcPr>
          <w:p>
            <w:pPr>
              <w:spacing w:after="20"/>
            </w:pPr>
            <w:r>
              <w:rPr>
                <w:sz w:val="17"/>
              </w:rPr>
              <w:t>IOF (7,38%)</w:t>
            </w:r>
          </w:p>
        </w:tc>
        <w:tc>
          <w:tcPr>
            <w:tcW w:type="dxa" w:w="6361"/>
          </w:tcPr>
          <w:p>
            <w:pPr>
              <w:spacing w:after="20"/>
            </w:pPr>
            <w:r>
              <w:rPr>
                <w:sz w:val="17"/>
              </w:rPr>
              <w:t>R$ 34.538,00</w:t>
            </w:r>
          </w:p>
        </w:tc>
      </w:tr>
      <w:tr>
        <w:trPr>
          <w:cantSplit/>
        </w:trPr>
        <w:tc>
          <w:tcPr>
            <w:tcW w:type="dxa" w:w="3277"/>
          </w:tcPr>
          <w:p>
            <w:pPr>
              <w:spacing w:after="20"/>
            </w:pPr>
            <w:r>
              <w:rPr>
                <w:sz w:val="17"/>
              </w:rPr>
              <w:t>Prêmio total</w:t>
            </w:r>
          </w:p>
        </w:tc>
        <w:tc>
          <w:tcPr>
            <w:tcW w:type="dxa" w:w="6361"/>
          </w:tcPr>
          <w:p>
            <w:pPr>
              <w:spacing w:after="20"/>
            </w:pPr>
            <w:r>
              <w:rPr>
                <w:sz w:val="17"/>
              </w:rPr>
              <w:t>R$ 502.538,00, em 5 parcelas mensais de R$ 100.507,00</w:t>
            </w:r>
          </w:p>
        </w:tc>
      </w:tr>
    </w:tbl>
    <w:p>
      <w:pPr>
        <w:spacing w:after="40"/>
      </w:pPr>
    </w:p>
    <w:p>
      <w:pPr>
        <w:keepNext/>
        <w:spacing w:before="160"/>
      </w:pPr>
      <w:r>
        <w:rPr>
          <w:b/>
          <w:color w:val="3B4A5A"/>
        </w:rPr>
        <w:t>Quadro 2 – Limite Máximo de Garantia, coberturas e sublimites</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trPr>
        <w:tc>
          <w:tcPr>
            <w:tcW w:type="dxa" w:w="3662"/>
            <w:shd w:val="clear" w:fill="E6EAEE"/>
          </w:tcPr>
          <w:p>
            <w:pPr>
              <w:spacing w:after="20"/>
            </w:pPr>
            <w:r>
              <w:rPr>
                <w:sz w:val="17"/>
              </w:rPr>
            </w:r>
            <w:r>
              <w:rPr>
                <w:b/>
                <w:sz w:val="17"/>
              </w:rPr>
              <w:t>Cobertura</w:t>
            </w:r>
          </w:p>
        </w:tc>
        <w:tc>
          <w:tcPr>
            <w:tcW w:type="dxa" w:w="1349"/>
            <w:shd w:val="clear" w:fill="E6EAEE"/>
          </w:tcPr>
          <w:p>
            <w:pPr>
              <w:spacing w:after="20"/>
            </w:pPr>
            <w:r>
              <w:rPr>
                <w:sz w:val="17"/>
              </w:rPr>
            </w:r>
            <w:r>
              <w:rPr>
                <w:b/>
                <w:sz w:val="17"/>
              </w:rPr>
              <w:t>Situação</w:t>
            </w:r>
          </w:p>
        </w:tc>
        <w:tc>
          <w:tcPr>
            <w:tcW w:type="dxa" w:w="2506"/>
            <w:shd w:val="clear" w:fill="E6EAEE"/>
          </w:tcPr>
          <w:p>
            <w:pPr>
              <w:spacing w:after="20"/>
            </w:pPr>
            <w:r>
              <w:rPr>
                <w:sz w:val="17"/>
              </w:rPr>
            </w:r>
            <w:r>
              <w:rPr>
                <w:b/>
                <w:sz w:val="17"/>
              </w:rPr>
              <w:t>Limite / Sublimite</w:t>
            </w:r>
          </w:p>
        </w:tc>
        <w:tc>
          <w:tcPr>
            <w:tcW w:type="dxa" w:w="2120"/>
            <w:shd w:val="clear" w:fill="E6EAEE"/>
          </w:tcPr>
          <w:p>
            <w:pPr>
              <w:spacing w:after="20"/>
            </w:pPr>
            <w:r>
              <w:rPr>
                <w:sz w:val="17"/>
              </w:rPr>
            </w:r>
            <w:r>
              <w:rPr>
                <w:b/>
                <w:sz w:val="17"/>
              </w:rPr>
              <w:t>Franquia</w:t>
            </w:r>
          </w:p>
        </w:tc>
      </w:tr>
      <w:tr>
        <w:trPr>
          <w:cantSplit/>
        </w:trPr>
        <w:tc>
          <w:tcPr>
            <w:tcW w:type="dxa" w:w="3662"/>
          </w:tcPr>
          <w:p>
            <w:pPr>
              <w:spacing w:after="20"/>
            </w:pPr>
            <w:r>
              <w:rPr>
                <w:sz w:val="17"/>
              </w:rPr>
              <w:t>Cobertura A – Reembolso em nome dos Administradores</w:t>
            </w:r>
          </w:p>
        </w:tc>
        <w:tc>
          <w:tcPr>
            <w:tcW w:type="dxa" w:w="1349"/>
          </w:tcPr>
          <w:p>
            <w:pPr>
              <w:spacing w:after="20"/>
            </w:pPr>
            <w:r>
              <w:rPr>
                <w:sz w:val="17"/>
              </w:rPr>
              <w:t>Contratada</w:t>
            </w:r>
          </w:p>
        </w:tc>
        <w:tc>
          <w:tcPr>
            <w:tcW w:type="dxa" w:w="2506"/>
          </w:tcPr>
          <w:p>
            <w:pPr>
              <w:spacing w:after="20"/>
            </w:pPr>
            <w:r>
              <w:rPr>
                <w:sz w:val="17"/>
              </w:rPr>
              <w:t>R$ 30.000.000,00</w:t>
            </w:r>
          </w:p>
        </w:tc>
        <w:tc>
          <w:tcPr>
            <w:tcW w:type="dxa" w:w="2120"/>
          </w:tcPr>
          <w:p>
            <w:pPr>
              <w:spacing w:after="20"/>
            </w:pPr>
            <w:r>
              <w:rPr>
                <w:sz w:val="17"/>
              </w:rPr>
              <w:t>Sem franquia</w:t>
            </w:r>
          </w:p>
        </w:tc>
      </w:tr>
      <w:tr>
        <w:trPr>
          <w:cantSplit/>
        </w:trPr>
        <w:tc>
          <w:tcPr>
            <w:tcW w:type="dxa" w:w="3662"/>
          </w:tcPr>
          <w:p>
            <w:pPr>
              <w:spacing w:after="20"/>
            </w:pPr>
            <w:r>
              <w:rPr>
                <w:sz w:val="17"/>
              </w:rPr>
              <w:t>Cobertura B – Reembolso à Sociedade</w:t>
            </w:r>
          </w:p>
        </w:tc>
        <w:tc>
          <w:tcPr>
            <w:tcW w:type="dxa" w:w="1349"/>
          </w:tcPr>
          <w:p>
            <w:pPr>
              <w:spacing w:after="20"/>
            </w:pPr>
            <w:r>
              <w:rPr>
                <w:sz w:val="17"/>
              </w:rPr>
              <w:t>Contratada</w:t>
            </w:r>
          </w:p>
        </w:tc>
        <w:tc>
          <w:tcPr>
            <w:tcW w:type="dxa" w:w="2506"/>
          </w:tcPr>
          <w:p>
            <w:pPr>
              <w:spacing w:after="20"/>
            </w:pPr>
            <w:r>
              <w:rPr>
                <w:sz w:val="17"/>
              </w:rPr>
              <w:t>R$ 30.000.000,00</w:t>
            </w:r>
          </w:p>
        </w:tc>
        <w:tc>
          <w:tcPr>
            <w:tcW w:type="dxa" w:w="2120"/>
          </w:tcPr>
          <w:p>
            <w:pPr>
              <w:spacing w:after="20"/>
            </w:pPr>
            <w:r>
              <w:rPr>
                <w:sz w:val="17"/>
              </w:rPr>
              <w:t>R$ 150.000,00 por Reclamação</w:t>
            </w:r>
          </w:p>
        </w:tc>
      </w:tr>
      <w:tr>
        <w:trPr>
          <w:cantSplit/>
        </w:trPr>
        <w:tc>
          <w:tcPr>
            <w:tcW w:type="dxa" w:w="3662"/>
          </w:tcPr>
          <w:p>
            <w:pPr>
              <w:spacing w:after="20"/>
            </w:pPr>
            <w:r>
              <w:rPr>
                <w:sz w:val="17"/>
              </w:rPr>
              <w:t>Cobertura C – Reclamações de Mercado de Capitais</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Custos de Defesa (adiantamento)</w:t>
            </w:r>
          </w:p>
        </w:tc>
        <w:tc>
          <w:tcPr>
            <w:tcW w:type="dxa" w:w="1349"/>
          </w:tcPr>
          <w:p>
            <w:pPr>
              <w:spacing w:after="20"/>
            </w:pPr>
            <w:r>
              <w:rPr>
                <w:sz w:val="17"/>
              </w:rPr>
              <w:t>Contratada</w:t>
            </w:r>
          </w:p>
        </w:tc>
        <w:tc>
          <w:tcPr>
            <w:tcW w:type="dxa" w:w="2506"/>
          </w:tcPr>
          <w:p>
            <w:pPr>
              <w:spacing w:after="20"/>
            </w:pPr>
            <w:r>
              <w:rPr>
                <w:sz w:val="17"/>
              </w:rPr>
              <w:t>Adicional ao LMG, até R$ 7.500.000,00</w:t>
            </w:r>
          </w:p>
        </w:tc>
        <w:tc>
          <w:tcPr>
            <w:tcW w:type="dxa" w:w="2120"/>
          </w:tcPr>
          <w:p>
            <w:pPr>
              <w:spacing w:after="20"/>
            </w:pPr>
            <w:r>
              <w:rPr>
                <w:sz w:val="17"/>
              </w:rPr>
              <w:t>Conforme Cobertura B</w:t>
            </w:r>
          </w:p>
        </w:tc>
      </w:tr>
      <w:tr>
        <w:trPr>
          <w:cantSplit/>
        </w:trPr>
        <w:tc>
          <w:tcPr>
            <w:tcW w:type="dxa" w:w="3662"/>
          </w:tcPr>
          <w:p>
            <w:pPr>
              <w:spacing w:after="20"/>
            </w:pPr>
            <w:r>
              <w:rPr>
                <w:sz w:val="17"/>
              </w:rPr>
              <w:t>Custos de Defesa – Bens e Liberdade</w:t>
            </w:r>
          </w:p>
        </w:tc>
        <w:tc>
          <w:tcPr>
            <w:tcW w:type="dxa" w:w="1349"/>
          </w:tcPr>
          <w:p>
            <w:pPr>
              <w:spacing w:after="20"/>
            </w:pPr>
            <w:r>
              <w:rPr>
                <w:sz w:val="17"/>
              </w:rPr>
              <w:t>Contratada</w:t>
            </w:r>
          </w:p>
        </w:tc>
        <w:tc>
          <w:tcPr>
            <w:tcW w:type="dxa" w:w="2506"/>
          </w:tcPr>
          <w:p>
            <w:pPr>
              <w:spacing w:after="20"/>
            </w:pPr>
            <w:r>
              <w:rPr>
                <w:sz w:val="17"/>
              </w:rPr>
              <w:t>R$ 3.000.000,00</w:t>
            </w:r>
          </w:p>
        </w:tc>
        <w:tc>
          <w:tcPr>
            <w:tcW w:type="dxa" w:w="2120"/>
          </w:tcPr>
          <w:p>
            <w:pPr>
              <w:spacing w:after="20"/>
            </w:pPr>
            <w:r>
              <w:rPr>
                <w:sz w:val="17"/>
              </w:rPr>
              <w:t>Conforme Cobertura B</w:t>
            </w:r>
          </w:p>
        </w:tc>
      </w:tr>
      <w:tr>
        <w:trPr>
          <w:cantSplit/>
        </w:trPr>
        <w:tc>
          <w:tcPr>
            <w:tcW w:type="dxa" w:w="3662"/>
          </w:tcPr>
          <w:p>
            <w:pPr>
              <w:spacing w:after="20"/>
            </w:pPr>
            <w:r>
              <w:rPr>
                <w:sz w:val="17"/>
              </w:rPr>
              <w:t>Bloqueio e Indisponibilidade de Bens e Penhora On-line</w:t>
            </w:r>
          </w:p>
        </w:tc>
        <w:tc>
          <w:tcPr>
            <w:tcW w:type="dxa" w:w="1349"/>
          </w:tcPr>
          <w:p>
            <w:pPr>
              <w:spacing w:after="20"/>
            </w:pPr>
            <w:r>
              <w:rPr>
                <w:sz w:val="17"/>
              </w:rPr>
              <w:t>Contratada</w:t>
            </w:r>
          </w:p>
        </w:tc>
        <w:tc>
          <w:tcPr>
            <w:tcW w:type="dxa" w:w="2506"/>
          </w:tcPr>
          <w:p>
            <w:pPr>
              <w:spacing w:after="20"/>
            </w:pPr>
            <w:r>
              <w:rPr>
                <w:sz w:val="17"/>
              </w:rPr>
              <w:t>R$ 2.000.000,00</w:t>
            </w:r>
          </w:p>
        </w:tc>
        <w:tc>
          <w:tcPr>
            <w:tcW w:type="dxa" w:w="2120"/>
          </w:tcPr>
          <w:p>
            <w:pPr>
              <w:spacing w:after="20"/>
            </w:pPr>
            <w:r>
              <w:rPr>
                <w:sz w:val="17"/>
              </w:rPr>
              <w:t>Conforme Cobertura B</w:t>
            </w:r>
          </w:p>
        </w:tc>
      </w:tr>
      <w:tr>
        <w:trPr>
          <w:cantSplit/>
        </w:trPr>
        <w:tc>
          <w:tcPr>
            <w:tcW w:type="dxa" w:w="3662"/>
          </w:tcPr>
          <w:p>
            <w:pPr>
              <w:spacing w:after="20"/>
            </w:pPr>
            <w:r>
              <w:rPr>
                <w:sz w:val="17"/>
              </w:rPr>
              <w:t>Depósitos Recursais, Cauções e Garantias Judiciais</w:t>
            </w:r>
          </w:p>
        </w:tc>
        <w:tc>
          <w:tcPr>
            <w:tcW w:type="dxa" w:w="1349"/>
          </w:tcPr>
          <w:p>
            <w:pPr>
              <w:spacing w:after="20"/>
            </w:pPr>
            <w:r>
              <w:rPr>
                <w:sz w:val="17"/>
              </w:rPr>
              <w:t>Contratada</w:t>
            </w:r>
          </w:p>
        </w:tc>
        <w:tc>
          <w:tcPr>
            <w:tcW w:type="dxa" w:w="2506"/>
          </w:tcPr>
          <w:p>
            <w:pPr>
              <w:spacing w:after="20"/>
            </w:pPr>
            <w:r>
              <w:rPr>
                <w:sz w:val="17"/>
              </w:rPr>
              <w:t>R$ 2.000.000,00</w:t>
            </w:r>
          </w:p>
        </w:tc>
        <w:tc>
          <w:tcPr>
            <w:tcW w:type="dxa" w:w="2120"/>
          </w:tcPr>
          <w:p>
            <w:pPr>
              <w:spacing w:after="20"/>
            </w:pPr>
            <w:r>
              <w:rPr>
                <w:sz w:val="17"/>
              </w:rPr>
              <w:t>Conforme Cobertura B</w:t>
            </w:r>
          </w:p>
        </w:tc>
      </w:tr>
      <w:tr>
        <w:trPr>
          <w:cantSplit/>
        </w:trPr>
        <w:tc>
          <w:tcPr>
            <w:tcW w:type="dxa" w:w="3662"/>
          </w:tcPr>
          <w:p>
            <w:pPr>
              <w:spacing w:after="20"/>
            </w:pPr>
            <w:r>
              <w:rPr>
                <w:sz w:val="17"/>
              </w:rPr>
              <w:t>Custos Emergenciais de Defesa</w:t>
            </w:r>
          </w:p>
        </w:tc>
        <w:tc>
          <w:tcPr>
            <w:tcW w:type="dxa" w:w="1349"/>
          </w:tcPr>
          <w:p>
            <w:pPr>
              <w:spacing w:after="20"/>
            </w:pPr>
            <w:r>
              <w:rPr>
                <w:sz w:val="17"/>
              </w:rPr>
              <w:t>Contratada</w:t>
            </w:r>
          </w:p>
        </w:tc>
        <w:tc>
          <w:tcPr>
            <w:tcW w:type="dxa" w:w="2506"/>
          </w:tcPr>
          <w:p>
            <w:pPr>
              <w:spacing w:after="20"/>
            </w:pPr>
            <w:r>
              <w:rPr>
                <w:sz w:val="17"/>
              </w:rPr>
              <w:t>R$ 500.000,00</w:t>
            </w:r>
          </w:p>
        </w:tc>
        <w:tc>
          <w:tcPr>
            <w:tcW w:type="dxa" w:w="2120"/>
          </w:tcPr>
          <w:p>
            <w:pPr>
              <w:spacing w:after="20"/>
            </w:pPr>
            <w:r>
              <w:rPr>
                <w:sz w:val="17"/>
              </w:rPr>
              <w:t>Conforme Cobertura B</w:t>
            </w:r>
          </w:p>
        </w:tc>
      </w:tr>
      <w:tr>
        <w:trPr>
          <w:cantSplit/>
        </w:trPr>
        <w:tc>
          <w:tcPr>
            <w:tcW w:type="dxa" w:w="3662"/>
          </w:tcPr>
          <w:p>
            <w:pPr>
              <w:spacing w:after="20"/>
            </w:pPr>
            <w:r>
              <w:rPr>
                <w:sz w:val="17"/>
              </w:rPr>
              <w:t>Custos de Investigação</w:t>
            </w:r>
          </w:p>
        </w:tc>
        <w:tc>
          <w:tcPr>
            <w:tcW w:type="dxa" w:w="1349"/>
          </w:tcPr>
          <w:p>
            <w:pPr>
              <w:spacing w:after="20"/>
            </w:pPr>
            <w:r>
              <w:rPr>
                <w:sz w:val="17"/>
              </w:rPr>
              <w:t>Contratada</w:t>
            </w:r>
          </w:p>
        </w:tc>
        <w:tc>
          <w:tcPr>
            <w:tcW w:type="dxa" w:w="2506"/>
          </w:tcPr>
          <w:p>
            <w:pPr>
              <w:spacing w:after="20"/>
            </w:pPr>
            <w:r>
              <w:rPr>
                <w:sz w:val="17"/>
              </w:rPr>
              <w:t>R$ 3.000.000,00</w:t>
            </w:r>
          </w:p>
        </w:tc>
        <w:tc>
          <w:tcPr>
            <w:tcW w:type="dxa" w:w="2120"/>
          </w:tcPr>
          <w:p>
            <w:pPr>
              <w:spacing w:after="20"/>
            </w:pPr>
            <w:r>
              <w:rPr>
                <w:sz w:val="17"/>
              </w:rPr>
              <w:t>Conforme Cobertura B</w:t>
            </w:r>
          </w:p>
        </w:tc>
      </w:tr>
      <w:tr>
        <w:trPr>
          <w:cantSplit/>
        </w:trPr>
        <w:tc>
          <w:tcPr>
            <w:tcW w:type="dxa" w:w="3662"/>
          </w:tcPr>
          <w:p>
            <w:pPr>
              <w:spacing w:after="20"/>
            </w:pPr>
            <w:r>
              <w:rPr>
                <w:sz w:val="17"/>
              </w:rPr>
              <w:t>Salvamento e Contenção</w:t>
            </w:r>
          </w:p>
        </w:tc>
        <w:tc>
          <w:tcPr>
            <w:tcW w:type="dxa" w:w="1349"/>
          </w:tcPr>
          <w:p>
            <w:pPr>
              <w:spacing w:after="20"/>
            </w:pPr>
            <w:r>
              <w:rPr>
                <w:sz w:val="17"/>
              </w:rPr>
              <w:t>Contratada</w:t>
            </w:r>
          </w:p>
        </w:tc>
        <w:tc>
          <w:tcPr>
            <w:tcW w:type="dxa" w:w="2506"/>
          </w:tcPr>
          <w:p>
            <w:pPr>
              <w:spacing w:after="20"/>
            </w:pPr>
            <w:r>
              <w:rPr>
                <w:sz w:val="17"/>
              </w:rPr>
              <w:t>R$ 1.000.000,00</w:t>
            </w:r>
          </w:p>
        </w:tc>
        <w:tc>
          <w:tcPr>
            <w:tcW w:type="dxa" w:w="2120"/>
          </w:tcPr>
          <w:p>
            <w:pPr>
              <w:spacing w:after="20"/>
            </w:pPr>
            <w:r>
              <w:rPr>
                <w:sz w:val="17"/>
              </w:rPr>
              <w:t>Conforme Cobertura B</w:t>
            </w:r>
          </w:p>
        </w:tc>
      </w:tr>
      <w:tr>
        <w:trPr>
          <w:cantSplit/>
        </w:trPr>
        <w:tc>
          <w:tcPr>
            <w:tcW w:type="dxa" w:w="3662"/>
          </w:tcPr>
          <w:p>
            <w:pPr>
              <w:spacing w:after="20"/>
            </w:pPr>
            <w:r>
              <w:rPr>
                <w:sz w:val="17"/>
              </w:rPr>
              <w:t>Diretor de Entidade Externa</w:t>
            </w:r>
          </w:p>
        </w:tc>
        <w:tc>
          <w:tcPr>
            <w:tcW w:type="dxa" w:w="1349"/>
          </w:tcPr>
          <w:p>
            <w:pPr>
              <w:spacing w:after="20"/>
            </w:pPr>
            <w:r>
              <w:rPr>
                <w:sz w:val="17"/>
              </w:rPr>
              <w:t>Contratada</w:t>
            </w:r>
          </w:p>
        </w:tc>
        <w:tc>
          <w:tcPr>
            <w:tcW w:type="dxa" w:w="2506"/>
          </w:tcPr>
          <w:p>
            <w:pPr>
              <w:spacing w:after="20"/>
            </w:pPr>
            <w:r>
              <w:rPr>
                <w:sz w:val="17"/>
              </w:rPr>
              <w:t>R$ 1.000.000,00</w:t>
            </w:r>
          </w:p>
        </w:tc>
        <w:tc>
          <w:tcPr>
            <w:tcW w:type="dxa" w:w="2120"/>
          </w:tcPr>
          <w:p>
            <w:pPr>
              <w:spacing w:after="20"/>
            </w:pPr>
            <w:r>
              <w:rPr>
                <w:sz w:val="17"/>
              </w:rPr>
              <w:t>Conforme Cobertura B</w:t>
            </w:r>
          </w:p>
        </w:tc>
      </w:tr>
      <w:tr>
        <w:trPr>
          <w:cantSplit/>
        </w:trPr>
        <w:tc>
          <w:tcPr>
            <w:tcW w:type="dxa" w:w="3662"/>
          </w:tcPr>
          <w:p>
            <w:pPr>
              <w:spacing w:after="20"/>
            </w:pPr>
            <w:r>
              <w:rPr>
                <w:sz w:val="17"/>
              </w:rPr>
              <w:t>Extradição</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Avalistas, Fiadores e Fiel Depositário</w:t>
            </w:r>
          </w:p>
        </w:tc>
        <w:tc>
          <w:tcPr>
            <w:tcW w:type="dxa" w:w="1349"/>
          </w:tcPr>
          <w:p>
            <w:pPr>
              <w:spacing w:after="20"/>
            </w:pPr>
            <w:r>
              <w:rPr>
                <w:sz w:val="17"/>
              </w:rPr>
              <w:t>Contratada</w:t>
            </w:r>
          </w:p>
        </w:tc>
        <w:tc>
          <w:tcPr>
            <w:tcW w:type="dxa" w:w="2506"/>
          </w:tcPr>
          <w:p>
            <w:pPr>
              <w:spacing w:after="20"/>
            </w:pPr>
            <w:r>
              <w:rPr>
                <w:sz w:val="17"/>
              </w:rPr>
              <w:t>R$ 5.000.000,00</w:t>
            </w:r>
          </w:p>
        </w:tc>
        <w:tc>
          <w:tcPr>
            <w:tcW w:type="dxa" w:w="2120"/>
          </w:tcPr>
          <w:p>
            <w:pPr>
              <w:spacing w:after="20"/>
            </w:pPr>
            <w:r>
              <w:rPr>
                <w:sz w:val="17"/>
              </w:rPr>
              <w:t>Conforme Cobertura B</w:t>
            </w:r>
          </w:p>
        </w:tc>
      </w:tr>
      <w:tr>
        <w:trPr>
          <w:cantSplit/>
        </w:trPr>
        <w:tc>
          <w:tcPr>
            <w:tcW w:type="dxa" w:w="3662"/>
          </w:tcPr>
          <w:p>
            <w:pPr>
              <w:spacing w:after="20"/>
            </w:pPr>
            <w:r>
              <w:rPr>
                <w:sz w:val="17"/>
              </w:rPr>
              <w:t>Inabilitação de Segurado</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Multas e Penalidades</w:t>
            </w:r>
          </w:p>
        </w:tc>
        <w:tc>
          <w:tcPr>
            <w:tcW w:type="dxa" w:w="1349"/>
          </w:tcPr>
          <w:p>
            <w:pPr>
              <w:spacing w:after="20"/>
            </w:pPr>
            <w:r>
              <w:rPr>
                <w:sz w:val="17"/>
              </w:rPr>
              <w:t>Contratada</w:t>
            </w:r>
          </w:p>
        </w:tc>
        <w:tc>
          <w:tcPr>
            <w:tcW w:type="dxa" w:w="2506"/>
          </w:tcPr>
          <w:p>
            <w:pPr>
              <w:spacing w:after="20"/>
            </w:pPr>
            <w:r>
              <w:rPr>
                <w:sz w:val="17"/>
              </w:rPr>
              <w:t>R$ 5.000.000,00</w:t>
            </w:r>
          </w:p>
        </w:tc>
        <w:tc>
          <w:tcPr>
            <w:tcW w:type="dxa" w:w="2120"/>
          </w:tcPr>
          <w:p>
            <w:pPr>
              <w:spacing w:after="20"/>
            </w:pPr>
            <w:r>
              <w:rPr>
                <w:sz w:val="17"/>
              </w:rPr>
              <w:t>Conforme Cobertura B</w:t>
            </w:r>
          </w:p>
        </w:tc>
      </w:tr>
      <w:tr>
        <w:trPr>
          <w:cantSplit/>
        </w:trPr>
        <w:tc>
          <w:tcPr>
            <w:tcW w:type="dxa" w:w="3662"/>
          </w:tcPr>
          <w:p>
            <w:pPr>
              <w:spacing w:after="20"/>
            </w:pPr>
            <w:r>
              <w:rPr>
                <w:sz w:val="17"/>
              </w:rPr>
              <w:t>Novas Subsidiárias</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Práticas Trabalhistas Indevidas</w:t>
            </w:r>
          </w:p>
        </w:tc>
        <w:tc>
          <w:tcPr>
            <w:tcW w:type="dxa" w:w="1349"/>
          </w:tcPr>
          <w:p>
            <w:pPr>
              <w:spacing w:after="20"/>
            </w:pPr>
            <w:r>
              <w:rPr>
                <w:sz w:val="17"/>
              </w:rPr>
              <w:t>Contratada</w:t>
            </w:r>
          </w:p>
        </w:tc>
        <w:tc>
          <w:tcPr>
            <w:tcW w:type="dxa" w:w="2506"/>
          </w:tcPr>
          <w:p>
            <w:pPr>
              <w:spacing w:after="20"/>
            </w:pPr>
            <w:r>
              <w:rPr>
                <w:sz w:val="17"/>
              </w:rPr>
              <w:t>R$ 5.000.000,00</w:t>
            </w:r>
          </w:p>
        </w:tc>
        <w:tc>
          <w:tcPr>
            <w:tcW w:type="dxa" w:w="2120"/>
          </w:tcPr>
          <w:p>
            <w:pPr>
              <w:spacing w:after="20"/>
            </w:pPr>
            <w:r>
              <w:rPr>
                <w:sz w:val="17"/>
              </w:rPr>
              <w:t>Conforme Cobertura B</w:t>
            </w:r>
          </w:p>
        </w:tc>
      </w:tr>
      <w:tr>
        <w:trPr>
          <w:cantSplit/>
        </w:trPr>
        <w:tc>
          <w:tcPr>
            <w:tcW w:type="dxa" w:w="3662"/>
          </w:tcPr>
          <w:p>
            <w:pPr>
              <w:spacing w:after="20"/>
            </w:pPr>
            <w:r>
              <w:rPr>
                <w:sz w:val="17"/>
              </w:rPr>
              <w:t>Proteção da Imagem Pessoal e Relações Públicas</w:t>
            </w:r>
          </w:p>
        </w:tc>
        <w:tc>
          <w:tcPr>
            <w:tcW w:type="dxa" w:w="1349"/>
          </w:tcPr>
          <w:p>
            <w:pPr>
              <w:spacing w:after="20"/>
            </w:pPr>
            <w:r>
              <w:rPr>
                <w:sz w:val="17"/>
              </w:rPr>
              <w:t>Contratada</w:t>
            </w:r>
          </w:p>
        </w:tc>
        <w:tc>
          <w:tcPr>
            <w:tcW w:type="dxa" w:w="2506"/>
          </w:tcPr>
          <w:p>
            <w:pPr>
              <w:spacing w:after="20"/>
            </w:pPr>
            <w:r>
              <w:rPr>
                <w:sz w:val="17"/>
              </w:rPr>
              <w:t>R$ 500.000,00</w:t>
            </w:r>
          </w:p>
        </w:tc>
        <w:tc>
          <w:tcPr>
            <w:tcW w:type="dxa" w:w="2120"/>
          </w:tcPr>
          <w:p>
            <w:pPr>
              <w:spacing w:after="20"/>
            </w:pPr>
            <w:r>
              <w:rPr>
                <w:sz w:val="17"/>
              </w:rPr>
              <w:t>Conforme Cobertura B</w:t>
            </w:r>
          </w:p>
        </w:tc>
      </w:tr>
      <w:tr>
        <w:trPr>
          <w:cantSplit/>
        </w:trPr>
        <w:tc>
          <w:tcPr>
            <w:tcW w:type="dxa" w:w="3662"/>
          </w:tcPr>
          <w:p>
            <w:pPr>
              <w:spacing w:after="20"/>
            </w:pPr>
            <w:r>
              <w:rPr>
                <w:sz w:val="17"/>
              </w:rPr>
              <w:t>Responsabilidade Tributária e Previdenciária</w:t>
            </w:r>
          </w:p>
        </w:tc>
        <w:tc>
          <w:tcPr>
            <w:tcW w:type="dxa" w:w="1349"/>
          </w:tcPr>
          <w:p>
            <w:pPr>
              <w:spacing w:after="20"/>
            </w:pPr>
            <w:r>
              <w:rPr>
                <w:sz w:val="17"/>
              </w:rPr>
              <w:t>Contratada</w:t>
            </w:r>
          </w:p>
        </w:tc>
        <w:tc>
          <w:tcPr>
            <w:tcW w:type="dxa" w:w="2506"/>
          </w:tcPr>
          <w:p>
            <w:pPr>
              <w:spacing w:after="20"/>
            </w:pPr>
            <w:r>
              <w:rPr>
                <w:sz w:val="17"/>
              </w:rPr>
              <w:t>R$ 5.000.000,00</w:t>
            </w:r>
          </w:p>
        </w:tc>
        <w:tc>
          <w:tcPr>
            <w:tcW w:type="dxa" w:w="2120"/>
          </w:tcPr>
          <w:p>
            <w:pPr>
              <w:spacing w:after="20"/>
            </w:pPr>
            <w:r>
              <w:rPr>
                <w:sz w:val="17"/>
              </w:rPr>
              <w:t>Conforme Cobertura B</w:t>
            </w:r>
          </w:p>
        </w:tc>
      </w:tr>
      <w:tr>
        <w:trPr>
          <w:cantSplit/>
        </w:trPr>
        <w:tc>
          <w:tcPr>
            <w:tcW w:type="dxa" w:w="3662"/>
          </w:tcPr>
          <w:p>
            <w:pPr>
              <w:spacing w:after="20"/>
            </w:pPr>
            <w:r>
              <w:rPr>
                <w:sz w:val="17"/>
              </w:rPr>
              <w:t>Advogados Internos</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Contadores, Gerentes de Riscos e Auditores Internos</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Danos Corporais</w:t>
            </w:r>
          </w:p>
        </w:tc>
        <w:tc>
          <w:tcPr>
            <w:tcW w:type="dxa" w:w="1349"/>
          </w:tcPr>
          <w:p>
            <w:pPr>
              <w:spacing w:after="20"/>
            </w:pPr>
            <w:r>
              <w:rPr>
                <w:sz w:val="17"/>
              </w:rPr>
              <w:t>Contratada</w:t>
            </w:r>
          </w:p>
        </w:tc>
        <w:tc>
          <w:tcPr>
            <w:tcW w:type="dxa" w:w="2506"/>
          </w:tcPr>
          <w:p>
            <w:pPr>
              <w:spacing w:after="20"/>
            </w:pPr>
            <w:r>
              <w:rPr>
                <w:sz w:val="17"/>
              </w:rPr>
              <w:t>R$ 2.000.000,00</w:t>
            </w:r>
          </w:p>
        </w:tc>
        <w:tc>
          <w:tcPr>
            <w:tcW w:type="dxa" w:w="2120"/>
          </w:tcPr>
          <w:p>
            <w:pPr>
              <w:spacing w:after="20"/>
            </w:pPr>
            <w:r>
              <w:rPr>
                <w:sz w:val="17"/>
              </w:rPr>
              <w:t>Conforme Cobertura B</w:t>
            </w:r>
          </w:p>
        </w:tc>
      </w:tr>
      <w:tr>
        <w:trPr>
          <w:cantSplit/>
        </w:trPr>
        <w:tc>
          <w:tcPr>
            <w:tcW w:type="dxa" w:w="3662"/>
          </w:tcPr>
          <w:p>
            <w:pPr>
              <w:spacing w:after="20"/>
            </w:pPr>
            <w:r>
              <w:rPr>
                <w:sz w:val="17"/>
              </w:rPr>
              <w:t>Danos Materiais</w:t>
            </w:r>
          </w:p>
        </w:tc>
        <w:tc>
          <w:tcPr>
            <w:tcW w:type="dxa" w:w="1349"/>
          </w:tcPr>
          <w:p>
            <w:pPr>
              <w:spacing w:after="20"/>
            </w:pPr>
            <w:r>
              <w:rPr>
                <w:sz w:val="17"/>
              </w:rPr>
              <w:t>Contratada</w:t>
            </w:r>
          </w:p>
        </w:tc>
        <w:tc>
          <w:tcPr>
            <w:tcW w:type="dxa" w:w="2506"/>
          </w:tcPr>
          <w:p>
            <w:pPr>
              <w:spacing w:after="20"/>
            </w:pPr>
            <w:r>
              <w:rPr>
                <w:sz w:val="17"/>
              </w:rPr>
              <w:t>R$ 5.000.000,00</w:t>
            </w:r>
          </w:p>
        </w:tc>
        <w:tc>
          <w:tcPr>
            <w:tcW w:type="dxa" w:w="2120"/>
          </w:tcPr>
          <w:p>
            <w:pPr>
              <w:spacing w:after="20"/>
            </w:pPr>
            <w:r>
              <w:rPr>
                <w:sz w:val="17"/>
              </w:rPr>
              <w:t>Conforme Cobertura B</w:t>
            </w:r>
          </w:p>
        </w:tc>
      </w:tr>
      <w:tr>
        <w:trPr>
          <w:cantSplit/>
        </w:trPr>
        <w:tc>
          <w:tcPr>
            <w:tcW w:type="dxa" w:w="3662"/>
          </w:tcPr>
          <w:p>
            <w:pPr>
              <w:spacing w:after="20"/>
            </w:pPr>
            <w:r>
              <w:rPr>
                <w:sz w:val="17"/>
              </w:rPr>
              <w:t>Danos Morais</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Erros e Omissões – Prestação de Serviços Profissionais</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Eventos Extraordinários com Reguladores</w:t>
            </w:r>
          </w:p>
        </w:tc>
        <w:tc>
          <w:tcPr>
            <w:tcW w:type="dxa" w:w="1349"/>
          </w:tcPr>
          <w:p>
            <w:pPr>
              <w:spacing w:after="20"/>
            </w:pPr>
            <w:r>
              <w:rPr>
                <w:sz w:val="17"/>
              </w:rPr>
              <w:t>Contratada</w:t>
            </w:r>
          </w:p>
        </w:tc>
        <w:tc>
          <w:tcPr>
            <w:tcW w:type="dxa" w:w="2506"/>
          </w:tcPr>
          <w:p>
            <w:pPr>
              <w:spacing w:after="20"/>
            </w:pPr>
            <w:r>
              <w:rPr>
                <w:sz w:val="17"/>
              </w:rPr>
              <w:t>R$ 1.000.000,00</w:t>
            </w:r>
          </w:p>
        </w:tc>
        <w:tc>
          <w:tcPr>
            <w:tcW w:type="dxa" w:w="2120"/>
          </w:tcPr>
          <w:p>
            <w:pPr>
              <w:spacing w:after="20"/>
            </w:pPr>
            <w:r>
              <w:rPr>
                <w:sz w:val="17"/>
              </w:rPr>
              <w:t>Conforme Cobertura B</w:t>
            </w:r>
          </w:p>
        </w:tc>
      </w:tr>
      <w:tr>
        <w:trPr>
          <w:cantSplit/>
        </w:trPr>
        <w:tc>
          <w:tcPr>
            <w:tcW w:type="dxa" w:w="3662"/>
          </w:tcPr>
          <w:p>
            <w:pPr>
              <w:spacing w:after="20"/>
            </w:pPr>
            <w:r>
              <w:rPr>
                <w:sz w:val="17"/>
              </w:rPr>
              <w:t>Gerenciamento de Crise</w:t>
            </w:r>
          </w:p>
        </w:tc>
        <w:tc>
          <w:tcPr>
            <w:tcW w:type="dxa" w:w="1349"/>
          </w:tcPr>
          <w:p>
            <w:pPr>
              <w:spacing w:after="20"/>
            </w:pPr>
            <w:r>
              <w:rPr>
                <w:sz w:val="17"/>
              </w:rPr>
              <w:t>Contratada</w:t>
            </w:r>
          </w:p>
        </w:tc>
        <w:tc>
          <w:tcPr>
            <w:tcW w:type="dxa" w:w="2506"/>
          </w:tcPr>
          <w:p>
            <w:pPr>
              <w:spacing w:after="20"/>
            </w:pPr>
            <w:r>
              <w:rPr>
                <w:sz w:val="17"/>
              </w:rPr>
              <w:t>R$ 500.000,00</w:t>
            </w:r>
          </w:p>
        </w:tc>
        <w:tc>
          <w:tcPr>
            <w:tcW w:type="dxa" w:w="2120"/>
          </w:tcPr>
          <w:p>
            <w:pPr>
              <w:spacing w:after="20"/>
            </w:pPr>
            <w:r>
              <w:rPr>
                <w:sz w:val="17"/>
              </w:rPr>
              <w:t>Conforme Cobertura B</w:t>
            </w:r>
          </w:p>
        </w:tc>
      </w:tr>
      <w:tr>
        <w:trPr>
          <w:cantSplit/>
        </w:trPr>
        <w:tc>
          <w:tcPr>
            <w:tcW w:type="dxa" w:w="3662"/>
          </w:tcPr>
          <w:p>
            <w:pPr>
              <w:spacing w:after="20"/>
            </w:pPr>
            <w:r>
              <w:rPr>
                <w:sz w:val="17"/>
              </w:rPr>
              <w:t>Herdeiros, Sucessores, Espólio, Cônjuge e Companheiro</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Responsabilidade Solidária sobre Bens</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Responsabilidade Civil Ambiental</w:t>
            </w:r>
          </w:p>
        </w:tc>
        <w:tc>
          <w:tcPr>
            <w:tcW w:type="dxa" w:w="1349"/>
          </w:tcPr>
          <w:p>
            <w:pPr>
              <w:spacing w:after="20"/>
            </w:pPr>
            <w:r>
              <w:rPr>
                <w:sz w:val="17"/>
              </w:rPr>
              <w:t>Contratada</w:t>
            </w:r>
          </w:p>
        </w:tc>
        <w:tc>
          <w:tcPr>
            <w:tcW w:type="dxa" w:w="2506"/>
          </w:tcPr>
          <w:p>
            <w:pPr>
              <w:spacing w:after="20"/>
            </w:pPr>
            <w:r>
              <w:rPr>
                <w:sz w:val="17"/>
              </w:rPr>
              <w:t>R$ 10.000.000,00</w:t>
            </w:r>
          </w:p>
        </w:tc>
        <w:tc>
          <w:tcPr>
            <w:tcW w:type="dxa" w:w="2120"/>
          </w:tcPr>
          <w:p>
            <w:pPr>
              <w:spacing w:after="20"/>
            </w:pPr>
            <w:r>
              <w:rPr>
                <w:sz w:val="17"/>
              </w:rPr>
              <w:t>R$ 300.000,00 por Reclamação</w:t>
            </w:r>
          </w:p>
        </w:tc>
      </w:tr>
      <w:tr>
        <w:trPr>
          <w:cantSplit/>
        </w:trPr>
        <w:tc>
          <w:tcPr>
            <w:tcW w:type="dxa" w:w="3662"/>
          </w:tcPr>
          <w:p>
            <w:pPr>
              <w:spacing w:after="20"/>
            </w:pPr>
            <w:r>
              <w:rPr>
                <w:sz w:val="17"/>
              </w:rPr>
              <w:t>Reclamações da Sociedade, Acionistas ou Sócios contra o Segurado</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Reclamações entre Segurados</w:t>
            </w:r>
          </w:p>
        </w:tc>
        <w:tc>
          <w:tcPr>
            <w:tcW w:type="dxa" w:w="1349"/>
          </w:tcPr>
          <w:p>
            <w:pPr>
              <w:spacing w:after="20"/>
            </w:pPr>
            <w:r>
              <w:rPr>
                <w:sz w:val="17"/>
              </w:rPr>
              <w:t>Contratada</w:t>
            </w:r>
          </w:p>
        </w:tc>
        <w:tc>
          <w:tcPr>
            <w:tcW w:type="dxa" w:w="2506"/>
          </w:tcPr>
          <w:p>
            <w:pPr>
              <w:spacing w:after="20"/>
            </w:pPr>
            <w:r>
              <w:rPr>
                <w:sz w:val="17"/>
              </w:rPr>
              <w:t>Até o LMG</w:t>
            </w:r>
          </w:p>
        </w:tc>
        <w:tc>
          <w:tcPr>
            <w:tcW w:type="dxa" w:w="2120"/>
          </w:tcPr>
          <w:p>
            <w:pPr>
              <w:spacing w:after="20"/>
            </w:pPr>
            <w:r>
              <w:rPr>
                <w:sz w:val="17"/>
              </w:rPr>
              <w:t>Conforme Cobertura B</w:t>
            </w:r>
          </w:p>
        </w:tc>
      </w:tr>
      <w:tr>
        <w:trPr>
          <w:cantSplit/>
        </w:trPr>
        <w:tc>
          <w:tcPr>
            <w:tcW w:type="dxa" w:w="3662"/>
          </w:tcPr>
          <w:p>
            <w:pPr>
              <w:spacing w:after="20"/>
            </w:pPr>
            <w:r>
              <w:rPr>
                <w:sz w:val="17"/>
              </w:rPr>
              <w:t>TAC, Termos de Compromisso e Acordos com Autoridades</w:t>
            </w:r>
          </w:p>
        </w:tc>
        <w:tc>
          <w:tcPr>
            <w:tcW w:type="dxa" w:w="1349"/>
          </w:tcPr>
          <w:p>
            <w:pPr>
              <w:spacing w:after="20"/>
            </w:pPr>
            <w:r>
              <w:rPr>
                <w:sz w:val="17"/>
              </w:rPr>
              <w:t>Contratada</w:t>
            </w:r>
          </w:p>
        </w:tc>
        <w:tc>
          <w:tcPr>
            <w:tcW w:type="dxa" w:w="2506"/>
          </w:tcPr>
          <w:p>
            <w:pPr>
              <w:spacing w:after="20"/>
            </w:pPr>
            <w:r>
              <w:rPr>
                <w:sz w:val="17"/>
              </w:rPr>
              <w:t>R$ 3.000.000,00</w:t>
            </w:r>
          </w:p>
        </w:tc>
        <w:tc>
          <w:tcPr>
            <w:tcW w:type="dxa" w:w="2120"/>
          </w:tcPr>
          <w:p>
            <w:pPr>
              <w:spacing w:after="20"/>
            </w:pPr>
            <w:r>
              <w:rPr>
                <w:sz w:val="17"/>
              </w:rPr>
              <w:t>Conforme Cobertura B</w:t>
            </w:r>
          </w:p>
        </w:tc>
      </w:tr>
      <w:tr>
        <w:trPr>
          <w:cantSplit/>
        </w:trPr>
        <w:tc>
          <w:tcPr>
            <w:tcW w:type="dxa" w:w="3662"/>
          </w:tcPr>
          <w:p>
            <w:pPr>
              <w:spacing w:after="20"/>
            </w:pPr>
            <w:r>
              <w:rPr>
                <w:sz w:val="17"/>
              </w:rPr>
              <w:t>Atos Lesivos à Administração Pública (Lei 12.846/2013)</w:t>
            </w:r>
          </w:p>
        </w:tc>
        <w:tc>
          <w:tcPr>
            <w:tcW w:type="dxa" w:w="1349"/>
          </w:tcPr>
          <w:p>
            <w:pPr>
              <w:spacing w:after="20"/>
            </w:pPr>
            <w:r>
              <w:rPr>
                <w:sz w:val="17"/>
              </w:rPr>
              <w:t>Excluída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Processos no Exterior</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bl>
    <w:p>
      <w:pPr>
        <w:spacing w:after="40"/>
      </w:pPr>
    </w:p>
    <w:p>
      <w:pPr>
        <w:keepNext/>
        <w:spacing w:before="160"/>
      </w:pPr>
      <w:r>
        <w:rPr>
          <w:b/>
          <w:color w:val="3B4A5A"/>
        </w:rPr>
        <w:t>Quadro 3 – Franquias, retenção e participação obrigatória</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3277"/>
            <w:shd w:val="clear" w:fill="E6EAEE"/>
          </w:tcPr>
          <w:p>
            <w:pPr>
              <w:spacing w:after="20"/>
            </w:pPr>
            <w:r>
              <w:rPr>
                <w:sz w:val="17"/>
              </w:rPr>
            </w:r>
            <w:r>
              <w:rPr>
                <w:b/>
                <w:sz w:val="17"/>
              </w:rPr>
              <w:t>Item</w:t>
            </w:r>
          </w:p>
        </w:tc>
        <w:tc>
          <w:tcPr>
            <w:tcW w:type="dxa" w:w="6361"/>
            <w:shd w:val="clear" w:fill="E6EAEE"/>
          </w:tcPr>
          <w:p>
            <w:pPr>
              <w:spacing w:after="20"/>
            </w:pPr>
            <w:r>
              <w:rPr>
                <w:sz w:val="17"/>
              </w:rPr>
            </w:r>
            <w:r>
              <w:rPr>
                <w:b/>
                <w:sz w:val="17"/>
              </w:rPr>
              <w:t>Condição</w:t>
            </w:r>
          </w:p>
        </w:tc>
      </w:tr>
      <w:tr>
        <w:trPr>
          <w:cantSplit/>
        </w:trPr>
        <w:tc>
          <w:tcPr>
            <w:tcW w:type="dxa" w:w="3277"/>
          </w:tcPr>
          <w:p>
            <w:pPr>
              <w:spacing w:after="20"/>
            </w:pPr>
            <w:r>
              <w:rPr>
                <w:sz w:val="17"/>
              </w:rPr>
              <w:t>Cobertura A</w:t>
            </w:r>
          </w:p>
        </w:tc>
        <w:tc>
          <w:tcPr>
            <w:tcW w:type="dxa" w:w="6361"/>
          </w:tcPr>
          <w:p>
            <w:pPr>
              <w:spacing w:after="20"/>
            </w:pPr>
            <w:r>
              <w:rPr>
                <w:sz w:val="17"/>
              </w:rPr>
              <w:t>Sem franquia.</w:t>
            </w:r>
          </w:p>
        </w:tc>
      </w:tr>
      <w:tr>
        <w:trPr>
          <w:cantSplit/>
        </w:trPr>
        <w:tc>
          <w:tcPr>
            <w:tcW w:type="dxa" w:w="3277"/>
          </w:tcPr>
          <w:p>
            <w:pPr>
              <w:spacing w:after="20"/>
            </w:pPr>
            <w:r>
              <w:rPr>
                <w:sz w:val="17"/>
              </w:rPr>
              <w:t>Cobertura B e adicionais</w:t>
            </w:r>
          </w:p>
        </w:tc>
        <w:tc>
          <w:tcPr>
            <w:tcW w:type="dxa" w:w="6361"/>
          </w:tcPr>
          <w:p>
            <w:pPr>
              <w:spacing w:after="20"/>
            </w:pPr>
            <w:r>
              <w:rPr>
                <w:sz w:val="17"/>
              </w:rPr>
              <w:t>R$ 150.000,00 por Reclamação; R$ 300.000,00 para Reclamações ambientais.</w:t>
            </w:r>
          </w:p>
        </w:tc>
      </w:tr>
      <w:tr>
        <w:trPr>
          <w:cantSplit/>
        </w:trPr>
        <w:tc>
          <w:tcPr>
            <w:tcW w:type="dxa" w:w="3277"/>
          </w:tcPr>
          <w:p>
            <w:pPr>
              <w:spacing w:after="20"/>
            </w:pPr>
            <w:r>
              <w:rPr>
                <w:sz w:val="17"/>
              </w:rPr>
              <w:t>Cobertura C</w:t>
            </w:r>
          </w:p>
        </w:tc>
        <w:tc>
          <w:tcPr>
            <w:tcW w:type="dxa" w:w="6361"/>
          </w:tcPr>
          <w:p>
            <w:pPr>
              <w:spacing w:after="20"/>
            </w:pPr>
            <w:r>
              <w:rPr>
                <w:sz w:val="17"/>
              </w:rPr>
              <w:t>Não se aplica (cobertura não contratada).</w:t>
            </w:r>
          </w:p>
        </w:tc>
      </w:tr>
      <w:tr>
        <w:trPr>
          <w:cantSplit/>
        </w:trPr>
        <w:tc>
          <w:tcPr>
            <w:tcW w:type="dxa" w:w="3277"/>
          </w:tcPr>
          <w:p>
            <w:pPr>
              <w:spacing w:after="20"/>
            </w:pPr>
            <w:r>
              <w:rPr>
                <w:sz w:val="17"/>
              </w:rPr>
              <w:t>Participação obrigatória do Segurado</w:t>
            </w:r>
          </w:p>
        </w:tc>
        <w:tc>
          <w:tcPr>
            <w:tcW w:type="dxa" w:w="6361"/>
          </w:tcPr>
          <w:p>
            <w:pPr>
              <w:spacing w:after="20"/>
            </w:pPr>
            <w:r>
              <w:rPr>
                <w:sz w:val="17"/>
              </w:rPr>
              <w:t>Não há participação obrigatória do Segurado.</w:t>
            </w:r>
          </w:p>
        </w:tc>
      </w:tr>
    </w:tbl>
    <w:p>
      <w:pPr>
        <w:spacing w:after="40"/>
      </w:pPr>
    </w:p>
    <w:p>
      <w:pPr>
        <w:keepNext/>
        <w:spacing w:before="160"/>
      </w:pPr>
      <w:r>
        <w:rPr>
          <w:b/>
          <w:color w:val="3B4A5A"/>
        </w:rPr>
        <w:t>Quadro 4 – Segurados</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3277"/>
            <w:shd w:val="clear" w:fill="E6EAEE"/>
          </w:tcPr>
          <w:p>
            <w:pPr>
              <w:spacing w:after="20"/>
            </w:pPr>
            <w:r>
              <w:rPr>
                <w:sz w:val="17"/>
              </w:rPr>
            </w:r>
            <w:r>
              <w:rPr>
                <w:b/>
                <w:sz w:val="17"/>
              </w:rPr>
              <w:t>Categoria de Segurado</w:t>
            </w:r>
          </w:p>
        </w:tc>
        <w:tc>
          <w:tcPr>
            <w:tcW w:type="dxa" w:w="6361"/>
            <w:shd w:val="clear" w:fill="E6EAEE"/>
          </w:tcPr>
          <w:p>
            <w:pPr>
              <w:spacing w:after="20"/>
            </w:pPr>
            <w:r>
              <w:rPr>
                <w:sz w:val="17"/>
              </w:rPr>
            </w:r>
            <w:r>
              <w:rPr>
                <w:b/>
                <w:sz w:val="17"/>
              </w:rPr>
              <w:t>Abrangência</w:t>
            </w:r>
          </w:p>
        </w:tc>
      </w:tr>
      <w:tr>
        <w:trPr>
          <w:cantSplit/>
        </w:trPr>
        <w:tc>
          <w:tcPr>
            <w:tcW w:type="dxa" w:w="3277"/>
          </w:tcPr>
          <w:p>
            <w:pPr>
              <w:spacing w:after="20"/>
            </w:pPr>
            <w:r>
              <w:rPr>
                <w:sz w:val="17"/>
              </w:rPr>
              <w:t>Conselho de Administração</w:t>
            </w:r>
          </w:p>
        </w:tc>
        <w:tc>
          <w:tcPr>
            <w:tcW w:type="dxa" w:w="6361"/>
          </w:tcPr>
          <w:p>
            <w:pPr>
              <w:spacing w:after="20"/>
            </w:pPr>
            <w:r>
              <w:rPr>
                <w:sz w:val="17"/>
              </w:rPr>
              <w:t>Membros titulares e suplentes.</w:t>
            </w:r>
          </w:p>
        </w:tc>
      </w:tr>
      <w:tr>
        <w:trPr>
          <w:cantSplit/>
        </w:trPr>
        <w:tc>
          <w:tcPr>
            <w:tcW w:type="dxa" w:w="3277"/>
          </w:tcPr>
          <w:p>
            <w:pPr>
              <w:spacing w:after="20"/>
            </w:pPr>
            <w:r>
              <w:rPr>
                <w:sz w:val="17"/>
              </w:rPr>
              <w:t>Diretoria</w:t>
            </w:r>
          </w:p>
        </w:tc>
        <w:tc>
          <w:tcPr>
            <w:tcW w:type="dxa" w:w="6361"/>
          </w:tcPr>
          <w:p>
            <w:pPr>
              <w:spacing w:after="20"/>
            </w:pPr>
            <w:r>
              <w:rPr>
                <w:sz w:val="17"/>
              </w:rPr>
              <w:t>Diretores estatutários e não estatutários com poderes de representação.</w:t>
            </w:r>
          </w:p>
        </w:tc>
      </w:tr>
      <w:tr>
        <w:trPr>
          <w:cantSplit/>
        </w:trPr>
        <w:tc>
          <w:tcPr>
            <w:tcW w:type="dxa" w:w="3277"/>
          </w:tcPr>
          <w:p>
            <w:pPr>
              <w:spacing w:after="20"/>
            </w:pPr>
            <w:r>
              <w:rPr>
                <w:sz w:val="17"/>
              </w:rPr>
              <w:t>Conselho Consultivo</w:t>
            </w:r>
          </w:p>
        </w:tc>
        <w:tc>
          <w:tcPr>
            <w:tcW w:type="dxa" w:w="6361"/>
          </w:tcPr>
          <w:p>
            <w:pPr>
              <w:spacing w:after="20"/>
            </w:pPr>
            <w:r>
              <w:rPr>
                <w:sz w:val="17"/>
              </w:rPr>
              <w:t>Membros do conselho consultivo familiar.</w:t>
            </w:r>
          </w:p>
        </w:tc>
      </w:tr>
      <w:tr>
        <w:trPr>
          <w:cantSplit/>
        </w:trPr>
        <w:tc>
          <w:tcPr>
            <w:tcW w:type="dxa" w:w="3277"/>
          </w:tcPr>
          <w:p>
            <w:pPr>
              <w:spacing w:after="20"/>
            </w:pPr>
            <w:r>
              <w:rPr>
                <w:sz w:val="17"/>
              </w:rPr>
              <w:t>Gestores de fazenda</w:t>
            </w:r>
          </w:p>
        </w:tc>
        <w:tc>
          <w:tcPr>
            <w:tcW w:type="dxa" w:w="6361"/>
          </w:tcPr>
          <w:p>
            <w:pPr>
              <w:spacing w:after="20"/>
            </w:pPr>
            <w:r>
              <w:rPr>
                <w:sz w:val="17"/>
              </w:rPr>
              <w:t>Superintendentes de unidade com procuração.</w:t>
            </w:r>
          </w:p>
        </w:tc>
      </w:tr>
    </w:tbl>
    <w:p>
      <w:pPr>
        <w:spacing w:after="40"/>
      </w:pPr>
    </w:p>
    <w:p>
      <w:pPr>
        <w:keepNext/>
        <w:spacing w:before="160"/>
      </w:pPr>
      <w:r>
        <w:rPr>
          <w:b/>
          <w:color w:val="3B4A5A"/>
        </w:rPr>
        <w:t>Quadro 5 – Subsidiárias cobertas</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5783"/>
            <w:shd w:val="clear" w:fill="E6EAEE"/>
          </w:tcPr>
          <w:p>
            <w:pPr>
              <w:spacing w:after="20"/>
            </w:pPr>
            <w:r>
              <w:rPr>
                <w:sz w:val="17"/>
              </w:rPr>
            </w:r>
            <w:r>
              <w:rPr>
                <w:b/>
                <w:sz w:val="17"/>
              </w:rPr>
              <w:t>Subsidiária</w:t>
            </w:r>
          </w:p>
        </w:tc>
        <w:tc>
          <w:tcPr>
            <w:tcW w:type="dxa" w:w="3855"/>
            <w:shd w:val="clear" w:fill="E6EAEE"/>
          </w:tcPr>
          <w:p>
            <w:pPr>
              <w:spacing w:after="20"/>
            </w:pPr>
            <w:r>
              <w:rPr>
                <w:sz w:val="17"/>
              </w:rPr>
            </w:r>
            <w:r>
              <w:rPr>
                <w:b/>
                <w:sz w:val="17"/>
              </w:rPr>
              <w:t>Participação / país</w:t>
            </w:r>
          </w:p>
        </w:tc>
      </w:tr>
      <w:tr>
        <w:trPr>
          <w:cantSplit/>
        </w:trPr>
        <w:tc>
          <w:tcPr>
            <w:tcW w:type="dxa" w:w="5783"/>
          </w:tcPr>
          <w:p>
            <w:pPr>
              <w:spacing w:after="20"/>
            </w:pPr>
            <w:r>
              <w:rPr>
                <w:sz w:val="17"/>
              </w:rPr>
              <w:t>Vale do Rio Claro Armazéns Gerais Ltda.</w:t>
            </w:r>
          </w:p>
        </w:tc>
        <w:tc>
          <w:tcPr>
            <w:tcW w:type="dxa" w:w="3855"/>
          </w:tcPr>
          <w:p>
            <w:pPr>
              <w:spacing w:after="20"/>
            </w:pPr>
            <w:r>
              <w:rPr>
                <w:sz w:val="17"/>
              </w:rPr>
              <w:t>100%</w:t>
            </w:r>
          </w:p>
        </w:tc>
      </w:tr>
      <w:tr>
        <w:trPr>
          <w:cantSplit/>
        </w:trPr>
        <w:tc>
          <w:tcPr>
            <w:tcW w:type="dxa" w:w="5783"/>
          </w:tcPr>
          <w:p>
            <w:pPr>
              <w:spacing w:after="20"/>
            </w:pPr>
            <w:r>
              <w:rPr>
                <w:sz w:val="17"/>
              </w:rPr>
              <w:t>Rio Claro Paraguay S.A. (Ciudad del Este, Paraguai)</w:t>
            </w:r>
          </w:p>
        </w:tc>
        <w:tc>
          <w:tcPr>
            <w:tcW w:type="dxa" w:w="3855"/>
          </w:tcPr>
          <w:p>
            <w:pPr>
              <w:spacing w:after="20"/>
            </w:pPr>
            <w:r>
              <w:rPr>
                <w:sz w:val="17"/>
              </w:rPr>
              <w:t>75%</w:t>
            </w:r>
          </w:p>
        </w:tc>
      </w:tr>
    </w:tbl>
    <w:p>
      <w:pPr>
        <w:spacing w:after="40"/>
      </w:pPr>
    </w:p>
    <w:p>
      <w:pPr>
        <w:keepNext/>
        <w:spacing w:before="160"/>
      </w:pPr>
      <w:r>
        <w:rPr>
          <w:b/>
          <w:color w:val="3B4A5A"/>
        </w:rPr>
        <w:t>Quadro 6 – Retroatividade, prazos, território e notificação</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2699"/>
            <w:shd w:val="clear" w:fill="E6EAEE"/>
          </w:tcPr>
          <w:p>
            <w:pPr>
              <w:spacing w:after="20"/>
            </w:pPr>
            <w:r>
              <w:rPr>
                <w:sz w:val="17"/>
              </w:rPr>
            </w:r>
            <w:r>
              <w:rPr>
                <w:b/>
                <w:sz w:val="17"/>
              </w:rPr>
              <w:t>Item</w:t>
            </w:r>
          </w:p>
        </w:tc>
        <w:tc>
          <w:tcPr>
            <w:tcW w:type="dxa" w:w="6939"/>
            <w:shd w:val="clear" w:fill="E6EAEE"/>
          </w:tcPr>
          <w:p>
            <w:pPr>
              <w:spacing w:after="20"/>
            </w:pPr>
            <w:r>
              <w:rPr>
                <w:sz w:val="17"/>
              </w:rPr>
            </w:r>
            <w:r>
              <w:rPr>
                <w:b/>
                <w:sz w:val="17"/>
              </w:rPr>
              <w:t>Condição</w:t>
            </w:r>
          </w:p>
        </w:tc>
      </w:tr>
      <w:tr>
        <w:trPr>
          <w:cantSplit/>
        </w:trPr>
        <w:tc>
          <w:tcPr>
            <w:tcW w:type="dxa" w:w="2699"/>
          </w:tcPr>
          <w:p>
            <w:pPr>
              <w:spacing w:after="20"/>
            </w:pPr>
            <w:r>
              <w:rPr>
                <w:sz w:val="17"/>
              </w:rPr>
              <w:t>Retroatividade</w:t>
            </w:r>
          </w:p>
        </w:tc>
        <w:tc>
          <w:tcPr>
            <w:tcW w:type="dxa" w:w="6939"/>
          </w:tcPr>
          <w:p>
            <w:pPr>
              <w:spacing w:after="20"/>
            </w:pPr>
            <w:r>
              <w:rPr>
                <w:sz w:val="17"/>
              </w:rPr>
              <w:t>Período de retroatividade de 24 (vinte e quatro) meses anteriores ao início da vigência.</w:t>
            </w:r>
          </w:p>
        </w:tc>
      </w:tr>
      <w:tr>
        <w:trPr>
          <w:cantSplit/>
        </w:trPr>
        <w:tc>
          <w:tcPr>
            <w:tcW w:type="dxa" w:w="2699"/>
          </w:tcPr>
          <w:p>
            <w:pPr>
              <w:spacing w:after="20"/>
            </w:pPr>
            <w:r>
              <w:rPr>
                <w:sz w:val="17"/>
              </w:rPr>
              <w:t>Prazo complementar</w:t>
            </w:r>
          </w:p>
        </w:tc>
        <w:tc>
          <w:tcPr>
            <w:tcW w:type="dxa" w:w="6939"/>
          </w:tcPr>
          <w:p>
            <w:pPr>
              <w:spacing w:after="20"/>
            </w:pPr>
            <w:r>
              <w:rPr>
                <w:sz w:val="17"/>
              </w:rPr>
              <w:t>12 (doze) meses, mediante requerimento e prêmio adicional de 25% do prêmio anual.</w:t>
            </w:r>
          </w:p>
        </w:tc>
      </w:tr>
      <w:tr>
        <w:trPr>
          <w:cantSplit/>
        </w:trPr>
        <w:tc>
          <w:tcPr>
            <w:tcW w:type="dxa" w:w="2699"/>
          </w:tcPr>
          <w:p>
            <w:pPr>
              <w:spacing w:after="20"/>
            </w:pPr>
            <w:r>
              <w:rPr>
                <w:sz w:val="17"/>
              </w:rPr>
              <w:t>Prazo suplementar</w:t>
            </w:r>
          </w:p>
        </w:tc>
        <w:tc>
          <w:tcPr>
            <w:tcW w:type="dxa" w:w="6939"/>
          </w:tcPr>
          <w:p>
            <w:pPr>
              <w:spacing w:after="20"/>
            </w:pPr>
            <w:r>
              <w:rPr>
                <w:sz w:val="17"/>
              </w:rPr>
              <w:t>36 (trinta e seis) meses, contratável mediante prêmio adicional de 75% do prêmio anual, solicitado em até 30 dias do fim da vigência.</w:t>
            </w:r>
          </w:p>
        </w:tc>
      </w:tr>
      <w:tr>
        <w:trPr>
          <w:cantSplit/>
        </w:trPr>
        <w:tc>
          <w:tcPr>
            <w:tcW w:type="dxa" w:w="2699"/>
          </w:tcPr>
          <w:p>
            <w:pPr>
              <w:spacing w:after="20"/>
            </w:pPr>
            <w:r>
              <w:rPr>
                <w:sz w:val="17"/>
              </w:rPr>
              <w:t>Âmbito territorial</w:t>
            </w:r>
          </w:p>
        </w:tc>
        <w:tc>
          <w:tcPr>
            <w:tcW w:type="dxa" w:w="6939"/>
          </w:tcPr>
          <w:p>
            <w:pPr>
              <w:spacing w:after="20"/>
            </w:pPr>
            <w:r>
              <w:rPr>
                <w:sz w:val="17"/>
              </w:rPr>
              <w:t>Brasil e Paraguai (onde o Tomador possua Subsidiária indicada no Quadro 5).</w:t>
            </w:r>
          </w:p>
        </w:tc>
      </w:tr>
      <w:tr>
        <w:trPr>
          <w:cantSplit/>
        </w:trPr>
        <w:tc>
          <w:tcPr>
            <w:tcW w:type="dxa" w:w="2699"/>
          </w:tcPr>
          <w:p>
            <w:pPr>
              <w:spacing w:after="20"/>
            </w:pPr>
            <w:r>
              <w:rPr>
                <w:sz w:val="17"/>
              </w:rPr>
              <w:t>Jurisdição</w:t>
            </w:r>
          </w:p>
        </w:tc>
        <w:tc>
          <w:tcPr>
            <w:tcW w:type="dxa" w:w="6939"/>
          </w:tcPr>
          <w:p>
            <w:pPr>
              <w:spacing w:after="20"/>
            </w:pPr>
            <w:r>
              <w:rPr>
                <w:sz w:val="17"/>
              </w:rPr>
              <w:t>Tribunais brasileiros e paraguaios, nas matérias das Subsidiárias indicadas.</w:t>
            </w:r>
          </w:p>
        </w:tc>
      </w:tr>
      <w:tr>
        <w:trPr>
          <w:cantSplit/>
        </w:trPr>
        <w:tc>
          <w:tcPr>
            <w:tcW w:type="dxa" w:w="2699"/>
          </w:tcPr>
          <w:p>
            <w:pPr>
              <w:spacing w:after="20"/>
            </w:pPr>
            <w:r>
              <w:rPr>
                <w:sz w:val="17"/>
              </w:rPr>
              <w:t>Notificação de circunstâncias</w:t>
            </w:r>
          </w:p>
        </w:tc>
        <w:tc>
          <w:tcPr>
            <w:tcW w:type="dxa" w:w="6939"/>
          </w:tcPr>
          <w:p>
            <w:pPr>
              <w:spacing w:after="20"/>
            </w:pPr>
            <w:r>
              <w:rPr>
                <w:sz w:val="17"/>
              </w:rPr>
              <w:t>Até 45 (quarenta e cinco) dias após o conhecimento do fato ou circunstância, e sempre até o fim do prazo complementar.</w:t>
            </w:r>
          </w:p>
        </w:tc>
      </w:tr>
      <w:tr>
        <w:trPr>
          <w:cantSplit/>
        </w:trPr>
        <w:tc>
          <w:tcPr>
            <w:tcW w:type="dxa" w:w="2699"/>
          </w:tcPr>
          <w:p>
            <w:pPr>
              <w:spacing w:after="20"/>
            </w:pPr>
            <w:r>
              <w:rPr>
                <w:sz w:val="17"/>
              </w:rPr>
              <w:t>Foro / solução de disputas</w:t>
            </w:r>
          </w:p>
        </w:tc>
        <w:tc>
          <w:tcPr>
            <w:tcW w:type="dxa" w:w="6939"/>
          </w:tcPr>
          <w:p>
            <w:pPr>
              <w:spacing w:after="20"/>
            </w:pPr>
            <w:r>
              <w:rPr>
                <w:sz w:val="17"/>
              </w:rPr>
              <w:t>Foro do domicílio do Segurado ou Goiânia/GO, nos termos da Cláusula 19.</w:t>
            </w:r>
          </w:p>
        </w:tc>
      </w:tr>
    </w:tbl>
    <w:p>
      <w:pPr>
        <w:spacing w:after="40"/>
      </w:pPr>
    </w:p>
    <w:p>
      <w:r>
        <w:br w:type="page"/>
      </w:r>
    </w:p>
    <w:p>
      <w:pPr>
        <w:pStyle w:val="Heading1"/>
      </w:pPr>
      <w:r>
        <w:t>SEÇÃO II – CONDIÇÕES GERAIS</w:t>
      </w:r>
    </w:p>
    <w:p>
      <w:pPr>
        <w:jc w:val="both"/>
      </w:pPr>
      <w:r>
        <w:t>Condições Gerais do Seguro de Responsabilidade Civil de Administradores e Diretores (D&amp;O), Processo SUSEP nº 15414.700731/2020-58.</w:t>
      </w:r>
    </w:p>
    <w:p>
      <w:pPr>
        <w:pStyle w:val="Heading2"/>
      </w:pPr>
      <w:r>
        <w:t>CLÁUSULA 1 – OBJETO DO SEGURO</w:t>
      </w:r>
    </w:p>
    <w:p>
      <w:pPr>
        <w:ind w:left="624" w:hanging="624"/>
        <w:jc w:val="both"/>
      </w:pPr>
      <w:r>
        <w:rPr>
          <w:b/>
        </w:rPr>
        <w:t xml:space="preserve">1.1  </w:t>
      </w:r>
      <w:r>
        <w:t>Este seguro garante, até o Limite Máximo de Garantia (LMG) indicado na Especificação, o pagamento das Perdas decorrentes de Reclamações apresentadas contra o Segurado durante a vigência, o Prazo Complementar ou o Prazo Suplementar, por Ato Danoso praticado no exercício de suas funções no Tomador ou em Subsidiária, a partir da data ou do período de retroatividade indicado nas Condições Particulares.</w:t>
      </w:r>
    </w:p>
    <w:p>
      <w:pPr>
        <w:ind w:left="624" w:hanging="624"/>
        <w:jc w:val="both"/>
      </w:pPr>
      <w:r>
        <w:rPr>
          <w:b/>
        </w:rPr>
        <w:t xml:space="preserve">1.2  </w:t>
      </w:r>
      <w:r>
        <w:t>O seguro é contratado na modalidade de base de reclamações (claims made), com notificação, e rege-se pelas Condições Particulares, por estas Condições Gerais, pelos endossos, pela Circular SUSEP nº 637/2021 e pelo Código Civil. Em caso de divergência, prevalecem os endossos, depois as Condições Particulares.</w:t>
      </w:r>
    </w:p>
    <w:p>
      <w:pPr>
        <w:ind w:left="624" w:hanging="624"/>
        <w:jc w:val="both"/>
      </w:pPr>
      <w:r>
        <w:rPr>
          <w:b/>
        </w:rPr>
        <w:t xml:space="preserve">1.3  </w:t>
      </w:r>
      <w:r>
        <w:t>A contratação de cada cobertura somente se comprova pela Especificação e pelas Condições Particulares. A previsão de uma cobertura nestas Condições Gerais não implica sua contratação.</w:t>
      </w:r>
    </w:p>
    <w:p>
      <w:pPr>
        <w:pStyle w:val="Heading2"/>
      </w:pPr>
      <w:r>
        <w:t>CLÁUSULA 2 – DEFINIÇÕES</w:t>
      </w:r>
    </w:p>
    <w:p>
      <w:pPr>
        <w:ind w:left="624" w:hanging="624"/>
        <w:jc w:val="both"/>
      </w:pPr>
      <w:r>
        <w:rPr>
          <w:b/>
        </w:rPr>
        <w:t xml:space="preserve">2.1  </w:t>
      </w:r>
      <w:r>
        <w:t>“Apólice”: instrumento que formaliza o contrato, composto pela proposta, Condições Particulares, Condições Gerais e endossos.</w:t>
      </w:r>
    </w:p>
    <w:p>
      <w:pPr>
        <w:ind w:left="624" w:hanging="624"/>
        <w:jc w:val="both"/>
      </w:pPr>
      <w:r>
        <w:rPr>
          <w:b/>
        </w:rPr>
        <w:t xml:space="preserve">2.2  </w:t>
      </w:r>
      <w:r>
        <w:t>“Tomador”: a pessoa jurídica indicada na capa da apólice, que contrata o seguro em favor dos Segurados e responde pelo pagamento do prêmio.</w:t>
      </w:r>
    </w:p>
    <w:p>
      <w:pPr>
        <w:ind w:left="624" w:hanging="624"/>
        <w:jc w:val="both"/>
      </w:pPr>
      <w:r>
        <w:rPr>
          <w:b/>
        </w:rPr>
        <w:t xml:space="preserve">2.3  </w:t>
      </w:r>
      <w:r>
        <w:t>“Subsidiária”: sociedade em que o Tomador detenha, direta ou indiretamente, mais de 50% (cinquenta por cento) do capital votante, ou o poder de eleger a maioria dos administradores, indicada no Quadro 5 ou incluída por endosso.</w:t>
      </w:r>
    </w:p>
    <w:p>
      <w:pPr>
        <w:ind w:left="624" w:hanging="624"/>
        <w:jc w:val="both"/>
      </w:pPr>
      <w:r>
        <w:rPr>
          <w:b/>
        </w:rPr>
        <w:t xml:space="preserve">2.4  </w:t>
      </w:r>
      <w:r>
        <w:t>“Segurado”: as pessoas físicas indicadas no Quadro 4, presentes, passadas ou futuras, que exerçam ou tenham exercido cargo de administração, em conselho, comitê estatutário ou função de gestão com poderes de representação no Tomador ou em Subsidiária, inclusive, quando previsto, o espólio e os herdeiros.</w:t>
      </w:r>
    </w:p>
    <w:p>
      <w:pPr>
        <w:ind w:left="624" w:hanging="624"/>
        <w:jc w:val="both"/>
      </w:pPr>
      <w:r>
        <w:rPr>
          <w:b/>
        </w:rPr>
        <w:t xml:space="preserve">2.5  </w:t>
      </w:r>
      <w:r>
        <w:t>“Ato Danoso”: ato ou omissão culposa, erro, declaração inexata, violação de dever legal, estatutário ou fiduciário, real ou alegado, praticado pelo Segurado no exercício de suas funções.</w:t>
      </w:r>
    </w:p>
    <w:p>
      <w:pPr>
        <w:ind w:left="624" w:hanging="624"/>
        <w:jc w:val="both"/>
      </w:pPr>
      <w:r>
        <w:rPr>
          <w:b/>
        </w:rPr>
        <w:t xml:space="preserve">2.6  </w:t>
      </w:r>
      <w:r>
        <w:t>“Reclamação”: (a) citação ou notificação judicial em ação civil, criminal ou administrativa; (b) pedido escrito de indenização ou reparação; (c) instauração de processo arbitral; (d) Investigação Formal contra o Segurado.</w:t>
      </w:r>
    </w:p>
    <w:p>
      <w:pPr>
        <w:ind w:left="624" w:hanging="624"/>
        <w:jc w:val="both"/>
      </w:pPr>
      <w:r>
        <w:rPr>
          <w:b/>
        </w:rPr>
        <w:t xml:space="preserve">2.7  </w:t>
      </w:r>
      <w:r>
        <w:t>“Sinistro”: toda Reclamação, ou conjunto de Reclamações decorrentes do mesmo Ato Danoso ou de Atos Danosos relacionados, considerado um único Sinistro na data da primeira Reclamação.</w:t>
      </w:r>
    </w:p>
    <w:p>
      <w:pPr>
        <w:ind w:left="624" w:hanging="624"/>
        <w:jc w:val="both"/>
      </w:pPr>
      <w:r>
        <w:rPr>
          <w:b/>
        </w:rPr>
        <w:t xml:space="preserve">2.8  </w:t>
      </w:r>
      <w:r>
        <w:t>“Perdas”: valores que o Segurado for obrigado a pagar por decisão judicial, arbitral ou acordo aprovado pela Seguradora, inclusive Custos de Defesa, exceto tributos, multas e sanções que a lei aplicável proíba segurar, e as demais exclusões desta apólice.</w:t>
      </w:r>
    </w:p>
    <w:p>
      <w:pPr>
        <w:ind w:left="624" w:hanging="624"/>
        <w:jc w:val="both"/>
      </w:pPr>
      <w:r>
        <w:rPr>
          <w:b/>
        </w:rPr>
        <w:t xml:space="preserve">2.9  </w:t>
      </w:r>
      <w:r>
        <w:t>“Custos de Defesa”: honorários advocatícios e periciais, custas judiciais, cauções e demais despesas razoáveis e necessárias à defesa do Segurado, aprovadas pela Seguradora.</w:t>
      </w:r>
    </w:p>
    <w:p>
      <w:pPr>
        <w:ind w:left="624" w:hanging="624"/>
        <w:jc w:val="both"/>
      </w:pPr>
      <w:r>
        <w:rPr>
          <w:b/>
        </w:rPr>
        <w:t xml:space="preserve">2.10  </w:t>
      </w:r>
      <w:r>
        <w:t>“Investigação Formal”: procedimento formal de apuração instaurado por autoridade pública, regulador ou autorregulador, em que o Segurado seja intimado ou convocado.</w:t>
      </w:r>
    </w:p>
    <w:p>
      <w:pPr>
        <w:ind w:left="624" w:hanging="624"/>
        <w:jc w:val="both"/>
      </w:pPr>
      <w:r>
        <w:rPr>
          <w:b/>
        </w:rPr>
        <w:t xml:space="preserve">2.11  </w:t>
      </w:r>
      <w:r>
        <w:t>“Circunstância”: fato ou situação específica, conhecida durante a vigência, que possa razoavelmente originar uma Reclamação.</w:t>
      </w:r>
    </w:p>
    <w:p>
      <w:pPr>
        <w:ind w:left="624" w:hanging="624"/>
        <w:jc w:val="both"/>
      </w:pPr>
      <w:r>
        <w:rPr>
          <w:b/>
        </w:rPr>
        <w:t xml:space="preserve">2.12  </w:t>
      </w:r>
      <w:r>
        <w:t>“Limite Máximo de Garantia (LMG)”: valor máximo de responsabilidade da Seguradora por todas as Perdas, Custos de Defesa e coberturas, na vigência.</w:t>
      </w:r>
    </w:p>
    <w:p>
      <w:pPr>
        <w:ind w:left="624" w:hanging="624"/>
        <w:jc w:val="both"/>
      </w:pPr>
      <w:r>
        <w:rPr>
          <w:b/>
        </w:rPr>
        <w:t xml:space="preserve">2.13  </w:t>
      </w:r>
      <w:r>
        <w:t>“Franquia”: parcela das Perdas que fica a cargo do Tomador ou do Segurado, deduzida de cada Reclamação, conforme o Quadro 3.</w:t>
      </w:r>
    </w:p>
    <w:p>
      <w:pPr>
        <w:ind w:left="624" w:hanging="624"/>
        <w:jc w:val="both"/>
      </w:pPr>
      <w:r>
        <w:rPr>
          <w:b/>
        </w:rPr>
        <w:t xml:space="preserve">2.14  </w:t>
      </w:r>
      <w:r>
        <w:t>“Poluentes”: qualquer substância sólida, líquida, gasosa ou térmica irritante ou contaminante, inclusive fumaça, vapor, fuligem, resíduos, rejeitos, agrotóxicos e efluentes.</w:t>
      </w:r>
    </w:p>
    <w:p>
      <w:pPr>
        <w:ind w:left="624" w:hanging="624"/>
        <w:jc w:val="both"/>
      </w:pPr>
      <w:r>
        <w:rPr>
          <w:b/>
        </w:rPr>
        <w:t xml:space="preserve">2.15  </w:t>
      </w:r>
      <w:r>
        <w:t>“Entidade Externa”: pessoa jurídica sem fins lucrativos, que não seja Subsidiária, em que o Segurado ocupe cargo por indicação escrita do Tomador.</w:t>
      </w:r>
    </w:p>
    <w:p>
      <w:pPr>
        <w:ind w:left="624" w:hanging="624"/>
        <w:jc w:val="both"/>
      </w:pPr>
      <w:r>
        <w:rPr>
          <w:b/>
        </w:rPr>
        <w:t xml:space="preserve">2.16  </w:t>
      </w:r>
      <w:r>
        <w:t>“Evento de Crise”: fato que, a juízo razoável do Tomador, possa gerar Reclamação relevante ou dano grave à reputação do Tomador ou do Segurado.</w:t>
      </w:r>
    </w:p>
    <w:p>
      <w:pPr>
        <w:ind w:left="624" w:hanging="624"/>
        <w:jc w:val="both"/>
      </w:pPr>
      <w:r>
        <w:rPr>
          <w:b/>
        </w:rPr>
        <w:t xml:space="preserve">2.17  </w:t>
      </w:r>
      <w:r>
        <w:t>“Prazo Complementar”: período posterior ao fim da vigência, em que Reclamações por atos anteriores ao término podem ser apresentadas e notificadas.</w:t>
      </w:r>
    </w:p>
    <w:p>
      <w:pPr>
        <w:ind w:left="624" w:hanging="624"/>
        <w:jc w:val="both"/>
      </w:pPr>
      <w:r>
        <w:rPr>
          <w:b/>
        </w:rPr>
        <w:t xml:space="preserve">2.18  </w:t>
      </w:r>
      <w:r>
        <w:t>“Prazo Suplementar”: extensão contratável do período de apresentação de Reclamações após o fim da vigência, nas condições do Quadro 6.</w:t>
      </w:r>
    </w:p>
    <w:p>
      <w:pPr>
        <w:pStyle w:val="Heading2"/>
      </w:pPr>
      <w:r>
        <w:t>CLÁUSULA 3 – COBERTURAS BÁSICAS</w:t>
      </w:r>
    </w:p>
    <w:p>
      <w:pPr>
        <w:ind w:left="624" w:hanging="624"/>
        <w:jc w:val="both"/>
      </w:pPr>
      <w:r>
        <w:rPr>
          <w:b/>
        </w:rPr>
        <w:t xml:space="preserve">3.1  </w:t>
      </w:r>
      <w:r>
        <w:t>Cobertura A – Reembolso em nome dos Administradores. A Seguradora pagará diretamente ao Segurado, ou reembolsará quem o tiver feito, as Perdas decorrentes de Reclamação por Ato Danoso, quando o Tomador não puder ou não estiver legalmente autorizado a indenizá-lo (Side A), dentro do LMG.</w:t>
      </w:r>
    </w:p>
    <w:p>
      <w:pPr>
        <w:ind w:left="624" w:hanging="624"/>
        <w:jc w:val="both"/>
      </w:pPr>
      <w:r>
        <w:rPr>
          <w:b/>
        </w:rPr>
        <w:t xml:space="preserve">3.2  </w:t>
      </w:r>
      <w:r>
        <w:t>Cobertura B – Reembolso à Sociedade. A Seguradora reembolsará ao Tomador as Perdas que este, na forma da lei ou de seu estatuto, tenha pago ou adiantado em nome do Segurado em razão de Reclamação coberta (Side B), aplicada a franquia do Quadro 3.</w:t>
      </w:r>
    </w:p>
    <w:p>
      <w:pPr>
        <w:ind w:left="624" w:hanging="624"/>
        <w:jc w:val="both"/>
      </w:pPr>
      <w:r>
        <w:rPr>
          <w:b/>
        </w:rPr>
        <w:t xml:space="preserve">3.3  </w:t>
      </w:r>
      <w:r>
        <w:t>Cobertura C – Reclamações de Mercado de Capitais. Cobertura à sociedade por Reclamações de valores mobiliários prevista apenas como opção. Não foi contratada nesta apólice e depende de endosso específico.</w:t>
      </w:r>
    </w:p>
    <w:p>
      <w:pPr>
        <w:pStyle w:val="Heading2"/>
      </w:pPr>
      <w:r>
        <w:t>CLÁUSULA 4 – CUSTOS DE DEFESA E DESPESAS CORRELATAS</w:t>
      </w:r>
    </w:p>
    <w:p>
      <w:pPr>
        <w:ind w:left="624" w:hanging="624"/>
        <w:jc w:val="both"/>
      </w:pPr>
      <w:r>
        <w:rPr>
          <w:b/>
        </w:rPr>
        <w:t xml:space="preserve">4.1  </w:t>
      </w:r>
      <w:r>
        <w:t>Adiantamento de Custos de Defesa. A Seguradora adiantará, à medida que forem incorridos e em até 30 (trinta) dias da apresentação da documentação, os Custos de Defesa razoáveis do Segurado em Reclamação que possa ser coberta. Os Custos de Defesa são pagos em adição ao LMG, dentro do valor indicado no Quadro 2.</w:t>
      </w:r>
    </w:p>
    <w:p>
      <w:pPr>
        <w:ind w:left="624" w:hanging="624"/>
        <w:jc w:val="both"/>
      </w:pPr>
      <w:r>
        <w:rPr>
          <w:b/>
        </w:rPr>
        <w:t xml:space="preserve">4.2  </w:t>
      </w:r>
      <w:r>
        <w:t>O Segurado escolherá o advogado dentre os indicados pelo Tomador ou aprovados pela Seguradora, cuja anuência não será negada sem justo motivo. A Seguradora não responde por honorários acima de valores razoáveis de mercado para a matéria.</w:t>
      </w:r>
    </w:p>
    <w:p>
      <w:pPr>
        <w:ind w:left="624" w:hanging="624"/>
        <w:jc w:val="both"/>
      </w:pPr>
      <w:r>
        <w:rPr>
          <w:b/>
        </w:rPr>
        <w:t xml:space="preserve">4.3  </w:t>
      </w:r>
      <w:r>
        <w:t>Se, ao final, ficar demonstrado que a Reclamação não estava coberta, ou se houver decisão definitiva reconhecendo dolo, fraude ou vantagem indevida, o Segurado restituirá os valores adiantados corrigidos monetariamente, na forma da Cláusula 9.</w:t>
      </w:r>
    </w:p>
    <w:p>
      <w:pPr>
        <w:ind w:left="624" w:hanging="624"/>
        <w:jc w:val="both"/>
      </w:pPr>
      <w:r>
        <w:rPr>
          <w:b/>
        </w:rPr>
        <w:t xml:space="preserve">4.4  </w:t>
      </w:r>
      <w:r>
        <w:t>Custos de Defesa – Bens e Liberdade. Estão garantidos os Custos de Defesa do Segurado em processos, cíveis ou criminais, que coloquem em risco sua liberdade ou seu patrimônio pessoal, limitada ao sublimite de R$ 3.000.000,00, que integra e não se soma ao LMG, ainda que a Reclamação tenha sido apresentada apenas contra a pessoa física.</w:t>
      </w:r>
    </w:p>
    <w:p>
      <w:pPr>
        <w:ind w:left="624" w:hanging="624"/>
        <w:jc w:val="both"/>
      </w:pPr>
      <w:r>
        <w:rPr>
          <w:b/>
        </w:rPr>
        <w:t xml:space="preserve">4.5  </w:t>
      </w:r>
      <w:r>
        <w:t>Bloqueio e Indisponibilidade de Bens e Penhora On-line. Determinado bloqueio, arresto, sequestro ou indisponibilidade de bens ou de contas correntes do Segurado, inclusive por penhora on-line, a Seguradora custeará as despesas necessárias ao seu levantamento e, quando decorrente de decisão judicial ou administrativa, a manutenção de sua subsistência, limitada ao sublimite de R$ 2.000.000,00, que integra e não se soma ao LMG.</w:t>
      </w:r>
    </w:p>
    <w:p>
      <w:pPr>
        <w:ind w:left="624" w:hanging="624"/>
        <w:jc w:val="both"/>
      </w:pPr>
      <w:r>
        <w:rPr>
          <w:b/>
        </w:rPr>
        <w:t xml:space="preserve">4.6  </w:t>
      </w:r>
      <w:r>
        <w:t>Depósitos Recursais, Cauções e Garantias Judiciais. A Seguradora arcará com o custo de fianças, cauções, seguros-garantia e depósitos recursais exigidos do Segurado para recorrer de decisão relativa a Reclamação coberta, limitada ao sublimite de R$ 2.000.000,00, que integra e não se soma ao LMG. Os valores depositados em dinheiro serão devolvidos à Seguradora quando liberados.</w:t>
      </w:r>
    </w:p>
    <w:p>
      <w:pPr>
        <w:ind w:left="624" w:hanging="624"/>
        <w:jc w:val="both"/>
      </w:pPr>
      <w:r>
        <w:rPr>
          <w:b/>
        </w:rPr>
        <w:t xml:space="preserve">4.7  </w:t>
      </w:r>
      <w:r>
        <w:t>Custos Emergenciais de Defesa. Em situação de urgência, e quando não for possível obter a prévia anuência da Seguradora, os Custos de Defesa emergenciais incorridos nas primeiras 72 (setenta e duas) horas serão reembolsados, limitada ao sublimite de R$ 500.000,00, que integra e não se soma ao LMG, desde que o Sinistro seja comunicado em até 5 (cinco) dias úteis.</w:t>
      </w:r>
    </w:p>
    <w:p>
      <w:pPr>
        <w:ind w:left="624" w:hanging="624"/>
        <w:jc w:val="both"/>
      </w:pPr>
      <w:r>
        <w:rPr>
          <w:b/>
        </w:rPr>
        <w:t xml:space="preserve">4.8  </w:t>
      </w:r>
      <w:r>
        <w:t>Custos de Investigação. A Seguradora reembolsará ou adiantará os Custos de Defesa razoáveis do Segurado em razão de Investigação Formal instaurada por autoridade administrativa, policial, regulatória ou autorreguladora, ainda que não tenha havido Reclamação, desde que o Segurado seja intimado a prestar depoimento ou esclarecimentos, limitada ao sublimite de R$ 3.000.000,00, que integra e não se soma ao LMG.</w:t>
      </w:r>
    </w:p>
    <w:p>
      <w:pPr>
        <w:ind w:left="624" w:hanging="624"/>
        <w:jc w:val="both"/>
      </w:pPr>
      <w:r>
        <w:rPr>
          <w:b/>
        </w:rPr>
        <w:t xml:space="preserve">4.9  </w:t>
      </w:r>
      <w:r>
        <w:t>Salvamento e Contenção. A Seguradora reembolsará as despesas razoáveis, previamente autorizadas, que o Segurado ou o Tomador tenham realizado para evitar ou reduzir a Perda decorrente de Ato Danoso já notificado (salvamento e contenção do Sinistro), limitada ao sublimite de R$ 1.000.000,00, que integra e não se soma ao LMG, nos termos do art. 771, parágrafo único, do Código Civil.</w:t>
      </w:r>
    </w:p>
    <w:p>
      <w:pPr>
        <w:pStyle w:val="Heading2"/>
      </w:pPr>
      <w:r>
        <w:t>CLÁUSULA 5 – EXTENSÕES DE COBERTURA</w:t>
      </w:r>
    </w:p>
    <w:p>
      <w:pPr>
        <w:ind w:left="624" w:hanging="624"/>
        <w:jc w:val="both"/>
      </w:pPr>
      <w:r>
        <w:rPr>
          <w:b/>
        </w:rPr>
        <w:t xml:space="preserve">5.1  </w:t>
      </w:r>
      <w:r>
        <w:t>Sujeitas ao LMG, às Franquias e às exclusões destas Condições Gerais, estão contratadas as extensões abaixo, nos limites do Quadro 2. Sublimites integram o LMG e não são adicionais a ele.</w:t>
      </w:r>
    </w:p>
    <w:p>
      <w:pPr>
        <w:ind w:left="624" w:hanging="624"/>
        <w:jc w:val="both"/>
      </w:pPr>
      <w:r>
        <w:rPr>
          <w:b/>
        </w:rPr>
        <w:t xml:space="preserve">5.2  </w:t>
      </w:r>
      <w:r>
        <w:t>Diretor de Entidade Externa. Estende-se a cobertura ao Segurado que, por indicação escrita do Tomador, exerça cargo em Entidade Externa, limitada ao sublimite de R$ 1.000.000,00, que integra e não se soma ao LMG. Esta cobertura é excedente a qualquer seguro ou indenização prestado pela Entidade Externa.</w:t>
      </w:r>
    </w:p>
    <w:p>
      <w:pPr>
        <w:ind w:left="624" w:hanging="624"/>
        <w:jc w:val="both"/>
      </w:pPr>
      <w:r>
        <w:rPr>
          <w:b/>
        </w:rPr>
        <w:t xml:space="preserve">5.3  </w:t>
      </w:r>
      <w:r>
        <w:t>Avalistas, Fiadores e Fiel Depositário. A cobertura se estende ao Segurado que tenha prestado aval, fiança ou garantia pessoal, ou assumido encargo de fiel depositário, em favor do Tomador ou de Subsidiária, em razão do exercício de suas funções, limitada ao sublimite de R$ 5.000.000,00, que integra e não se soma ao LMG.</w:t>
      </w:r>
    </w:p>
    <w:p>
      <w:pPr>
        <w:ind w:left="624" w:hanging="624"/>
        <w:jc w:val="both"/>
      </w:pPr>
      <w:r>
        <w:rPr>
          <w:b/>
        </w:rPr>
        <w:t xml:space="preserve">5.4  </w:t>
      </w:r>
      <w:r>
        <w:t>Multas e Penalidades. Estão cobertas as multas e penalidades civis e administrativas impostas pessoalmente ao Segurado, na medida em que sejam seguráveis pela lei aplicável, limitada ao sublimite de R$ 5.000.000,00, que integra e não se soma ao LMG. A Seguradora pagará também os Custos de Defesa do processo que as originou.</w:t>
      </w:r>
    </w:p>
    <w:p>
      <w:pPr>
        <w:ind w:left="624" w:hanging="624"/>
        <w:jc w:val="both"/>
      </w:pPr>
      <w:r>
        <w:rPr>
          <w:b/>
        </w:rPr>
        <w:t xml:space="preserve">5.5  </w:t>
      </w:r>
      <w:r>
        <w:t>Novas Subsidiárias. Consideram-se automaticamente Subsidiárias as sociedades constituídas ou adquiridas pelo Tomador após o início da vigência cujo ativo total não exceda 25% (vinte e cinco por cento) do ativo consolidado do Tomador. Acima desse percentual, a inclusão depende de aceitação pela Seguradora e de eventual prêmio adicional. A extensão é concedida até o LMG, sem sublimite específico.</w:t>
      </w:r>
    </w:p>
    <w:p>
      <w:pPr>
        <w:ind w:left="624" w:hanging="624"/>
        <w:jc w:val="both"/>
      </w:pPr>
      <w:r>
        <w:rPr>
          <w:b/>
        </w:rPr>
        <w:t xml:space="preserve">5.6  </w:t>
      </w:r>
      <w:r>
        <w:t>Práticas Trabalhistas Indevidas. Estão cobertas as Reclamações contra o Segurado por Práticas Trabalhistas Indevidas, assim entendidas demissão sem justa causa alegadamente abusiva, discriminação, assédio moral ou sexual e retaliação, limitada ao sublimite de R$ 5.000.000,00, que integra e não se soma ao LMG. A cobertura não abrange verbas rescisórias, salários, encargos e benefícios devidos pelo Tomador.</w:t>
      </w:r>
    </w:p>
    <w:p>
      <w:pPr>
        <w:ind w:left="624" w:hanging="624"/>
        <w:jc w:val="both"/>
      </w:pPr>
      <w:r>
        <w:rPr>
          <w:b/>
        </w:rPr>
        <w:t xml:space="preserve">5.7  </w:t>
      </w:r>
      <w:r>
        <w:t>Proteção da Imagem Pessoal e Relações Públicas. A Seguradora reembolsará as despesas com consultoria de comunicação e relações públicas contratadas com sua prévia aprovação para proteger a imagem pessoal do Segurado após a notificação de Reclamação coberta, limitada ao sublimite de R$ 500.000,00, que integra e não se soma ao LMG.</w:t>
      </w:r>
    </w:p>
    <w:p>
      <w:pPr>
        <w:ind w:left="624" w:hanging="624"/>
        <w:jc w:val="both"/>
      </w:pPr>
      <w:r>
        <w:rPr>
          <w:b/>
        </w:rPr>
        <w:t xml:space="preserve">5.8  </w:t>
      </w:r>
      <w:r>
        <w:t>Responsabilidade Tributária e Previdenciária. Estão cobertas as Reclamações que atribuam ao Segurado responsabilidade pessoal por tributos e contribuições não recolhidos pelo Tomador (arts. 135 do Código Tributário Nacional e 50 do Código Civil), limitada ao sublimite de R$ 5.000.000,00, que integra e não se soma ao LMG. O tributo em si, seus acréscimos e a multa fiscal ficam excluídos, salvo se expressamente indicados no Quadro 2.</w:t>
      </w:r>
    </w:p>
    <w:p>
      <w:pPr>
        <w:ind w:left="624" w:hanging="624"/>
        <w:jc w:val="both"/>
      </w:pPr>
      <w:r>
        <w:rPr>
          <w:b/>
        </w:rPr>
        <w:t xml:space="preserve">5.9  </w:t>
      </w:r>
      <w:r>
        <w:t>Contadores, Gerentes de Riscos e Auditores Internos. São equiparados ao Segurado os contadores, gerentes de riscos, de conformidade e auditores internos do Tomador, pelos atos praticados nessa função e dentro do escopo de suas atribuições, até o LMG, sem sublimite específico.</w:t>
      </w:r>
    </w:p>
    <w:p>
      <w:pPr>
        <w:ind w:left="624" w:hanging="624"/>
        <w:jc w:val="both"/>
      </w:pPr>
      <w:r>
        <w:rPr>
          <w:b/>
        </w:rPr>
        <w:t xml:space="preserve">5.10  </w:t>
      </w:r>
      <w:r>
        <w:t>Danos Corporais. Estão cobertas as Reclamações por danos corporais, inclusive morte, sofridos por terceiros, quando imputados ao Segurado por falha de gestão, limitada ao sublimite de R$ 2.000.000,00, que integra e não se soma ao LMG.</w:t>
      </w:r>
    </w:p>
    <w:p>
      <w:pPr>
        <w:ind w:left="624" w:hanging="624"/>
        <w:jc w:val="both"/>
      </w:pPr>
      <w:r>
        <w:rPr>
          <w:b/>
        </w:rPr>
        <w:t xml:space="preserve">5.11  </w:t>
      </w:r>
      <w:r>
        <w:t>Danos Materiais. Estão cobertas as Reclamações por danos materiais causados a terceiros por Ato Danoso do Segurado, limitada ao sublimite de R$ 5.000.000,00, que integra e não se soma ao LMG.</w:t>
      </w:r>
    </w:p>
    <w:p>
      <w:pPr>
        <w:ind w:left="624" w:hanging="624"/>
        <w:jc w:val="both"/>
      </w:pPr>
      <w:r>
        <w:rPr>
          <w:b/>
        </w:rPr>
        <w:t xml:space="preserve">5.12  </w:t>
      </w:r>
      <w:r>
        <w:t>Danos Morais. Estão cobertas as indenizações por danos morais impostas ao Segurado em decorrência de Reclamação coberta, até o LMG, sem sublimite específico.</w:t>
      </w:r>
    </w:p>
    <w:p>
      <w:pPr>
        <w:ind w:left="624" w:hanging="624"/>
        <w:jc w:val="both"/>
      </w:pPr>
      <w:r>
        <w:rPr>
          <w:b/>
        </w:rPr>
        <w:t xml:space="preserve">5.13  </w:t>
      </w:r>
      <w:r>
        <w:t>Eventos Extraordinários com Reguladores. Estão cobertos os Custos de Defesa e de assessoria do Segurado em eventos extraordinários iniciados por reguladores, como fiscalização especial, intervenção, regime especial ou termo de cessação, limitada ao sublimite de R$ 1.000.000,00, que integra e não se soma ao LMG.</w:t>
      </w:r>
    </w:p>
    <w:p>
      <w:pPr>
        <w:ind w:left="624" w:hanging="624"/>
        <w:jc w:val="both"/>
      </w:pPr>
      <w:r>
        <w:rPr>
          <w:b/>
        </w:rPr>
        <w:t xml:space="preserve">5.14  </w:t>
      </w:r>
      <w:r>
        <w:t>Gerenciamento de Crise. A Seguradora reembolsará ao Tomador as despesas com consultoria de gerenciamento de crise contratada após um Evento de Crise notificado, pelo prazo de até 90 dias, limitada ao sublimite de R$ 500.000,00, que integra e não se soma ao LMG.</w:t>
      </w:r>
    </w:p>
    <w:p>
      <w:pPr>
        <w:ind w:left="624" w:hanging="624"/>
        <w:jc w:val="both"/>
      </w:pPr>
      <w:r>
        <w:rPr>
          <w:b/>
        </w:rPr>
        <w:t xml:space="preserve">5.15  </w:t>
      </w:r>
      <w:r>
        <w:t>Herdeiros, Sucessores, Espólio, Cônjuge e Companheiro. A cobertura se estende a herdeiros, sucessores, representantes legais, ao espólio e ao cônjuge ou companheiro do Segurado, quando Reclamados exclusivamente por ato do Segurado coberto por esta apólice, até o LMG, sem sublimite específico.</w:t>
      </w:r>
    </w:p>
    <w:p>
      <w:pPr>
        <w:ind w:left="624" w:hanging="624"/>
        <w:jc w:val="both"/>
      </w:pPr>
      <w:r>
        <w:rPr>
          <w:b/>
        </w:rPr>
        <w:t xml:space="preserve">5.16  </w:t>
      </w:r>
      <w:r>
        <w:t>Responsabilidade Solidária sobre Bens. Fica garantida a Reclamação em que o patrimônio comum do Segurado e de seu cônjuge ou companheiro responda solidariamente por dívida decorrente de Ato Danoso coberto, até o LMG, sem sublimite específico.</w:t>
      </w:r>
    </w:p>
    <w:p>
      <w:pPr>
        <w:ind w:left="624" w:hanging="624"/>
        <w:jc w:val="both"/>
      </w:pPr>
      <w:r>
        <w:rPr>
          <w:b/>
        </w:rPr>
        <w:t xml:space="preserve">5.17  </w:t>
      </w:r>
      <w:r>
        <w:t>Responsabilidade Civil Ambiental. Estão cobertas as Reclamações contra o Segurado por dano ambiental decorrente de decisão de gestão, com base nos arts. 3º e 14 da Lei 6.938/1981 e 225 da Constituição Federal, limitada ao sublimite de R$ 10.000.000,00, que integra e não se soma ao LMG. Ficam excluídos os custos de limpeza, remediação e recuperação da área, a cargo do Tomador.</w:t>
      </w:r>
    </w:p>
    <w:p>
      <w:pPr>
        <w:ind w:left="624" w:hanging="624"/>
        <w:jc w:val="both"/>
      </w:pPr>
      <w:r>
        <w:rPr>
          <w:b/>
        </w:rPr>
        <w:t xml:space="preserve">5.18  </w:t>
      </w:r>
      <w:r>
        <w:t>Reclamações da Sociedade, Acionistas ou Sócios contra o Segurado. Estão cobertas as Reclamações contra o Segurado apresentadas pelo Tomador, por acionista ou por sócio, inclusive ação social de responsabilidade (art. 159 da Lei 6.404/1976) e ação derivada, até o LMG, sem sublimite específico.</w:t>
      </w:r>
    </w:p>
    <w:p>
      <w:pPr>
        <w:ind w:left="624" w:hanging="624"/>
        <w:jc w:val="both"/>
      </w:pPr>
      <w:r>
        <w:rPr>
          <w:b/>
        </w:rPr>
        <w:t xml:space="preserve">5.19  </w:t>
      </w:r>
      <w:r>
        <w:t>Reclamações entre Segurados. Estão cobertas as Reclamações apresentadas por um Segurado contra outro Segurado, desde que não instigadas por outro Segurado, até o LMG, sem sublimite específico.</w:t>
      </w:r>
    </w:p>
    <w:p>
      <w:pPr>
        <w:ind w:left="624" w:hanging="624"/>
        <w:jc w:val="both"/>
      </w:pPr>
      <w:r>
        <w:rPr>
          <w:b/>
        </w:rPr>
        <w:t xml:space="preserve">5.20  </w:t>
      </w:r>
      <w:r>
        <w:t>TAC, Termos de Compromisso e Acordos com Autoridades. A Seguradora arcará com os Custos de Defesa e com os valores acordados pelo Segurado em Termo de Ajustamento de Conduta (TAC), Termo de Compromisso (TC) ou acordo administrativo com autoridade, limitada ao sublimite de R$ 3.000.000,00, que integra e não se soma ao LMG, desde que precedidos de consentimento.</w:t>
      </w:r>
    </w:p>
    <w:p>
      <w:pPr>
        <w:ind w:left="624" w:hanging="624"/>
        <w:jc w:val="both"/>
      </w:pPr>
      <w:r>
        <w:rPr>
          <w:b/>
        </w:rPr>
        <w:t xml:space="preserve">5.21  </w:t>
      </w:r>
      <w:r>
        <w:t>As coberturas a seguir constam destas Condições Gerais apenas como opção. Não foram contratadas, não integram a Especificação e só passarão a vigorar mediante endosso específico e pagamento de prêmio adicional. A menção ao termo nestas Condições Gerais não gera direito a indenização:</w:t>
      </w:r>
    </w:p>
    <w:p>
      <w:pPr>
        <w:ind w:left="907"/>
        <w:jc w:val="both"/>
      </w:pPr>
      <w:r>
        <w:t>a) Extradição.</w:t>
      </w:r>
    </w:p>
    <w:p>
      <w:pPr>
        <w:ind w:left="907"/>
        <w:jc w:val="both"/>
      </w:pPr>
      <w:r>
        <w:t>b) Inabilitação de Segurado.</w:t>
      </w:r>
    </w:p>
    <w:p>
      <w:pPr>
        <w:ind w:left="907"/>
        <w:jc w:val="both"/>
      </w:pPr>
      <w:r>
        <w:t>c) Advogados Internos.</w:t>
      </w:r>
    </w:p>
    <w:p>
      <w:pPr>
        <w:ind w:left="907"/>
        <w:jc w:val="both"/>
      </w:pPr>
      <w:r>
        <w:t>d) Erros e Omissões – Prestação de Serviços Profissionais.</w:t>
      </w:r>
    </w:p>
    <w:p>
      <w:pPr>
        <w:ind w:left="907"/>
        <w:jc w:val="both"/>
      </w:pPr>
      <w:r>
        <w:t>e) Processos no Exterior.</w:t>
      </w:r>
    </w:p>
    <w:p>
      <w:pPr>
        <w:pStyle w:val="Heading2"/>
      </w:pPr>
      <w:r>
        <w:t>CLÁUSULA 6 – LIMITES, SUBLIMITES, FRANQUIA E EROSÃO</w:t>
      </w:r>
    </w:p>
    <w:p>
      <w:pPr>
        <w:ind w:left="624" w:hanging="624"/>
        <w:jc w:val="both"/>
      </w:pPr>
      <w:r>
        <w:rPr>
          <w:b/>
        </w:rPr>
        <w:t xml:space="preserve">6.1  </w:t>
      </w:r>
      <w:r>
        <w:t>O LMG é o valor máximo agregado que a Seguradora pagará na vigência, incluindo o Prazo Complementar, para todas as Reclamações, Perdas e coberturas, independentemente do número de Segurados, Reclamações ou reclamantes.</w:t>
      </w:r>
    </w:p>
    <w:p>
      <w:pPr>
        <w:ind w:left="624" w:hanging="624"/>
        <w:jc w:val="both"/>
      </w:pPr>
      <w:r>
        <w:rPr>
          <w:b/>
        </w:rPr>
        <w:t xml:space="preserve">6.2  </w:t>
      </w:r>
      <w:r>
        <w:t>Sublimites, quando indicados no Quadro 2, são agregados por vigência, integram o LMG e não se somam a ele. O pagamento de um sublimite erode o LMG.</w:t>
      </w:r>
    </w:p>
    <w:p>
      <w:pPr>
        <w:ind w:left="624" w:hanging="624"/>
        <w:jc w:val="both"/>
      </w:pPr>
      <w:r>
        <w:rPr>
          <w:b/>
        </w:rPr>
        <w:t xml:space="preserve">6.3  </w:t>
      </w:r>
      <w:r>
        <w:t>A Franquia do Quadro 3 é deduzida de cada Reclamação. Quando mais de uma Franquia for aplicável a um mesmo Sinistro, prevalecerá a maior. Não se aplica Franquia aos Custos de Defesa da Cobertura A.</w:t>
      </w:r>
    </w:p>
    <w:p>
      <w:pPr>
        <w:ind w:left="624" w:hanging="624"/>
        <w:jc w:val="both"/>
      </w:pPr>
      <w:r>
        <w:rPr>
          <w:b/>
        </w:rPr>
        <w:t xml:space="preserve">6.4  </w:t>
      </w:r>
      <w:r>
        <w:t>Ordem de pagamento. Existindo Reclamações simultâneas, a Seguradora pagará primeiro as Perdas da Cobertura A, depois as da Cobertura B e, por último, as demais coberturas, podendo suspender pagamentos da Cobertura B ou da Cobertura C, para não comprometer o LMG em prejuízo dos Segurados.</w:t>
      </w:r>
    </w:p>
    <w:p>
      <w:pPr>
        <w:ind w:left="624" w:hanging="624"/>
        <w:jc w:val="both"/>
      </w:pPr>
      <w:r>
        <w:rPr>
          <w:b/>
        </w:rPr>
        <w:t xml:space="preserve">6.5  </w:t>
      </w:r>
      <w:r>
        <w:t>Esgotado o LMG, cessam todas as obrigações da Seguradora, inclusive o adiantamento de Custos de Defesa, salvo o Limite adicional da Cobertura A, se contratado.</w:t>
      </w:r>
    </w:p>
    <w:p>
      <w:pPr>
        <w:ind w:left="624" w:hanging="624"/>
        <w:jc w:val="both"/>
      </w:pPr>
      <w:r>
        <w:rPr>
          <w:b/>
        </w:rPr>
        <w:t xml:space="preserve">6.6  </w:t>
      </w:r>
      <w:r>
        <w:t>Não há reinstalação de limite nem limite adicional exclusivo da Cobertura A.</w:t>
      </w:r>
    </w:p>
    <w:p>
      <w:pPr>
        <w:pStyle w:val="Heading2"/>
      </w:pPr>
      <w:r>
        <w:t>CLÁUSULA 7 – VIGÊNCIA, RETROATIVIDADE, PRAZO COMPLEMENTAR E SUPLEMENTAR</w:t>
      </w:r>
    </w:p>
    <w:p>
      <w:pPr>
        <w:ind w:left="624" w:hanging="624"/>
        <w:jc w:val="both"/>
      </w:pPr>
      <w:r>
        <w:rPr>
          <w:b/>
        </w:rPr>
        <w:t xml:space="preserve">7.1  </w:t>
      </w:r>
      <w:r>
        <w:t>A vigência da apólice é a indicada na capa, com início e término às 24 horas das datas ali informadas.</w:t>
      </w:r>
    </w:p>
    <w:p>
      <w:pPr>
        <w:ind w:left="624" w:hanging="624"/>
        <w:jc w:val="both"/>
      </w:pPr>
      <w:r>
        <w:rPr>
          <w:b/>
        </w:rPr>
        <w:t xml:space="preserve">7.2  </w:t>
      </w:r>
      <w:r>
        <w:t>Período de retroatividade. Estão cobertas Reclamações por Ato Danoso praticado nos 24 (vinte e quatro) meses imediatamente anteriores ao início da vigência. Atos anteriores a esse período não estão cobertos, salvo endosso específico.</w:t>
      </w:r>
    </w:p>
    <w:p>
      <w:pPr>
        <w:ind w:left="624" w:hanging="624"/>
        <w:jc w:val="both"/>
      </w:pPr>
      <w:r>
        <w:rPr>
          <w:b/>
        </w:rPr>
        <w:t xml:space="preserve">7.3  </w:t>
      </w:r>
      <w:r>
        <w:t>Prazo Complementar. Mediante requerimento escrito em até 30 (trinta) dias do término da vigência e pagamento de prêmio adicional de 25% do prêmio anual, será concedido Prazo Complementar de 12 (doze) meses. Não havendo requerimento, a cobertura cessa no fim da vigência.</w:t>
      </w:r>
    </w:p>
    <w:p>
      <w:pPr>
        <w:ind w:left="624" w:hanging="624"/>
        <w:jc w:val="both"/>
      </w:pPr>
      <w:r>
        <w:rPr>
          <w:b/>
        </w:rPr>
        <w:t xml:space="preserve">7.4  </w:t>
      </w:r>
      <w:r>
        <w:t>Prazo Suplementar. Além do Prazo Complementar, o Tomador poderá contratar Prazo Suplementar de 36 (trinta e seis) meses mediante prêmio adicional de 75% do prêmio anual, requerido em até 30 dias após o término da vigência. O Prazo Suplementar não reinstala o limite e cobre somente atos anteriores ao término.</w:t>
      </w:r>
    </w:p>
    <w:p>
      <w:pPr>
        <w:ind w:left="624" w:hanging="624"/>
        <w:jc w:val="both"/>
      </w:pPr>
      <w:r>
        <w:rPr>
          <w:b/>
        </w:rPr>
        <w:t xml:space="preserve">7.5  </w:t>
      </w:r>
      <w:r>
        <w:t>Segurados aposentados. O Segurado que, durante a vigência, se aposentar ou deixar o cargo por término de mandato terá Prazo Complementar de 24 (vinte e quatro) meses para Reclamações por atos anteriores ao desligamento, independentemente da renovação da apólice.</w:t>
      </w:r>
    </w:p>
    <w:p>
      <w:pPr>
        <w:ind w:left="624" w:hanging="624"/>
        <w:jc w:val="both"/>
      </w:pPr>
      <w:r>
        <w:rPr>
          <w:b/>
        </w:rPr>
        <w:t xml:space="preserve">7.6  </w:t>
      </w:r>
      <w:r>
        <w:t>Demissão voluntária e desligamento. O Segurado que, durante a vigência, se desligar por demissão voluntária terá Prazo Complementar de 12 (doze) meses para Reclamações por atos anteriores ao desligamento, independentemente da renovação da apólice.</w:t>
      </w:r>
    </w:p>
    <w:p>
      <w:pPr>
        <w:pStyle w:val="Heading2"/>
      </w:pPr>
      <w:r>
        <w:t>CLÁUSULA 8 – ÂMBITO TERRITORIAL E JURISDIÇÃO</w:t>
      </w:r>
    </w:p>
    <w:p>
      <w:pPr>
        <w:ind w:left="624" w:hanging="624"/>
        <w:jc w:val="both"/>
      </w:pPr>
      <w:r>
        <w:rPr>
          <w:b/>
        </w:rPr>
        <w:t xml:space="preserve">8.1  </w:t>
      </w:r>
      <w:r>
        <w:t>A cobertura vale no Brasil e nos países do Mercosul em que o Tomador possua Subsidiária indicada no Quadro 5, para Reclamações apresentadas nesses territórios. Fora deles, não há cobertura.</w:t>
      </w:r>
    </w:p>
    <w:p>
      <w:pPr>
        <w:ind w:left="624" w:hanging="624"/>
        <w:jc w:val="both"/>
      </w:pPr>
      <w:r>
        <w:rPr>
          <w:b/>
        </w:rPr>
        <w:t xml:space="preserve">8.2  </w:t>
      </w:r>
      <w:r>
        <w:t>Jurisdição: Tribunais brasileiros e paraguaios, nas matérias das Subsidiárias indicadas.</w:t>
      </w:r>
    </w:p>
    <w:p>
      <w:pPr>
        <w:ind w:left="624" w:hanging="624"/>
        <w:jc w:val="both"/>
      </w:pPr>
      <w:r>
        <w:rPr>
          <w:b/>
        </w:rPr>
        <w:t xml:space="preserve">8.3  </w:t>
      </w:r>
      <w:r>
        <w:t>Sanções. A Seguradora não presta cobertura, nem paga sinistro ou benefício, se isso a expuser a sanção, proibição ou restrição decorrente de resoluções da ONU, ou de leis de sanções econômicas ou comerciais do Brasil, da União Europeia, do Reino Unido ou dos Estados Unidos da América.</w:t>
      </w:r>
    </w:p>
    <w:p>
      <w:pPr>
        <w:pStyle w:val="Heading2"/>
      </w:pPr>
      <w:r>
        <w:t>CLÁUSULA 9 – EXCLUSÕES GERAIS</w:t>
      </w:r>
    </w:p>
    <w:p>
      <w:pPr>
        <w:ind w:left="624" w:hanging="624"/>
        <w:jc w:val="both"/>
      </w:pPr>
      <w:r>
        <w:rPr>
          <w:b/>
        </w:rPr>
        <w:t xml:space="preserve">9.1  </w:t>
      </w:r>
      <w:r>
        <w:t>Além dos riscos excluídos por lei, a Seguradora não responde por Reclamações, Perdas ou Custos de Defesa:</w:t>
      </w:r>
    </w:p>
    <w:p>
      <w:pPr>
        <w:ind w:left="907"/>
        <w:jc w:val="both"/>
      </w:pPr>
      <w:r>
        <w:t>a) decorrentes de ato doloso, fraude, ato de improbidade ou vantagem pessoal indevida do Segurado, reconhecidos em decisão judicial ou arbitral definitiva. Até a decisão, os Custos de Defesa serão adiantados, com restituição posterior;</w:t>
      </w:r>
    </w:p>
    <w:p>
      <w:pPr>
        <w:ind w:left="907"/>
        <w:jc w:val="both"/>
      </w:pPr>
      <w:r>
        <w:t>b) por lucro, remuneração ou vantagem a que o Segurado não tinha direito legal, inclusive operações com partes relacionadas em condições não equitativas;</w:t>
      </w:r>
    </w:p>
    <w:p>
      <w:pPr>
        <w:ind w:left="907"/>
        <w:jc w:val="both"/>
      </w:pPr>
      <w:r>
        <w:t>c) fundadas em fatos, atos ou Circunstâncias conhecidos pelo Tomador ou pelo Segurado antes do início da vigência, ou já notificados a outra apólice;</w:t>
      </w:r>
    </w:p>
    <w:p>
      <w:pPr>
        <w:ind w:left="907"/>
        <w:jc w:val="both"/>
      </w:pPr>
      <w:r>
        <w:t>d) decorrentes de processo judicial, arbitral ou administrativo pendente, ou de litígio anterior, ou de fatos neles alegados;</w:t>
      </w:r>
    </w:p>
    <w:p>
      <w:pPr>
        <w:ind w:left="907"/>
        <w:jc w:val="both"/>
      </w:pPr>
      <w:r>
        <w:t>e) por guerra, invasão, atos de inimigo estrangeiro, guerra civil, terrorismo, radiação, contaminação nuclear ou reação nuclear;</w:t>
      </w:r>
    </w:p>
    <w:p>
      <w:pPr>
        <w:ind w:left="907"/>
        <w:jc w:val="both"/>
      </w:pPr>
      <w:r>
        <w:t>f) por responsabilidade assumida por contrato, garantia ou promessa, salvo se a responsabilidade existisse independentemente do contrato;</w:t>
      </w:r>
    </w:p>
    <w:p>
      <w:pPr>
        <w:ind w:left="907"/>
        <w:jc w:val="both"/>
      </w:pPr>
      <w:r>
        <w:t>g) por Reclamação relativa a benefícios de previdência complementar, Lei ERISA ou administração de plano de benefícios;</w:t>
      </w:r>
    </w:p>
    <w:p>
      <w:pPr>
        <w:ind w:left="907"/>
        <w:jc w:val="both"/>
      </w:pPr>
      <w:r>
        <w:t>h) por multa, sanção ou penalidade que a lei proíba segurar, ou de caráter punitivo ou exemplar;</w:t>
      </w:r>
    </w:p>
    <w:p>
      <w:pPr>
        <w:ind w:left="907"/>
        <w:jc w:val="both"/>
      </w:pPr>
      <w:r>
        <w:t>i) por descumprimento de obrigação de pagar prêmios, tributos, encargos ou verbas trabalhistas próprios do Tomador;</w:t>
      </w:r>
    </w:p>
    <w:p>
      <w:pPr>
        <w:ind w:left="907"/>
        <w:jc w:val="both"/>
      </w:pPr>
      <w:r>
        <w:t>j) por propriedade intelectual, patentes, marcas, segredos industriais ou direitos autorais, salvo Custos de Defesa;</w:t>
      </w:r>
    </w:p>
    <w:p>
      <w:pPr>
        <w:ind w:left="907"/>
        <w:jc w:val="both"/>
      </w:pPr>
      <w:r>
        <w:t>k) por atos do Segurado em outra sociedade não indicada como Subsidiária ou Entidade Externa coberta;</w:t>
      </w:r>
    </w:p>
    <w:p>
      <w:pPr>
        <w:ind w:left="907"/>
        <w:jc w:val="both"/>
      </w:pPr>
      <w:r>
        <w:t>l) por Reclamação apresentada em jurisdição ou por pessoa sujeita a sanção que impeça o pagamento (Cláusula 8).</w:t>
      </w:r>
    </w:p>
    <w:p>
      <w:pPr>
        <w:pStyle w:val="Heading2"/>
      </w:pPr>
      <w:r>
        <w:t>CLÁUSULA 10 – EXCLUSÕES ESPECÍFICAS</w:t>
      </w:r>
    </w:p>
    <w:p>
      <w:pPr>
        <w:ind w:left="624" w:hanging="624"/>
        <w:jc w:val="both"/>
      </w:pPr>
      <w:r>
        <w:rPr>
          <w:b/>
        </w:rPr>
        <w:t xml:space="preserve">10.1  </w:t>
      </w:r>
      <w:r>
        <w:t>Poluição. Fica excluída a poluição gradual, contínua ou previsível, assim como a decorrente de descumprimento doloso da legislação ambiental ou de licenças conhecidas do Tomador antes do início da vigência.</w:t>
      </w:r>
    </w:p>
    <w:p>
      <w:pPr>
        <w:ind w:left="624" w:hanging="624"/>
        <w:jc w:val="both"/>
      </w:pPr>
      <w:r>
        <w:rPr>
          <w:b/>
        </w:rPr>
        <w:t xml:space="preserve">10.2  </w:t>
      </w:r>
      <w:r>
        <w:t>Fora as hipóteses anteriores, as Reclamações por dano ambiental, inclusive multas ambientais seguráveis, estão cobertas nos termos da Cláusula 5. Ficam excluídos apenas os custos de limpeza e remediação que constituam obrigação própria do Tomador.</w:t>
      </w:r>
    </w:p>
    <w:p>
      <w:pPr>
        <w:ind w:left="624" w:hanging="624"/>
        <w:jc w:val="both"/>
      </w:pPr>
      <w:r>
        <w:rPr>
          <w:b/>
        </w:rPr>
        <w:t xml:space="preserve">10.3  </w:t>
      </w:r>
      <w:r>
        <w:t>Atos Lesivos à Administração Pública (Lei 12.846/2013). Ficam excluídas Reclamações e Investigações relacionadas a Atos Lesivos à Administração Pública, corrupção, suborno ou lavagem de dinheiro, inclusive os Custos de Defesa, até decisão final que afaste a ocorrência.</w:t>
      </w:r>
    </w:p>
    <w:p>
      <w:pPr>
        <w:pStyle w:val="Heading2"/>
      </w:pPr>
      <w:r>
        <w:t>CLÁUSULA 11 – NOTIFICAÇÃO DE RECLAMAÇÕES E CIRCUNSTÂNCIAS</w:t>
      </w:r>
    </w:p>
    <w:p>
      <w:pPr>
        <w:ind w:left="624" w:hanging="624"/>
        <w:jc w:val="both"/>
      </w:pPr>
      <w:r>
        <w:rPr>
          <w:b/>
        </w:rPr>
        <w:t xml:space="preserve">11.1  </w:t>
      </w:r>
      <w:r>
        <w:t>O Tomador ou o Segurado deverá notificar a Seguradora, por escrito, de qualquer Reclamação assim que dela tomar conhecimento e em até 45 (quarenta e cinco) dias, e sempre até o fim da vigência ou do Prazo Complementar, o que ocorrer primeiro.</w:t>
      </w:r>
    </w:p>
    <w:p>
      <w:pPr>
        <w:ind w:left="624" w:hanging="624"/>
        <w:jc w:val="both"/>
      </w:pPr>
      <w:r>
        <w:rPr>
          <w:b/>
        </w:rPr>
        <w:t xml:space="preserve">11.2  </w:t>
      </w:r>
      <w:r>
        <w:t>Notificação de Circunstâncias. Se, durante a vigência, o Tomador ou o Segurado tiver conhecimento de Circunstância que possa originar Reclamação, poderá notificá-la à Seguradora com descrição dos fatos, das pessoas envolvidas, da data e dos possíveis reclamantes. A Reclamação posterior será tratada como apresentada na vigência em que a Circunstância foi notificada.</w:t>
      </w:r>
    </w:p>
    <w:p>
      <w:pPr>
        <w:ind w:left="624" w:hanging="624"/>
        <w:jc w:val="both"/>
      </w:pPr>
      <w:r>
        <w:rPr>
          <w:b/>
        </w:rPr>
        <w:t xml:space="preserve">11.3  </w:t>
      </w:r>
      <w:r>
        <w:t>A notificação tardia não prejudica a cobertura se realizada dentro da vigência ou do Prazo Complementar, mas a Seguradora não responde por Custos de Defesa incorridos antes da notificação sem sua anuência.</w:t>
      </w:r>
    </w:p>
    <w:p>
      <w:pPr>
        <w:pStyle w:val="Heading2"/>
      </w:pPr>
      <w:r>
        <w:t>CLÁUSULA 12 – SINISTRO, DEFESA E COOPERAÇÃO</w:t>
      </w:r>
    </w:p>
    <w:p>
      <w:pPr>
        <w:ind w:left="624" w:hanging="624"/>
        <w:jc w:val="both"/>
      </w:pPr>
      <w:r>
        <w:rPr>
          <w:b/>
        </w:rPr>
        <w:t xml:space="preserve">12.1  </w:t>
      </w:r>
      <w:r>
        <w:t>O Segurado e o Tomador cooperarão com a Seguradora, fornecendo documentos e informações, e não admitirão responsabilidade, não firmarão acordo nem incorrerão em despesas sem prévia anuência da Seguradora, que não a negará sem justo motivo.</w:t>
      </w:r>
    </w:p>
    <w:p>
      <w:pPr>
        <w:ind w:left="624" w:hanging="624"/>
        <w:jc w:val="both"/>
      </w:pPr>
      <w:r>
        <w:rPr>
          <w:b/>
        </w:rPr>
        <w:t xml:space="preserve">12.2  </w:t>
      </w:r>
      <w:r>
        <w:t>A Seguradora tem o direito de participar da defesa e das negociações. Se o Segurado recusar acordo recomendado pela Seguradora e aceito pelo reclamante, a Seguradora responde apenas até o valor do acordo recusado mais os Custos de Defesa razoáveis até então incorridos.</w:t>
      </w:r>
    </w:p>
    <w:p>
      <w:pPr>
        <w:ind w:left="624" w:hanging="624"/>
        <w:jc w:val="both"/>
      </w:pPr>
      <w:r>
        <w:rPr>
          <w:b/>
        </w:rPr>
        <w:t xml:space="preserve">12.3  </w:t>
      </w:r>
      <w:r>
        <w:t>A Seguradora tem 30 (trinta) dias, contados da entrega de todos os documentos, para se manifestar sobre a cobertura. O pedido de documentos complementares suspende esse prazo uma única vez. O pagamento será feito em até 30 (trinta) dias da decisão, sob pena de atualização monetária pelo IPCA e juros moratórios de 1% (um por cento) ao mês.</w:t>
      </w:r>
    </w:p>
    <w:p>
      <w:pPr>
        <w:pStyle w:val="Heading2"/>
      </w:pPr>
      <w:r>
        <w:t>CLÁUSULA 13 – DIREITO DE REGRESSO E SUB-ROGAÇÃO</w:t>
      </w:r>
    </w:p>
    <w:p>
      <w:pPr>
        <w:ind w:left="624" w:hanging="624"/>
        <w:jc w:val="both"/>
      </w:pPr>
      <w:r>
        <w:rPr>
          <w:b/>
        </w:rPr>
        <w:t xml:space="preserve">13.1  </w:t>
      </w:r>
      <w:r>
        <w:t>Paga a indenização, a Seguradora fica sub-rogada, até o limite do valor pago, nos direitos e ações do Segurado ou do Tomador contra terceiros, nos termos do art. 786 do Código Civil, obrigando-se o Segurado a colaborar e a não praticar ato que os prejudique.</w:t>
      </w:r>
    </w:p>
    <w:p>
      <w:pPr>
        <w:ind w:left="624" w:hanging="624"/>
        <w:jc w:val="both"/>
      </w:pPr>
      <w:r>
        <w:rPr>
          <w:b/>
        </w:rPr>
        <w:t xml:space="preserve">13.2  </w:t>
      </w:r>
      <w:r>
        <w:t>A Seguradora não exercerá direito de regresso contra o Segurado, exceto se a Reclamação for excluída por dolo ou fraude, hipótese em que poderá cobrar os valores pagos, atualizados. Não haverá regresso contra o Segurado por culpa, ainda que grave.</w:t>
      </w:r>
    </w:p>
    <w:p>
      <w:pPr>
        <w:ind w:left="624" w:hanging="624"/>
        <w:jc w:val="both"/>
      </w:pPr>
      <w:r>
        <w:rPr>
          <w:b/>
        </w:rPr>
        <w:t xml:space="preserve">13.3  </w:t>
      </w:r>
      <w:r>
        <w:t>Também não haverá sub-rogação contra herdeiros, cônjuge ou companheiro do Segurado, salvo nas hipóteses de dolo ou fraude.</w:t>
      </w:r>
    </w:p>
    <w:p>
      <w:pPr>
        <w:pStyle w:val="Heading2"/>
      </w:pPr>
      <w:r>
        <w:t>CLÁUSULA 14 – RATEIO, ALOCAÇÃO E OUTROS SEGUROS</w:t>
      </w:r>
    </w:p>
    <w:p>
      <w:pPr>
        <w:ind w:left="624" w:hanging="624"/>
        <w:jc w:val="both"/>
      </w:pPr>
      <w:r>
        <w:rPr>
          <w:b/>
        </w:rPr>
        <w:t xml:space="preserve">14.1  </w:t>
      </w:r>
      <w:r>
        <w:t>Quando a Reclamação envolver Perdas cobertas e não cobertas, ou Segurados cobertos e não cobertos, aplicar-se-á alocação justa e proporcional às exposições, envidando as partes seus melhores esforços para acordá-la. Os Custos de Defesa serão alocados integralmente à parte coberta quando a defesa beneficiar ambas.</w:t>
      </w:r>
    </w:p>
    <w:p>
      <w:pPr>
        <w:ind w:left="624" w:hanging="624"/>
        <w:jc w:val="both"/>
      </w:pPr>
      <w:r>
        <w:rPr>
          <w:b/>
        </w:rPr>
        <w:t xml:space="preserve">14.2  </w:t>
      </w:r>
      <w:r>
        <w:t>Este seguro é excedente a qualquer outro seguro válido e cobrável, inclusive de Entidade Externa, salvo o seguro contratado especificamente como excedente desta apólice.</w:t>
      </w:r>
    </w:p>
    <w:p>
      <w:pPr>
        <w:ind w:left="624" w:hanging="624"/>
        <w:jc w:val="both"/>
      </w:pPr>
      <w:r>
        <w:rPr>
          <w:b/>
        </w:rPr>
        <w:t xml:space="preserve">14.3  </w:t>
      </w:r>
      <w:r>
        <w:t>Havendo mais de uma apólice da Seguradora que cubra a mesma Reclamação, a responsabilidade total da Seguradora não excederá o maior limite aplicável.</w:t>
      </w:r>
    </w:p>
    <w:p>
      <w:pPr>
        <w:pStyle w:val="Heading2"/>
      </w:pPr>
      <w:r>
        <w:t>CLÁUSULA 15 – DECLARAÇÕES, AGRAVAMENTO DO RISCO E PERDA DE DIREITOS</w:t>
      </w:r>
    </w:p>
    <w:p>
      <w:pPr>
        <w:ind w:left="624" w:hanging="624"/>
        <w:jc w:val="both"/>
      </w:pPr>
      <w:r>
        <w:rPr>
          <w:b/>
        </w:rPr>
        <w:t xml:space="preserve">15.1  </w:t>
      </w:r>
      <w:r>
        <w:t>O Tomador e o Segurado declaram ser verdadeiras as informações da proposta, base desta apólice. Nos termos dos arts. 765 e 766 do Código Civil, a omissão ou inexatidão de má-fé, ou que influa na aceitação ou no prêmio, implica perda do direito à garantia. Se sem má-fé, a indenização será reduzida proporcionalmente à diferença de prêmio.</w:t>
      </w:r>
    </w:p>
    <w:p>
      <w:pPr>
        <w:ind w:left="624" w:hanging="624"/>
        <w:jc w:val="both"/>
      </w:pPr>
      <w:r>
        <w:rPr>
          <w:b/>
        </w:rPr>
        <w:t xml:space="preserve">15.2  </w:t>
      </w:r>
      <w:r>
        <w:t>O Tomador comunicará à Seguradora, em até 15 (quinze) dias, fusão, incorporação, cisão, alienação de controle, liquidação, recuperação judicial ou extrajudicial ou falência, de que resulte mudança do risco, nos termos do art. 769 do Código Civil.</w:t>
      </w:r>
    </w:p>
    <w:p>
      <w:pPr>
        <w:ind w:left="624" w:hanging="624"/>
        <w:jc w:val="both"/>
      </w:pPr>
      <w:r>
        <w:rPr>
          <w:b/>
        </w:rPr>
        <w:t xml:space="preserve">15.3  </w:t>
      </w:r>
      <w:r>
        <w:t>Perde direito à indenização quem agravar intencionalmente o risco, nos termos do art. 768 do Código Civil, ou quem prestar declaração falsa na notificação do Sinistro.</w:t>
      </w:r>
    </w:p>
    <w:p>
      <w:pPr>
        <w:pStyle w:val="Heading2"/>
      </w:pPr>
      <w:r>
        <w:t>CLÁUSULA 16 – PRÊMIO E PAGAMENTO</w:t>
      </w:r>
    </w:p>
    <w:p>
      <w:pPr>
        <w:ind w:left="624" w:hanging="624"/>
        <w:jc w:val="both"/>
      </w:pPr>
      <w:r>
        <w:rPr>
          <w:b/>
        </w:rPr>
        <w:t xml:space="preserve">16.1  </w:t>
      </w:r>
      <w:r>
        <w:t>O prêmio será pago em 5 parcelas mensais nas datas indicadas na proposta. O atraso de pagamento de qualquer parcela sujeita o valor a atualização monetária e juros de 1% (um por cento) ao mês e multa de 2% (dois por cento).</w:t>
      </w:r>
    </w:p>
    <w:p>
      <w:pPr>
        <w:ind w:left="624" w:hanging="624"/>
        <w:jc w:val="both"/>
      </w:pPr>
      <w:r>
        <w:rPr>
          <w:b/>
        </w:rPr>
        <w:t xml:space="preserve">16.2  </w:t>
      </w:r>
      <w:r>
        <w:t>A falta de pagamento de parcela, após notificação do Tomador, por 30 (trinta) dias, poderá levar ao cancelamento da apólice, conforme a Circular SUSEP nº 637/2021. Ocorrido o sinistro, as parcelas vincendas serão deduzidas da indenização.</w:t>
      </w:r>
    </w:p>
    <w:p>
      <w:pPr>
        <w:pStyle w:val="Heading2"/>
      </w:pPr>
      <w:r>
        <w:t>CLÁUSULA 17 – CANCELAMENTO E RENOVAÇÃO</w:t>
      </w:r>
    </w:p>
    <w:p>
      <w:pPr>
        <w:ind w:left="624" w:hanging="624"/>
        <w:jc w:val="both"/>
      </w:pPr>
      <w:r>
        <w:rPr>
          <w:b/>
        </w:rPr>
        <w:t xml:space="preserve">17.1  </w:t>
      </w:r>
      <w:r>
        <w:t>A apólice poderá ser cancelada pelo Tomador, a qualquer tempo, com devolução do prêmio proporcional ao prazo a decorrer, deduzida a parcela relativa às despesas de emissão, salvo se houver Reclamação notificada, caso em que o prêmio não será devolvido.</w:t>
      </w:r>
    </w:p>
    <w:p>
      <w:pPr>
        <w:ind w:left="624" w:hanging="624"/>
        <w:jc w:val="both"/>
      </w:pPr>
      <w:r>
        <w:rPr>
          <w:b/>
        </w:rPr>
        <w:t xml:space="preserve">17.2  </w:t>
      </w:r>
      <w:r>
        <w:t>A Seguradora somente poderá cancelar por falta de pagamento (Cláusula 16), por fraude ou por agravamento do risco (Cláusula 15), mediante aviso prévio de 30 (trinta) dias.</w:t>
      </w:r>
    </w:p>
    <w:p>
      <w:pPr>
        <w:ind w:left="624" w:hanging="624"/>
        <w:jc w:val="both"/>
      </w:pPr>
      <w:r>
        <w:rPr>
          <w:b/>
        </w:rPr>
        <w:t xml:space="preserve">17.3  </w:t>
      </w:r>
      <w:r>
        <w:t>A renovação depende de nova proposta e de aceitação pela Seguradora, que informará eventuais alterações com antecedência mínima de 60 (sessenta) dias. Não há renovação automática.</w:t>
      </w:r>
    </w:p>
    <w:p>
      <w:pPr>
        <w:pStyle w:val="Heading2"/>
      </w:pPr>
      <w:r>
        <w:t>CLÁUSULA 18 – PRESCRIÇÃO</w:t>
      </w:r>
    </w:p>
    <w:p>
      <w:pPr>
        <w:ind w:left="624" w:hanging="624"/>
        <w:jc w:val="both"/>
      </w:pPr>
      <w:r>
        <w:rPr>
          <w:b/>
        </w:rPr>
        <w:t xml:space="preserve">18.1  </w:t>
      </w:r>
      <w:r>
        <w:t>Os prazos prescricionais são os previstos em lei. A pretensão do Segurado ou do Tomador contra a Seguradora prescreve em 1 (um) ano, contado da ciência do fato gerador da pretensão (art. 206, § 1º, inciso II, do Código Civil).</w:t>
      </w:r>
    </w:p>
    <w:p>
      <w:pPr>
        <w:ind w:left="624" w:hanging="624"/>
        <w:jc w:val="both"/>
      </w:pPr>
      <w:r>
        <w:rPr>
          <w:b/>
        </w:rPr>
        <w:t xml:space="preserve">18.2  </w:t>
      </w:r>
      <w:r>
        <w:t>O pedido de indenização à Seguradora suspende o prazo prescricional até a ciência do Segurado ou do Tomador da decisão, nos termos da Súmula 229 do Superior Tribunal de Justiça.</w:t>
      </w:r>
    </w:p>
    <w:p>
      <w:pPr>
        <w:pStyle w:val="Heading2"/>
      </w:pPr>
      <w:r>
        <w:t>CLÁUSULA 19 – FORO</w:t>
      </w:r>
    </w:p>
    <w:p>
      <w:pPr>
        <w:ind w:left="624" w:hanging="624"/>
        <w:jc w:val="both"/>
      </w:pPr>
      <w:r>
        <w:rPr>
          <w:b/>
        </w:rPr>
        <w:t xml:space="preserve">19.1  </w:t>
      </w:r>
      <w:r>
        <w:t>As controvérsias decorrentes desta apólice serão submetidas ao foro do domicílio do Segurado ou do Tomador, com renúncia a qualquer outro. Na execução por uma das partes, será competente o foro de Goiânia/GO.</w:t>
      </w:r>
    </w:p>
    <w:p>
      <w:pPr>
        <w:ind w:left="624" w:hanging="624"/>
        <w:jc w:val="both"/>
      </w:pPr>
      <w:r>
        <w:rPr>
          <w:b/>
        </w:rPr>
        <w:t xml:space="preserve">19.2  </w:t>
      </w:r>
      <w:r>
        <w:t>As partes poderão, de comum acordo e após a controvérsia, optar por mediação ou arbitragem.</w:t>
      </w:r>
    </w:p>
    <w:p>
      <w:pPr>
        <w:pStyle w:val="Heading2"/>
      </w:pPr>
      <w:r>
        <w:t>CLÁUSULA 20 – DISPOSIÇÕES FINAIS</w:t>
      </w:r>
    </w:p>
    <w:p>
      <w:pPr>
        <w:ind w:left="624" w:hanging="624"/>
        <w:jc w:val="both"/>
      </w:pPr>
      <w:r>
        <w:rPr>
          <w:b/>
        </w:rPr>
        <w:t xml:space="preserve">20.1  </w:t>
      </w:r>
      <w:r>
        <w:t>Os dados pessoais são tratados nos termos da Lei 13.709/2018 (LGPD), exclusivamente para a gestão desta apólice e de eventuais sinistros.</w:t>
      </w:r>
    </w:p>
    <w:p>
      <w:pPr>
        <w:ind w:left="624" w:hanging="624"/>
        <w:jc w:val="both"/>
      </w:pPr>
      <w:r>
        <w:rPr>
          <w:b/>
        </w:rPr>
        <w:t xml:space="preserve">20.2  </w:t>
      </w:r>
      <w:r>
        <w:t>Reclamações, dúvidas e sugestões: SAC da Seguradora e Ouvidoria (0800 500 7310, ouvidoria@cerradoriscos.example). Sem solução, o segurado pode consultar a SUSEP pelo telefone 0800 021 8484 ou em www.gov.br/susep.</w:t>
      </w:r>
    </w:p>
    <w:p>
      <w:pPr>
        <w:ind w:left="624" w:hanging="624"/>
        <w:jc w:val="both"/>
      </w:pPr>
      <w:r>
        <w:rPr>
          <w:b/>
        </w:rPr>
        <w:t xml:space="preserve">20.3  </w:t>
      </w:r>
      <w:r>
        <w:t>Corretor: Safra Grande Corretora de Seguros Ltda.. O corretor indicado é o intermediário da contratação, sem poderes para alterar estas Condições.</w:t>
      </w:r>
    </w:p>
    <w:p>
      <w:r>
        <w:br w:type="page"/>
      </w:r>
    </w:p>
    <w:p>
      <w:pPr>
        <w:pStyle w:val="Heading1"/>
      </w:pPr>
      <w:r>
        <w:t>SEÇÃO III – ENDOSSOS E CLÁUSULAS ESPECIAIS</w:t>
      </w:r>
    </w:p>
    <w:p>
      <w:pPr>
        <w:pStyle w:val="Heading2"/>
      </w:pPr>
      <w:r>
        <w:t>ENDOSSO Nº 001 – CLÁUSULA DE SANÇÕES ECONÔMICAS</w:t>
      </w:r>
    </w:p>
    <w:p>
      <w:pPr>
        <w:jc w:val="both"/>
      </w:pPr>
      <w:r>
        <w:t>Fica entendido e acordado que nenhuma cobertura, pagamento de sinistro ou benefício será devido se sua prestação expuser a Seguradora, ou qualquer de suas resseguradoras, a sanção, proibição ou restrição imposta por resolução das Nações Unidas ou por leis e regulamentos de sanções econômicas ou comerciais aplicáveis.</w:t>
      </w:r>
    </w:p>
    <w:p>
      <w:pPr>
        <w:jc w:val="both"/>
      </w:pPr>
      <w:r>
        <w:t>Permanecem inalteradas as demais disposições da apólice não alteradas por este endosso.</w:t>
      </w:r>
    </w:p>
    <w:p>
      <w:pPr>
        <w:pStyle w:val="Heading2"/>
      </w:pPr>
      <w:r>
        <w:t>ENDOSSO Nº 002 – POLUIÇÃO GRADUAL E LICENÇAS AMBIENTAIS</w:t>
      </w:r>
    </w:p>
    <w:p>
      <w:pPr>
        <w:jc w:val="both"/>
      </w:pPr>
      <w:r>
        <w:t>A exclusão de poluição gradual da Cláusula 10 não alcança Reclamações por evento súbito e acidental de derramamento de defensivos agrícolas ou de efluentes, notificado à Seguradora em até 45 dias.</w:t>
      </w:r>
    </w:p>
    <w:p>
      <w:pPr>
        <w:jc w:val="both"/>
      </w:pPr>
      <w:r>
        <w:t>Aplica-se ao evento súbito a Franquia de R$ 300.000,00 do Quadro 3.</w:t>
      </w:r>
    </w:p>
    <w:p>
      <w:pPr>
        <w:pStyle w:val="Heading2"/>
      </w:pPr>
      <w:r>
        <w:t>ENDOSSO Nº 003 – EXTENSÃO DE PRAZO SUPLEMENTAR PARA SAFRA PLURIANUAL</w:t>
      </w:r>
    </w:p>
    <w:p>
      <w:pPr>
        <w:jc w:val="both"/>
      </w:pPr>
      <w:r>
        <w:t>O Prazo Suplementar da Cláusula 7 poderá ser requerido em até 60 dias do fim da vigência quando houver safra plurianual em curso, permanecendo inalterado o prêmio adicional de 75% do prêmio anual.</w:t>
      </w:r>
    </w:p>
    <w:p>
      <w:pPr>
        <w:jc w:val="both"/>
      </w:pPr>
      <w:r>
        <w:t>Local e data: Goiânia, 18/09/2026. Cerrado Riscos Corporativos S.A. – Diretoria Técnica. Corretor: Safra Grande Corretora de Seguros Ltda..</w:t>
      </w:r>
    </w:p>
    <w:p>
      <w:r>
        <w:rPr>
          <w:color w:val="3B4A5A"/>
          <w:sz w:val="16"/>
        </w:rPr>
        <w:t>Nota final: esta apólice é fictícia e não tem valor contratual; foi criada apenas para testes do ClauseAI.</w:t>
      </w:r>
    </w:p>
    <w:sectPr w:rsidR="00FC693F" w:rsidRPr="0006063C" w:rsidSect="00034616">
      <w:headerReference w:type="default" r:id="rId4"/>
      <w:footerReference w:type="default" r:id="rId9"/>
      <w:pgSz w:w="11906" w:h="16838"/>
      <w:pgMar w:top="1361"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Cerrado Riscos Corporativos S.A. · Apólice nº CER-0351-2026-000731 · Página </w:t>
    </w:r>
    <w:r>
      <w:rPr>
        <w:sz w:val="16"/>
      </w:rPr>
      <w:fldChar w:fldCharType="begin"/>
      <w:instrText xml:space="preserve"> PAGE </w:instrText>
      <w:fldChar w:fldCharType="separate"/>
      <w:t>1</w:t>
      <w:fldChar w:fldCharType="end"/>
    </w:r>
    <w:r>
      <w:rPr>
        <w:sz w:val="16"/>
      </w:rPr>
      <w:t xml:space="preserve"> de </w:t>
    </w:r>
    <w:r>
      <w:rPr>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CERRADO RISCOS CORPORATIVOS S.A. · Seguro D&amp;O · Apólice nº CER-0351-2026-000731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B4A5A"/>
      <w:sz w:val="28"/>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Arial" w:hAnsi="Arial"/>
      <w:b/>
      <w:bCs/>
      <w:color w:val="3B4A5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3B4A5A"/>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4"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Apólice D&amp;O CER-0351-2026-000731</dc:title>
  <dc:subject>Seguro de Responsabilidade Civil de Administradores e Diretores (D&amp;O)</dc:subject>
  <dc:creator>Cerrado Riscos Corporativos S.A.</dc:creator>
  <cp:keywords/>
  <dc:description>generated by python-docx</dc:description>
  <cp:lastModifiedBy>Cerrado Riscos Corporativos S.A.</cp:lastModifiedBy>
  <cp:revision>1</cp:revision>
  <dcterms:created xsi:type="dcterms:W3CDTF">2026-09-29T12:00:00Z</dcterms:created>
  <dcterms:modified xsi:type="dcterms:W3CDTF">2026-09-29T12:00:00Z</dcterms:modified>
  <cp:category/>
</cp:coreProperties>
</file>