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APÓLICE DE SEGURO DE RESPONSABILIDADE CIVIL DE ADMINISTRADORES E DIRETORES (D&amp;O)</w:t>
      </w:r>
    </w:p>
    <w:p>
      <w:r>
        <w:rPr>
          <w:b/>
        </w:rPr>
        <w:t>Fênix Austral Seguros S.A. – CNPJ 42.660.119/0001-25 – Código SUSEP 08.154</w:t>
      </w:r>
    </w:p>
    <w:p>
      <w:r>
        <w:rPr>
          <w:color w:val="3B4A5A"/>
          <w:sz w:val="16"/>
        </w:rPr>
        <w:t>Av. Rio Branco, 156, 18º andar, Centro, Rio de Janeiro/RJ. Ouvidoria: 0800 900 0057, ouvidoria@fenixaustral.example.</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084"/>
            <w:shd w:val="clear" w:fill="E6EAEE"/>
          </w:tcPr>
          <w:p>
            <w:pPr>
              <w:spacing w:after="20"/>
            </w:pPr>
            <w:r>
              <w:rPr>
                <w:sz w:val="17"/>
              </w:rPr>
            </w:r>
            <w:r>
              <w:rPr>
                <w:b/>
                <w:sz w:val="17"/>
              </w:rPr>
              <w:t>Campo</w:t>
            </w:r>
          </w:p>
        </w:tc>
        <w:tc>
          <w:tcPr>
            <w:tcW w:type="dxa" w:w="6554"/>
            <w:shd w:val="clear" w:fill="E6EAEE"/>
          </w:tcPr>
          <w:p>
            <w:pPr>
              <w:spacing w:after="20"/>
            </w:pPr>
            <w:r>
              <w:rPr>
                <w:sz w:val="17"/>
              </w:rPr>
            </w:r>
            <w:r>
              <w:rPr>
                <w:b/>
                <w:sz w:val="17"/>
              </w:rPr>
              <w:t>Informação</w:t>
            </w:r>
          </w:p>
        </w:tc>
      </w:tr>
      <w:tr>
        <w:trPr>
          <w:cantSplit/>
        </w:trPr>
        <w:tc>
          <w:tcPr>
            <w:tcW w:type="dxa" w:w="3084"/>
          </w:tcPr>
          <w:p>
            <w:pPr>
              <w:spacing w:after="20"/>
            </w:pPr>
            <w:r>
              <w:rPr>
                <w:sz w:val="17"/>
              </w:rPr>
              <w:t>Apólice nº</w:t>
            </w:r>
          </w:p>
        </w:tc>
        <w:tc>
          <w:tcPr>
            <w:tcW w:type="dxa" w:w="6554"/>
          </w:tcPr>
          <w:p>
            <w:pPr>
              <w:spacing w:after="20"/>
            </w:pPr>
            <w:r>
              <w:rPr>
                <w:sz w:val="17"/>
              </w:rPr>
              <w:t>FEN-0351-2026-000057</w:t>
            </w:r>
          </w:p>
        </w:tc>
      </w:tr>
      <w:tr>
        <w:trPr>
          <w:cantSplit/>
        </w:trPr>
        <w:tc>
          <w:tcPr>
            <w:tcW w:type="dxa" w:w="3084"/>
          </w:tcPr>
          <w:p>
            <w:pPr>
              <w:spacing w:after="20"/>
            </w:pPr>
            <w:r>
              <w:rPr>
                <w:sz w:val="17"/>
              </w:rPr>
              <w:t>Proposta nº</w:t>
            </w:r>
          </w:p>
        </w:tc>
        <w:tc>
          <w:tcPr>
            <w:tcW w:type="dxa" w:w="6554"/>
          </w:tcPr>
          <w:p>
            <w:pPr>
              <w:spacing w:after="20"/>
            </w:pPr>
            <w:r>
              <w:rPr>
                <w:sz w:val="17"/>
              </w:rPr>
              <w:t>FEN-P-2026-000913</w:t>
            </w:r>
          </w:p>
        </w:tc>
      </w:tr>
      <w:tr>
        <w:trPr>
          <w:cantSplit/>
        </w:trPr>
        <w:tc>
          <w:tcPr>
            <w:tcW w:type="dxa" w:w="3084"/>
          </w:tcPr>
          <w:p>
            <w:pPr>
              <w:spacing w:after="20"/>
            </w:pPr>
            <w:r>
              <w:rPr>
                <w:sz w:val="17"/>
              </w:rPr>
              <w:t>Processo SUSEP nº</w:t>
            </w:r>
          </w:p>
        </w:tc>
        <w:tc>
          <w:tcPr>
            <w:tcW w:type="dxa" w:w="6554"/>
          </w:tcPr>
          <w:p>
            <w:pPr>
              <w:spacing w:after="20"/>
            </w:pPr>
            <w:r>
              <w:rPr>
                <w:sz w:val="17"/>
              </w:rPr>
              <w:t>15414.900057/2018-92</w:t>
            </w:r>
          </w:p>
        </w:tc>
      </w:tr>
      <w:tr>
        <w:trPr>
          <w:cantSplit/>
        </w:trPr>
        <w:tc>
          <w:tcPr>
            <w:tcW w:type="dxa" w:w="3084"/>
          </w:tcPr>
          <w:p>
            <w:pPr>
              <w:spacing w:after="20"/>
            </w:pPr>
            <w:r>
              <w:rPr>
                <w:sz w:val="17"/>
              </w:rPr>
              <w:t>Ramo / Modalidade</w:t>
            </w:r>
          </w:p>
        </w:tc>
        <w:tc>
          <w:tcPr>
            <w:tcW w:type="dxa" w:w="6554"/>
          </w:tcPr>
          <w:p>
            <w:pPr>
              <w:spacing w:after="20"/>
            </w:pPr>
            <w:r>
              <w:rPr>
                <w:sz w:val="17"/>
              </w:rPr>
              <w:t>0351 – Responsabilidade Civil de Administradores e Diretores (D&amp;O) – base de reclamações (claims made) com notificação</w:t>
            </w:r>
          </w:p>
        </w:tc>
      </w:tr>
      <w:tr>
        <w:trPr>
          <w:cantSplit/>
        </w:trPr>
        <w:tc>
          <w:tcPr>
            <w:tcW w:type="dxa" w:w="3084"/>
          </w:tcPr>
          <w:p>
            <w:pPr>
              <w:spacing w:after="20"/>
            </w:pPr>
            <w:r>
              <w:rPr>
                <w:sz w:val="17"/>
              </w:rPr>
              <w:t>Data de emissão</w:t>
            </w:r>
          </w:p>
        </w:tc>
        <w:tc>
          <w:tcPr>
            <w:tcW w:type="dxa" w:w="6554"/>
          </w:tcPr>
          <w:p>
            <w:pPr>
              <w:spacing w:after="20"/>
            </w:pPr>
            <w:r>
              <w:rPr>
                <w:sz w:val="17"/>
              </w:rPr>
              <w:t>25/09/2026</w:t>
            </w:r>
          </w:p>
        </w:tc>
      </w:tr>
      <w:tr>
        <w:trPr>
          <w:cantSplit/>
        </w:trPr>
        <w:tc>
          <w:tcPr>
            <w:tcW w:type="dxa" w:w="3084"/>
          </w:tcPr>
          <w:p>
            <w:pPr>
              <w:spacing w:after="20"/>
            </w:pPr>
            <w:r>
              <w:rPr>
                <w:sz w:val="17"/>
              </w:rPr>
              <w:t>Vigência</w:t>
            </w:r>
          </w:p>
        </w:tc>
        <w:tc>
          <w:tcPr>
            <w:tcW w:type="dxa" w:w="6554"/>
          </w:tcPr>
          <w:p>
            <w:pPr>
              <w:spacing w:after="20"/>
            </w:pPr>
            <w:r>
              <w:rPr>
                <w:sz w:val="17"/>
              </w:rPr>
              <w:t>Das 24h de 15/10/2026 às 24h de 15/10/2027</w:t>
            </w:r>
          </w:p>
        </w:tc>
      </w:tr>
      <w:tr>
        <w:trPr>
          <w:cantSplit/>
        </w:trPr>
        <w:tc>
          <w:tcPr>
            <w:tcW w:type="dxa" w:w="3084"/>
          </w:tcPr>
          <w:p>
            <w:pPr>
              <w:spacing w:after="20"/>
            </w:pPr>
            <w:r>
              <w:rPr>
                <w:sz w:val="17"/>
              </w:rPr>
              <w:t>Tomador / Segurado principal</w:t>
            </w:r>
          </w:p>
        </w:tc>
        <w:tc>
          <w:tcPr>
            <w:tcW w:type="dxa" w:w="6554"/>
          </w:tcPr>
          <w:p>
            <w:pPr>
              <w:spacing w:after="20"/>
            </w:pPr>
            <w:r>
              <w:rPr>
                <w:sz w:val="17"/>
              </w:rPr>
              <w:t>Terra Nova Financeira S.A. – CNPJ 30.774.512/0001-01</w:t>
            </w:r>
          </w:p>
        </w:tc>
      </w:tr>
      <w:tr>
        <w:trPr>
          <w:cantSplit/>
        </w:trPr>
        <w:tc>
          <w:tcPr>
            <w:tcW w:type="dxa" w:w="3084"/>
          </w:tcPr>
          <w:p>
            <w:pPr>
              <w:spacing w:after="20"/>
            </w:pPr>
            <w:r>
              <w:rPr>
                <w:sz w:val="17"/>
              </w:rPr>
              <w:t>Endereço</w:t>
            </w:r>
          </w:p>
        </w:tc>
        <w:tc>
          <w:tcPr>
            <w:tcW w:type="dxa" w:w="6554"/>
          </w:tcPr>
          <w:p>
            <w:pPr>
              <w:spacing w:after="20"/>
            </w:pPr>
            <w:r>
              <w:rPr>
                <w:sz w:val="17"/>
              </w:rPr>
              <w:t>Av. República do Chile, 230, 14º andar, Rio de Janeiro/RJ</w:t>
            </w:r>
          </w:p>
        </w:tc>
      </w:tr>
      <w:tr>
        <w:trPr>
          <w:cantSplit/>
        </w:trPr>
        <w:tc>
          <w:tcPr>
            <w:tcW w:type="dxa" w:w="3084"/>
          </w:tcPr>
          <w:p>
            <w:pPr>
              <w:spacing w:after="20"/>
            </w:pPr>
            <w:r>
              <w:rPr>
                <w:sz w:val="17"/>
              </w:rPr>
              <w:t>Atividade</w:t>
            </w:r>
          </w:p>
        </w:tc>
        <w:tc>
          <w:tcPr>
            <w:tcW w:type="dxa" w:w="6554"/>
          </w:tcPr>
          <w:p>
            <w:pPr>
              <w:spacing w:after="20"/>
            </w:pPr>
            <w:r>
              <w:rPr>
                <w:sz w:val="17"/>
              </w:rPr>
              <w:t>Instituição financeira autorizada pelo Banco Central do Brasil (banco múltiplo com carteira comercial e de investimento) e controladora de gestora de recursos e corretora de valores; companhia aberta.</w:t>
            </w:r>
          </w:p>
        </w:tc>
      </w:tr>
      <w:tr>
        <w:trPr>
          <w:cantSplit/>
        </w:trPr>
        <w:tc>
          <w:tcPr>
            <w:tcW w:type="dxa" w:w="3084"/>
          </w:tcPr>
          <w:p>
            <w:pPr>
              <w:spacing w:after="20"/>
            </w:pPr>
            <w:r>
              <w:rPr>
                <w:sz w:val="17"/>
              </w:rPr>
              <w:t>Corretor de seguros</w:t>
            </w:r>
          </w:p>
        </w:tc>
        <w:tc>
          <w:tcPr>
            <w:tcW w:type="dxa" w:w="6554"/>
          </w:tcPr>
          <w:p>
            <w:pPr>
              <w:spacing w:after="20"/>
            </w:pPr>
            <w:r>
              <w:rPr>
                <w:sz w:val="17"/>
              </w:rPr>
              <w:t>Horizonte Marsh Corretora de Seguros Ltda. – SUSEP nº 200912345</w:t>
            </w:r>
          </w:p>
        </w:tc>
      </w:tr>
    </w:tbl>
    <w:p>
      <w:pPr>
        <w:spacing w:after="40"/>
      </w:pPr>
    </w:p>
    <w:p>
      <w:pPr>
        <w:jc w:val="both"/>
      </w:pPr>
      <w:r>
        <w:t>A Seguradora, em contraprestação ao prêmio e com base nas declarações prestadas na proposta, garante ao Tomador e aos Segurados as coberturas contratadas indicadas nas Condições Particulares, nos termos destas Condições Gerais e dos endossos emitidos, observada a Circular SUSEP nº 637, de 27 de julho de 2021, e os arts. 757 a 802 do Código Civil (Lei nº 10.406/2002).</w:t>
      </w:r>
    </w:p>
    <w:p>
      <w:r>
        <w:rPr>
          <w:color w:val="3B4A5A"/>
          <w:sz w:val="16"/>
        </w:rPr>
        <w:t>Documento fictício, criado exclusivamente para testes do ClauseAI. As empresas, números, processos e pessoas citados não existem e o texto não tem valor contratual. O registro do produto na SUSEP é automático e não representa aprovação ou recomendação por parte da autarquia.</w:t>
      </w:r>
    </w:p>
    <w:p>
      <w:r>
        <w:br w:type="page"/>
      </w:r>
    </w:p>
    <w:p>
      <w:pPr>
        <w:pStyle w:val="Heading1"/>
      </w:pPr>
      <w:r>
        <w:t>SEÇÃO I – CONDIÇÕES PARTICULARES E QUADRO RESUMO</w:t>
      </w:r>
    </w:p>
    <w:p>
      <w:pPr>
        <w:jc w:val="both"/>
      </w:pPr>
      <w:r>
        <w:t>Apólice nº FEN-0351-2026-000057 · Tomador: Terra Nova Financeira S.A.. Somente as coberturas indicadas como Contratada estão em vigor. As coberturas Não contratadas ou Excluídas não geram direito a indenização, ainda que mencionadas nas Condições Gerais.</w:t>
      </w:r>
    </w:p>
    <w:p>
      <w:pPr>
        <w:keepNext/>
        <w:spacing w:before="160"/>
      </w:pPr>
      <w:r>
        <w:rPr>
          <w:b/>
          <w:color w:val="3B4A5A"/>
        </w:rPr>
        <w:t>Quadro 1 – Limite, moeda e prêmio</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277"/>
            <w:shd w:val="clear" w:fill="E6EAEE"/>
          </w:tcPr>
          <w:p>
            <w:pPr>
              <w:spacing w:after="20"/>
            </w:pPr>
            <w:r>
              <w:rPr>
                <w:sz w:val="17"/>
              </w:rPr>
            </w:r>
            <w:r>
              <w:rPr>
                <w:b/>
                <w:sz w:val="17"/>
              </w:rPr>
              <w:t>Item</w:t>
            </w:r>
          </w:p>
        </w:tc>
        <w:tc>
          <w:tcPr>
            <w:tcW w:type="dxa" w:w="6361"/>
            <w:shd w:val="clear" w:fill="E6EAEE"/>
          </w:tcPr>
          <w:p>
            <w:pPr>
              <w:spacing w:after="20"/>
            </w:pPr>
            <w:r>
              <w:rPr>
                <w:sz w:val="17"/>
              </w:rPr>
            </w:r>
            <w:r>
              <w:rPr>
                <w:b/>
                <w:sz w:val="17"/>
              </w:rPr>
              <w:t>Condição</w:t>
            </w:r>
          </w:p>
        </w:tc>
      </w:tr>
      <w:tr>
        <w:trPr>
          <w:cantSplit/>
        </w:trPr>
        <w:tc>
          <w:tcPr>
            <w:tcW w:type="dxa" w:w="3277"/>
          </w:tcPr>
          <w:p>
            <w:pPr>
              <w:spacing w:after="20"/>
            </w:pPr>
            <w:r>
              <w:rPr>
                <w:sz w:val="17"/>
              </w:rPr>
              <w:t>Limite Máximo de Garantia (LMG)</w:t>
            </w:r>
          </w:p>
        </w:tc>
        <w:tc>
          <w:tcPr>
            <w:tcW w:type="dxa" w:w="6361"/>
          </w:tcPr>
          <w:p>
            <w:pPr>
              <w:spacing w:after="20"/>
            </w:pPr>
            <w:r>
              <w:rPr>
                <w:sz w:val="17"/>
              </w:rPr>
              <w:t>R$ 100.000.000,00 por vigência, em base agregada, para todas as Coberturas, Perdas e Custos de Defesa, salvo quando indicado em contrário.</w:t>
            </w:r>
          </w:p>
        </w:tc>
      </w:tr>
      <w:tr>
        <w:trPr>
          <w:cantSplit/>
        </w:trPr>
        <w:tc>
          <w:tcPr>
            <w:tcW w:type="dxa" w:w="3277"/>
          </w:tcPr>
          <w:p>
            <w:pPr>
              <w:spacing w:after="20"/>
            </w:pPr>
            <w:r>
              <w:rPr>
                <w:sz w:val="17"/>
              </w:rPr>
              <w:t>Limite adicional exclusivo da Cobertura A (DIC)</w:t>
            </w:r>
          </w:p>
        </w:tc>
        <w:tc>
          <w:tcPr>
            <w:tcW w:type="dxa" w:w="6361"/>
          </w:tcPr>
          <w:p>
            <w:pPr>
              <w:spacing w:after="20"/>
            </w:pPr>
            <w:r>
              <w:rPr>
                <w:sz w:val="17"/>
              </w:rPr>
              <w:t>R$ 25.000.000,00, disponível apenas ao Segurado após o esgotamento do LMG.</w:t>
            </w:r>
          </w:p>
        </w:tc>
      </w:tr>
      <w:tr>
        <w:trPr>
          <w:cantSplit/>
        </w:trPr>
        <w:tc>
          <w:tcPr>
            <w:tcW w:type="dxa" w:w="3277"/>
          </w:tcPr>
          <w:p>
            <w:pPr>
              <w:spacing w:after="20"/>
            </w:pPr>
            <w:r>
              <w:rPr>
                <w:sz w:val="17"/>
              </w:rPr>
              <w:t>Moeda</w:t>
            </w:r>
          </w:p>
        </w:tc>
        <w:tc>
          <w:tcPr>
            <w:tcW w:type="dxa" w:w="6361"/>
          </w:tcPr>
          <w:p>
            <w:pPr>
              <w:spacing w:after="20"/>
            </w:pPr>
            <w:r>
              <w:rPr>
                <w:sz w:val="17"/>
              </w:rPr>
              <w:t>Real (R$). Reclamações em moeda estrangeira serão convertidas pela taxa PTAX de venda do Banco Central do Brasil na data do pagamento.</w:t>
            </w:r>
          </w:p>
        </w:tc>
      </w:tr>
      <w:tr>
        <w:trPr>
          <w:cantSplit/>
        </w:trPr>
        <w:tc>
          <w:tcPr>
            <w:tcW w:type="dxa" w:w="3277"/>
          </w:tcPr>
          <w:p>
            <w:pPr>
              <w:spacing w:after="20"/>
            </w:pPr>
            <w:r>
              <w:rPr>
                <w:sz w:val="17"/>
              </w:rPr>
              <w:t>Prêmio líquido</w:t>
            </w:r>
          </w:p>
        </w:tc>
        <w:tc>
          <w:tcPr>
            <w:tcW w:type="dxa" w:w="6361"/>
          </w:tcPr>
          <w:p>
            <w:pPr>
              <w:spacing w:after="20"/>
            </w:pPr>
            <w:r>
              <w:rPr>
                <w:sz w:val="17"/>
              </w:rPr>
              <w:t>R$ 3.240.000,00</w:t>
            </w:r>
          </w:p>
        </w:tc>
      </w:tr>
      <w:tr>
        <w:trPr>
          <w:cantSplit/>
        </w:trPr>
        <w:tc>
          <w:tcPr>
            <w:tcW w:type="dxa" w:w="3277"/>
          </w:tcPr>
          <w:p>
            <w:pPr>
              <w:spacing w:after="20"/>
            </w:pPr>
            <w:r>
              <w:rPr>
                <w:sz w:val="17"/>
              </w:rPr>
              <w:t>IOF (7,38%)</w:t>
            </w:r>
          </w:p>
        </w:tc>
        <w:tc>
          <w:tcPr>
            <w:tcW w:type="dxa" w:w="6361"/>
          </w:tcPr>
          <w:p>
            <w:pPr>
              <w:spacing w:after="20"/>
            </w:pPr>
            <w:r>
              <w:rPr>
                <w:sz w:val="17"/>
              </w:rPr>
              <w:t>R$ 239.112,00</w:t>
            </w:r>
          </w:p>
        </w:tc>
      </w:tr>
      <w:tr>
        <w:trPr>
          <w:cantSplit/>
        </w:trPr>
        <w:tc>
          <w:tcPr>
            <w:tcW w:type="dxa" w:w="3277"/>
          </w:tcPr>
          <w:p>
            <w:pPr>
              <w:spacing w:after="20"/>
            </w:pPr>
            <w:r>
              <w:rPr>
                <w:sz w:val="17"/>
              </w:rPr>
              <w:t>Prêmio total</w:t>
            </w:r>
          </w:p>
        </w:tc>
        <w:tc>
          <w:tcPr>
            <w:tcW w:type="dxa" w:w="6361"/>
          </w:tcPr>
          <w:p>
            <w:pPr>
              <w:spacing w:after="20"/>
            </w:pPr>
            <w:r>
              <w:rPr>
                <w:sz w:val="17"/>
              </w:rPr>
              <w:t>R$ 3.479.112,00, em 6 parcelas mensais de R$ 579.852,00</w:t>
            </w:r>
          </w:p>
        </w:tc>
      </w:tr>
    </w:tbl>
    <w:p>
      <w:pPr>
        <w:spacing w:after="40"/>
      </w:pPr>
    </w:p>
    <w:p>
      <w:pPr>
        <w:keepNext/>
        <w:spacing w:before="160"/>
      </w:pPr>
      <w:r>
        <w:rPr>
          <w:b/>
          <w:color w:val="3B4A5A"/>
        </w:rPr>
        <w:t>Quadro 2 – Limite Máximo de Garantia, coberturas e sublimites</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trPr>
        <w:tc>
          <w:tcPr>
            <w:tcW w:type="dxa" w:w="3662"/>
            <w:shd w:val="clear" w:fill="E6EAEE"/>
          </w:tcPr>
          <w:p>
            <w:pPr>
              <w:spacing w:after="20"/>
            </w:pPr>
            <w:r>
              <w:rPr>
                <w:sz w:val="17"/>
              </w:rPr>
            </w:r>
            <w:r>
              <w:rPr>
                <w:b/>
                <w:sz w:val="17"/>
              </w:rPr>
              <w:t>Cobertura</w:t>
            </w:r>
          </w:p>
        </w:tc>
        <w:tc>
          <w:tcPr>
            <w:tcW w:type="dxa" w:w="1349"/>
            <w:shd w:val="clear" w:fill="E6EAEE"/>
          </w:tcPr>
          <w:p>
            <w:pPr>
              <w:spacing w:after="20"/>
            </w:pPr>
            <w:r>
              <w:rPr>
                <w:sz w:val="17"/>
              </w:rPr>
            </w:r>
            <w:r>
              <w:rPr>
                <w:b/>
                <w:sz w:val="17"/>
              </w:rPr>
              <w:t>Situação</w:t>
            </w:r>
          </w:p>
        </w:tc>
        <w:tc>
          <w:tcPr>
            <w:tcW w:type="dxa" w:w="2506"/>
            <w:shd w:val="clear" w:fill="E6EAEE"/>
          </w:tcPr>
          <w:p>
            <w:pPr>
              <w:spacing w:after="20"/>
            </w:pPr>
            <w:r>
              <w:rPr>
                <w:sz w:val="17"/>
              </w:rPr>
            </w:r>
            <w:r>
              <w:rPr>
                <w:b/>
                <w:sz w:val="17"/>
              </w:rPr>
              <w:t>Limite / Sublimite</w:t>
            </w:r>
          </w:p>
        </w:tc>
        <w:tc>
          <w:tcPr>
            <w:tcW w:type="dxa" w:w="2120"/>
            <w:shd w:val="clear" w:fill="E6EAEE"/>
          </w:tcPr>
          <w:p>
            <w:pPr>
              <w:spacing w:after="20"/>
            </w:pPr>
            <w:r>
              <w:rPr>
                <w:sz w:val="17"/>
              </w:rPr>
            </w:r>
            <w:r>
              <w:rPr>
                <w:b/>
                <w:sz w:val="17"/>
              </w:rPr>
              <w:t>Franquia</w:t>
            </w:r>
          </w:p>
        </w:tc>
      </w:tr>
      <w:tr>
        <w:trPr>
          <w:cantSplit/>
        </w:trPr>
        <w:tc>
          <w:tcPr>
            <w:tcW w:type="dxa" w:w="3662"/>
          </w:tcPr>
          <w:p>
            <w:pPr>
              <w:spacing w:after="20"/>
            </w:pPr>
            <w:r>
              <w:rPr>
                <w:sz w:val="17"/>
              </w:rPr>
              <w:t>Cobertura A – Indenização ao Segurado (Side A)</w:t>
            </w:r>
          </w:p>
        </w:tc>
        <w:tc>
          <w:tcPr>
            <w:tcW w:type="dxa" w:w="1349"/>
          </w:tcPr>
          <w:p>
            <w:pPr>
              <w:spacing w:after="20"/>
            </w:pPr>
            <w:r>
              <w:rPr>
                <w:sz w:val="17"/>
              </w:rPr>
              <w:t>Contratada</w:t>
            </w:r>
          </w:p>
        </w:tc>
        <w:tc>
          <w:tcPr>
            <w:tcW w:type="dxa" w:w="2506"/>
          </w:tcPr>
          <w:p>
            <w:pPr>
              <w:spacing w:after="20"/>
            </w:pPr>
            <w:r>
              <w:rPr>
                <w:sz w:val="17"/>
              </w:rPr>
              <w:t>R$ 100.000.000,00</w:t>
            </w:r>
          </w:p>
        </w:tc>
        <w:tc>
          <w:tcPr>
            <w:tcW w:type="dxa" w:w="2120"/>
          </w:tcPr>
          <w:p>
            <w:pPr>
              <w:spacing w:after="20"/>
            </w:pPr>
            <w:r>
              <w:rPr>
                <w:sz w:val="17"/>
              </w:rPr>
              <w:t>Sem franquia</w:t>
            </w:r>
          </w:p>
        </w:tc>
      </w:tr>
      <w:tr>
        <w:trPr>
          <w:cantSplit/>
        </w:trPr>
        <w:tc>
          <w:tcPr>
            <w:tcW w:type="dxa" w:w="3662"/>
          </w:tcPr>
          <w:p>
            <w:pPr>
              <w:spacing w:after="20"/>
            </w:pPr>
            <w:r>
              <w:rPr>
                <w:sz w:val="17"/>
              </w:rPr>
              <w:t>Cobertura B – Reembolso ao Tomador (Side B)</w:t>
            </w:r>
          </w:p>
        </w:tc>
        <w:tc>
          <w:tcPr>
            <w:tcW w:type="dxa" w:w="1349"/>
          </w:tcPr>
          <w:p>
            <w:pPr>
              <w:spacing w:after="20"/>
            </w:pPr>
            <w:r>
              <w:rPr>
                <w:sz w:val="17"/>
              </w:rPr>
              <w:t>Contratada</w:t>
            </w:r>
          </w:p>
        </w:tc>
        <w:tc>
          <w:tcPr>
            <w:tcW w:type="dxa" w:w="2506"/>
          </w:tcPr>
          <w:p>
            <w:pPr>
              <w:spacing w:after="20"/>
            </w:pPr>
            <w:r>
              <w:rPr>
                <w:sz w:val="17"/>
              </w:rPr>
              <w:t>R$ 100.000.000,00</w:t>
            </w:r>
          </w:p>
        </w:tc>
        <w:tc>
          <w:tcPr>
            <w:tcW w:type="dxa" w:w="2120"/>
          </w:tcPr>
          <w:p>
            <w:pPr>
              <w:spacing w:after="20"/>
            </w:pPr>
            <w:r>
              <w:rPr>
                <w:sz w:val="17"/>
              </w:rPr>
              <w:t>R$ 1.000.000,00 por Reclamação</w:t>
            </w:r>
          </w:p>
        </w:tc>
      </w:tr>
      <w:tr>
        <w:trPr>
          <w:cantSplit/>
        </w:trPr>
        <w:tc>
          <w:tcPr>
            <w:tcW w:type="dxa" w:w="3662"/>
          </w:tcPr>
          <w:p>
            <w:pPr>
              <w:spacing w:after="20"/>
            </w:pPr>
            <w:r>
              <w:rPr>
                <w:sz w:val="17"/>
              </w:rPr>
              <w:t>Cobertura C – Reclamações de Valores Mobiliários e Investidores</w:t>
            </w:r>
          </w:p>
        </w:tc>
        <w:tc>
          <w:tcPr>
            <w:tcW w:type="dxa" w:w="1349"/>
          </w:tcPr>
          <w:p>
            <w:pPr>
              <w:spacing w:after="20"/>
            </w:pPr>
            <w:r>
              <w:rPr>
                <w:sz w:val="17"/>
              </w:rPr>
              <w:t>Contratada</w:t>
            </w:r>
          </w:p>
        </w:tc>
        <w:tc>
          <w:tcPr>
            <w:tcW w:type="dxa" w:w="2506"/>
          </w:tcPr>
          <w:p>
            <w:pPr>
              <w:spacing w:after="20"/>
            </w:pPr>
            <w:r>
              <w:rPr>
                <w:sz w:val="17"/>
              </w:rPr>
              <w:t>R$ 50.000.000,00</w:t>
            </w:r>
          </w:p>
        </w:tc>
        <w:tc>
          <w:tcPr>
            <w:tcW w:type="dxa" w:w="2120"/>
          </w:tcPr>
          <w:p>
            <w:pPr>
              <w:spacing w:after="20"/>
            </w:pPr>
            <w:r>
              <w:rPr>
                <w:sz w:val="17"/>
              </w:rPr>
              <w:t>R$ 2.000.000,00 por Reclamação</w:t>
            </w:r>
          </w:p>
        </w:tc>
      </w:tr>
      <w:tr>
        <w:trPr>
          <w:cantSplit/>
        </w:trPr>
        <w:tc>
          <w:tcPr>
            <w:tcW w:type="dxa" w:w="3662"/>
          </w:tcPr>
          <w:p>
            <w:pPr>
              <w:spacing w:after="20"/>
            </w:pPr>
            <w:r>
              <w:rPr>
                <w:sz w:val="17"/>
              </w:rPr>
              <w:t>Custos de Defesa (adiantamento)</w:t>
            </w:r>
          </w:p>
        </w:tc>
        <w:tc>
          <w:tcPr>
            <w:tcW w:type="dxa" w:w="1349"/>
          </w:tcPr>
          <w:p>
            <w:pPr>
              <w:spacing w:after="20"/>
            </w:pPr>
            <w:r>
              <w:rPr>
                <w:sz w:val="17"/>
              </w:rPr>
              <w:t>Contratada</w:t>
            </w:r>
          </w:p>
        </w:tc>
        <w:tc>
          <w:tcPr>
            <w:tcW w:type="dxa" w:w="2506"/>
          </w:tcPr>
          <w:p>
            <w:pPr>
              <w:spacing w:after="20"/>
            </w:pPr>
            <w:r>
              <w:rPr>
                <w:sz w:val="17"/>
              </w:rPr>
              <w:t>Integrante do LMG</w:t>
            </w:r>
          </w:p>
        </w:tc>
        <w:tc>
          <w:tcPr>
            <w:tcW w:type="dxa" w:w="2120"/>
          </w:tcPr>
          <w:p>
            <w:pPr>
              <w:spacing w:after="20"/>
            </w:pPr>
            <w:r>
              <w:rPr>
                <w:sz w:val="17"/>
              </w:rPr>
              <w:t>Conforme Cobertura B</w:t>
            </w:r>
          </w:p>
        </w:tc>
      </w:tr>
      <w:tr>
        <w:trPr>
          <w:cantSplit/>
        </w:trPr>
        <w:tc>
          <w:tcPr>
            <w:tcW w:type="dxa" w:w="3662"/>
          </w:tcPr>
          <w:p>
            <w:pPr>
              <w:spacing w:after="20"/>
            </w:pPr>
            <w:r>
              <w:rPr>
                <w:sz w:val="17"/>
              </w:rPr>
              <w:t>Custos de Defesa – Bens e Liberdade</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Bloqueio e Indisponibilidade de Bens e Penhora On-line</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Depósitos Recursais, Cauções e Garantias Judiciais</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Custos Emergenciais de Defesa</w:t>
            </w:r>
          </w:p>
        </w:tc>
        <w:tc>
          <w:tcPr>
            <w:tcW w:type="dxa" w:w="1349"/>
          </w:tcPr>
          <w:p>
            <w:pPr>
              <w:spacing w:after="20"/>
            </w:pPr>
            <w:r>
              <w:rPr>
                <w:sz w:val="17"/>
              </w:rPr>
              <w:t>Contratada</w:t>
            </w:r>
          </w:p>
        </w:tc>
        <w:tc>
          <w:tcPr>
            <w:tcW w:type="dxa" w:w="2506"/>
          </w:tcPr>
          <w:p>
            <w:pPr>
              <w:spacing w:after="20"/>
            </w:pPr>
            <w:r>
              <w:rPr>
                <w:sz w:val="17"/>
              </w:rPr>
              <w:t>R$ 2.000.000,00</w:t>
            </w:r>
          </w:p>
        </w:tc>
        <w:tc>
          <w:tcPr>
            <w:tcW w:type="dxa" w:w="2120"/>
          </w:tcPr>
          <w:p>
            <w:pPr>
              <w:spacing w:after="20"/>
            </w:pPr>
            <w:r>
              <w:rPr>
                <w:sz w:val="17"/>
              </w:rPr>
              <w:t>Conforme Cobertura B</w:t>
            </w:r>
          </w:p>
        </w:tc>
      </w:tr>
      <w:tr>
        <w:trPr>
          <w:cantSplit/>
        </w:trPr>
        <w:tc>
          <w:tcPr>
            <w:tcW w:type="dxa" w:w="3662"/>
          </w:tcPr>
          <w:p>
            <w:pPr>
              <w:spacing w:after="20"/>
            </w:pPr>
            <w:r>
              <w:rPr>
                <w:sz w:val="17"/>
              </w:rPr>
              <w:t>Custos de Investigação</w:t>
            </w:r>
          </w:p>
        </w:tc>
        <w:tc>
          <w:tcPr>
            <w:tcW w:type="dxa" w:w="1349"/>
          </w:tcPr>
          <w:p>
            <w:pPr>
              <w:spacing w:after="20"/>
            </w:pPr>
            <w:r>
              <w:rPr>
                <w:sz w:val="17"/>
              </w:rPr>
              <w:t>Contratada</w:t>
            </w:r>
          </w:p>
        </w:tc>
        <w:tc>
          <w:tcPr>
            <w:tcW w:type="dxa" w:w="2506"/>
          </w:tcPr>
          <w:p>
            <w:pPr>
              <w:spacing w:after="20"/>
            </w:pPr>
            <w:r>
              <w:rPr>
                <w:sz w:val="17"/>
              </w:rPr>
              <w:t>R$ 10.000.000,00</w:t>
            </w:r>
          </w:p>
        </w:tc>
        <w:tc>
          <w:tcPr>
            <w:tcW w:type="dxa" w:w="2120"/>
          </w:tcPr>
          <w:p>
            <w:pPr>
              <w:spacing w:after="20"/>
            </w:pPr>
            <w:r>
              <w:rPr>
                <w:sz w:val="17"/>
              </w:rPr>
              <w:t>Conforme Cobertura B</w:t>
            </w:r>
          </w:p>
        </w:tc>
      </w:tr>
      <w:tr>
        <w:trPr>
          <w:cantSplit/>
        </w:trPr>
        <w:tc>
          <w:tcPr>
            <w:tcW w:type="dxa" w:w="3662"/>
          </w:tcPr>
          <w:p>
            <w:pPr>
              <w:spacing w:after="20"/>
            </w:pPr>
            <w:r>
              <w:rPr>
                <w:sz w:val="17"/>
              </w:rPr>
              <w:t>Salvamento e Contenção</w:t>
            </w:r>
          </w:p>
        </w:tc>
        <w:tc>
          <w:tcPr>
            <w:tcW w:type="dxa" w:w="1349"/>
          </w:tcPr>
          <w:p>
            <w:pPr>
              <w:spacing w:after="20"/>
            </w:pPr>
            <w:r>
              <w:rPr>
                <w:sz w:val="17"/>
              </w:rPr>
              <w:t>Contratada</w:t>
            </w:r>
          </w:p>
        </w:tc>
        <w:tc>
          <w:tcPr>
            <w:tcW w:type="dxa" w:w="2506"/>
          </w:tcPr>
          <w:p>
            <w:pPr>
              <w:spacing w:after="20"/>
            </w:pPr>
            <w:r>
              <w:rPr>
                <w:sz w:val="17"/>
              </w:rPr>
              <w:t>R$ 3.000.000,00</w:t>
            </w:r>
          </w:p>
        </w:tc>
        <w:tc>
          <w:tcPr>
            <w:tcW w:type="dxa" w:w="2120"/>
          </w:tcPr>
          <w:p>
            <w:pPr>
              <w:spacing w:after="20"/>
            </w:pPr>
            <w:r>
              <w:rPr>
                <w:sz w:val="17"/>
              </w:rPr>
              <w:t>Conforme Cobertura B</w:t>
            </w:r>
          </w:p>
        </w:tc>
      </w:tr>
      <w:tr>
        <w:trPr>
          <w:cantSplit/>
        </w:trPr>
        <w:tc>
          <w:tcPr>
            <w:tcW w:type="dxa" w:w="3662"/>
          </w:tcPr>
          <w:p>
            <w:pPr>
              <w:spacing w:after="20"/>
            </w:pPr>
            <w:r>
              <w:rPr>
                <w:sz w:val="17"/>
              </w:rPr>
              <w:t>Diretor de Entidade Externa</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Extradição</w:t>
            </w:r>
          </w:p>
        </w:tc>
        <w:tc>
          <w:tcPr>
            <w:tcW w:type="dxa" w:w="1349"/>
          </w:tcPr>
          <w:p>
            <w:pPr>
              <w:spacing w:after="20"/>
            </w:pPr>
            <w:r>
              <w:rPr>
                <w:sz w:val="17"/>
              </w:rPr>
              <w:t>Contratada</w:t>
            </w:r>
          </w:p>
        </w:tc>
        <w:tc>
          <w:tcPr>
            <w:tcW w:type="dxa" w:w="2506"/>
          </w:tcPr>
          <w:p>
            <w:pPr>
              <w:spacing w:after="20"/>
            </w:pPr>
            <w:r>
              <w:rPr>
                <w:sz w:val="17"/>
              </w:rPr>
              <w:t>R$ 2.000.000,00</w:t>
            </w:r>
          </w:p>
        </w:tc>
        <w:tc>
          <w:tcPr>
            <w:tcW w:type="dxa" w:w="2120"/>
          </w:tcPr>
          <w:p>
            <w:pPr>
              <w:spacing w:after="20"/>
            </w:pPr>
            <w:r>
              <w:rPr>
                <w:sz w:val="17"/>
              </w:rPr>
              <w:t>Conforme Cobertura B</w:t>
            </w:r>
          </w:p>
        </w:tc>
      </w:tr>
      <w:tr>
        <w:trPr>
          <w:cantSplit/>
        </w:trPr>
        <w:tc>
          <w:tcPr>
            <w:tcW w:type="dxa" w:w="3662"/>
          </w:tcPr>
          <w:p>
            <w:pPr>
              <w:spacing w:after="20"/>
            </w:pPr>
            <w:r>
              <w:rPr>
                <w:sz w:val="17"/>
              </w:rPr>
              <w:t>Avalistas, Fiadores e Fiel Depositário</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Inabilitação de Segurado</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Multas e Penalidades</w:t>
            </w:r>
          </w:p>
        </w:tc>
        <w:tc>
          <w:tcPr>
            <w:tcW w:type="dxa" w:w="1349"/>
          </w:tcPr>
          <w:p>
            <w:pPr>
              <w:spacing w:after="20"/>
            </w:pPr>
            <w:r>
              <w:rPr>
                <w:sz w:val="17"/>
              </w:rPr>
              <w:t>Contratada</w:t>
            </w:r>
          </w:p>
        </w:tc>
        <w:tc>
          <w:tcPr>
            <w:tcW w:type="dxa" w:w="2506"/>
          </w:tcPr>
          <w:p>
            <w:pPr>
              <w:spacing w:after="20"/>
            </w:pPr>
            <w:r>
              <w:rPr>
                <w:sz w:val="17"/>
              </w:rPr>
              <w:t>R$ 10.000.000,00</w:t>
            </w:r>
          </w:p>
        </w:tc>
        <w:tc>
          <w:tcPr>
            <w:tcW w:type="dxa" w:w="2120"/>
          </w:tcPr>
          <w:p>
            <w:pPr>
              <w:spacing w:after="20"/>
            </w:pPr>
            <w:r>
              <w:rPr>
                <w:sz w:val="17"/>
              </w:rPr>
              <w:t>Conforme Cobertura B</w:t>
            </w:r>
          </w:p>
        </w:tc>
      </w:tr>
      <w:tr>
        <w:trPr>
          <w:cantSplit/>
        </w:trPr>
        <w:tc>
          <w:tcPr>
            <w:tcW w:type="dxa" w:w="3662"/>
          </w:tcPr>
          <w:p>
            <w:pPr>
              <w:spacing w:after="20"/>
            </w:pPr>
            <w:r>
              <w:rPr>
                <w:sz w:val="17"/>
              </w:rPr>
              <w:t>Novas Subsidiárias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Práticas Trabalhistas Indevidas</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Proteção da Imagem Pessoal e Relações Públicas</w:t>
            </w:r>
          </w:p>
        </w:tc>
        <w:tc>
          <w:tcPr>
            <w:tcW w:type="dxa" w:w="1349"/>
          </w:tcPr>
          <w:p>
            <w:pPr>
              <w:spacing w:after="20"/>
            </w:pPr>
            <w:r>
              <w:rPr>
                <w:sz w:val="17"/>
              </w:rPr>
              <w:t>Contratada</w:t>
            </w:r>
          </w:p>
        </w:tc>
        <w:tc>
          <w:tcPr>
            <w:tcW w:type="dxa" w:w="2506"/>
          </w:tcPr>
          <w:p>
            <w:pPr>
              <w:spacing w:after="20"/>
            </w:pPr>
            <w:r>
              <w:rPr>
                <w:sz w:val="17"/>
              </w:rPr>
              <w:t>R$ 1.500.000,00</w:t>
            </w:r>
          </w:p>
        </w:tc>
        <w:tc>
          <w:tcPr>
            <w:tcW w:type="dxa" w:w="2120"/>
          </w:tcPr>
          <w:p>
            <w:pPr>
              <w:spacing w:after="20"/>
            </w:pPr>
            <w:r>
              <w:rPr>
                <w:sz w:val="17"/>
              </w:rPr>
              <w:t>Conforme Cobertura B</w:t>
            </w:r>
          </w:p>
        </w:tc>
      </w:tr>
      <w:tr>
        <w:trPr>
          <w:cantSplit/>
        </w:trPr>
        <w:tc>
          <w:tcPr>
            <w:tcW w:type="dxa" w:w="3662"/>
          </w:tcPr>
          <w:p>
            <w:pPr>
              <w:spacing w:after="20"/>
            </w:pPr>
            <w:r>
              <w:rPr>
                <w:sz w:val="17"/>
              </w:rPr>
              <w:t>Responsabilidade Tributária e Previdenciária</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Advogados Internos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Contadores, Gerentes de Riscos e Auditores Internos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Danos Corporais</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Danos Materiais</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Danos Morais</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Erros e Omissões – Prestação de Serviços Profissionais</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Eventos Extraordinários com Reguladores</w:t>
            </w:r>
          </w:p>
        </w:tc>
        <w:tc>
          <w:tcPr>
            <w:tcW w:type="dxa" w:w="1349"/>
          </w:tcPr>
          <w:p>
            <w:pPr>
              <w:spacing w:after="20"/>
            </w:pPr>
            <w:r>
              <w:rPr>
                <w:sz w:val="17"/>
              </w:rPr>
              <w:t>Contratada</w:t>
            </w:r>
          </w:p>
        </w:tc>
        <w:tc>
          <w:tcPr>
            <w:tcW w:type="dxa" w:w="2506"/>
          </w:tcPr>
          <w:p>
            <w:pPr>
              <w:spacing w:after="20"/>
            </w:pPr>
            <w:r>
              <w:rPr>
                <w:sz w:val="17"/>
              </w:rPr>
              <w:t>R$ 15.000.000,00</w:t>
            </w:r>
          </w:p>
        </w:tc>
        <w:tc>
          <w:tcPr>
            <w:tcW w:type="dxa" w:w="2120"/>
          </w:tcPr>
          <w:p>
            <w:pPr>
              <w:spacing w:after="20"/>
            </w:pPr>
            <w:r>
              <w:rPr>
                <w:sz w:val="17"/>
              </w:rPr>
              <w:t>Conforme Cobertura B</w:t>
            </w:r>
          </w:p>
        </w:tc>
      </w:tr>
      <w:tr>
        <w:trPr>
          <w:cantSplit/>
        </w:trPr>
        <w:tc>
          <w:tcPr>
            <w:tcW w:type="dxa" w:w="3662"/>
          </w:tcPr>
          <w:p>
            <w:pPr>
              <w:spacing w:after="20"/>
            </w:pPr>
            <w:r>
              <w:rPr>
                <w:sz w:val="17"/>
              </w:rPr>
              <w:t>Gerenciamento de Crise</w:t>
            </w:r>
          </w:p>
        </w:tc>
        <w:tc>
          <w:tcPr>
            <w:tcW w:type="dxa" w:w="1349"/>
          </w:tcPr>
          <w:p>
            <w:pPr>
              <w:spacing w:after="20"/>
            </w:pPr>
            <w:r>
              <w:rPr>
                <w:sz w:val="17"/>
              </w:rPr>
              <w:t>Contratada</w:t>
            </w:r>
          </w:p>
        </w:tc>
        <w:tc>
          <w:tcPr>
            <w:tcW w:type="dxa" w:w="2506"/>
          </w:tcPr>
          <w:p>
            <w:pPr>
              <w:spacing w:after="20"/>
            </w:pPr>
            <w:r>
              <w:rPr>
                <w:sz w:val="17"/>
              </w:rPr>
              <w:t>R$ 3.000.000,00</w:t>
            </w:r>
          </w:p>
        </w:tc>
        <w:tc>
          <w:tcPr>
            <w:tcW w:type="dxa" w:w="2120"/>
          </w:tcPr>
          <w:p>
            <w:pPr>
              <w:spacing w:after="20"/>
            </w:pPr>
            <w:r>
              <w:rPr>
                <w:sz w:val="17"/>
              </w:rPr>
              <w:t>Conforme Cobertura B</w:t>
            </w:r>
          </w:p>
        </w:tc>
      </w:tr>
      <w:tr>
        <w:trPr>
          <w:cantSplit/>
        </w:trPr>
        <w:tc>
          <w:tcPr>
            <w:tcW w:type="dxa" w:w="3662"/>
          </w:tcPr>
          <w:p>
            <w:pPr>
              <w:spacing w:after="20"/>
            </w:pPr>
            <w:r>
              <w:rPr>
                <w:sz w:val="17"/>
              </w:rPr>
              <w:t>Herdeiros, Sucessores, Espólio, Cônjuge e Companheiro</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Responsabilidade Solidária sobre Bens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Responsabilidade Civil Ambiental</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Reclamações da Sociedade, Acionistas ou Sócios contra o Segurado</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Reclamações entre Segurados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TAC, Termos de Compromisso e Acordos com Autoridades</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Atos Lesivos à Administração Pública (Lei 12.846/2013)</w:t>
            </w:r>
          </w:p>
        </w:tc>
        <w:tc>
          <w:tcPr>
            <w:tcW w:type="dxa" w:w="1349"/>
          </w:tcPr>
          <w:p>
            <w:pPr>
              <w:spacing w:after="20"/>
            </w:pPr>
            <w:r>
              <w:rPr>
                <w:sz w:val="17"/>
              </w:rPr>
              <w:t>Contratada</w:t>
            </w:r>
          </w:p>
        </w:tc>
        <w:tc>
          <w:tcPr>
            <w:tcW w:type="dxa" w:w="2506"/>
          </w:tcPr>
          <w:p>
            <w:pPr>
              <w:spacing w:after="20"/>
            </w:pPr>
            <w:r>
              <w:rPr>
                <w:sz w:val="17"/>
              </w:rPr>
              <w:t>R$ 10.000.000,00 (só Custos de Defesa)</w:t>
            </w:r>
          </w:p>
        </w:tc>
        <w:tc>
          <w:tcPr>
            <w:tcW w:type="dxa" w:w="2120"/>
          </w:tcPr>
          <w:p>
            <w:pPr>
              <w:spacing w:after="20"/>
            </w:pPr>
            <w:r>
              <w:rPr>
                <w:sz w:val="17"/>
              </w:rPr>
              <w:t>Conforme Cobertura B</w:t>
            </w:r>
          </w:p>
        </w:tc>
      </w:tr>
      <w:tr>
        <w:trPr>
          <w:cantSplit/>
        </w:trPr>
        <w:tc>
          <w:tcPr>
            <w:tcW w:type="dxa" w:w="3662"/>
          </w:tcPr>
          <w:p>
            <w:pPr>
              <w:spacing w:after="20"/>
            </w:pPr>
            <w:r>
              <w:rPr>
                <w:sz w:val="17"/>
              </w:rPr>
              <w:t>Processos no Exterior</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bl>
    <w:p>
      <w:pPr>
        <w:spacing w:after="40"/>
      </w:pPr>
    </w:p>
    <w:p>
      <w:pPr>
        <w:keepNext/>
        <w:spacing w:before="160"/>
      </w:pPr>
      <w:r>
        <w:rPr>
          <w:b/>
          <w:color w:val="3B4A5A"/>
        </w:rPr>
        <w:t>Quadro 3 – Franquias, retenção e participação obrigatória</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277"/>
            <w:shd w:val="clear" w:fill="E6EAEE"/>
          </w:tcPr>
          <w:p>
            <w:pPr>
              <w:spacing w:after="20"/>
            </w:pPr>
            <w:r>
              <w:rPr>
                <w:sz w:val="17"/>
              </w:rPr>
            </w:r>
            <w:r>
              <w:rPr>
                <w:b/>
                <w:sz w:val="17"/>
              </w:rPr>
              <w:t>Item</w:t>
            </w:r>
          </w:p>
        </w:tc>
        <w:tc>
          <w:tcPr>
            <w:tcW w:type="dxa" w:w="6361"/>
            <w:shd w:val="clear" w:fill="E6EAEE"/>
          </w:tcPr>
          <w:p>
            <w:pPr>
              <w:spacing w:after="20"/>
            </w:pPr>
            <w:r>
              <w:rPr>
                <w:sz w:val="17"/>
              </w:rPr>
            </w:r>
            <w:r>
              <w:rPr>
                <w:b/>
                <w:sz w:val="17"/>
              </w:rPr>
              <w:t>Condição</w:t>
            </w:r>
          </w:p>
        </w:tc>
      </w:tr>
      <w:tr>
        <w:trPr>
          <w:cantSplit/>
        </w:trPr>
        <w:tc>
          <w:tcPr>
            <w:tcW w:type="dxa" w:w="3277"/>
          </w:tcPr>
          <w:p>
            <w:pPr>
              <w:spacing w:after="20"/>
            </w:pPr>
            <w:r>
              <w:rPr>
                <w:sz w:val="17"/>
              </w:rPr>
              <w:t>Cobertura A</w:t>
            </w:r>
          </w:p>
        </w:tc>
        <w:tc>
          <w:tcPr>
            <w:tcW w:type="dxa" w:w="6361"/>
          </w:tcPr>
          <w:p>
            <w:pPr>
              <w:spacing w:after="20"/>
            </w:pPr>
            <w:r>
              <w:rPr>
                <w:sz w:val="17"/>
              </w:rPr>
              <w:t>Sem franquia.</w:t>
            </w:r>
          </w:p>
        </w:tc>
      </w:tr>
      <w:tr>
        <w:trPr>
          <w:cantSplit/>
        </w:trPr>
        <w:tc>
          <w:tcPr>
            <w:tcW w:type="dxa" w:w="3277"/>
          </w:tcPr>
          <w:p>
            <w:pPr>
              <w:spacing w:after="20"/>
            </w:pPr>
            <w:r>
              <w:rPr>
                <w:sz w:val="17"/>
              </w:rPr>
              <w:t>Cobertura B e adicionais</w:t>
            </w:r>
          </w:p>
        </w:tc>
        <w:tc>
          <w:tcPr>
            <w:tcW w:type="dxa" w:w="6361"/>
          </w:tcPr>
          <w:p>
            <w:pPr>
              <w:spacing w:after="20"/>
            </w:pPr>
            <w:r>
              <w:rPr>
                <w:sz w:val="17"/>
              </w:rPr>
              <w:t>R$ 1.000.000,00 por Reclamação.</w:t>
            </w:r>
          </w:p>
        </w:tc>
      </w:tr>
      <w:tr>
        <w:trPr>
          <w:cantSplit/>
        </w:trPr>
        <w:tc>
          <w:tcPr>
            <w:tcW w:type="dxa" w:w="3277"/>
          </w:tcPr>
          <w:p>
            <w:pPr>
              <w:spacing w:after="20"/>
            </w:pPr>
            <w:r>
              <w:rPr>
                <w:sz w:val="17"/>
              </w:rPr>
              <w:t>Cobertura C</w:t>
            </w:r>
          </w:p>
        </w:tc>
        <w:tc>
          <w:tcPr>
            <w:tcW w:type="dxa" w:w="6361"/>
          </w:tcPr>
          <w:p>
            <w:pPr>
              <w:spacing w:after="20"/>
            </w:pPr>
            <w:r>
              <w:rPr>
                <w:sz w:val="17"/>
              </w:rPr>
              <w:t>R$ 2.000.000,00 por Reclamação.</w:t>
            </w:r>
          </w:p>
        </w:tc>
      </w:tr>
      <w:tr>
        <w:trPr>
          <w:cantSplit/>
        </w:trPr>
        <w:tc>
          <w:tcPr>
            <w:tcW w:type="dxa" w:w="3277"/>
          </w:tcPr>
          <w:p>
            <w:pPr>
              <w:spacing w:after="20"/>
            </w:pPr>
            <w:r>
              <w:rPr>
                <w:sz w:val="17"/>
              </w:rPr>
              <w:t>Participação obrigatória do Segurado</w:t>
            </w:r>
          </w:p>
        </w:tc>
        <w:tc>
          <w:tcPr>
            <w:tcW w:type="dxa" w:w="6361"/>
          </w:tcPr>
          <w:p>
            <w:pPr>
              <w:spacing w:after="20"/>
            </w:pPr>
            <w:r>
              <w:rPr>
                <w:sz w:val="17"/>
              </w:rPr>
              <w:t>Não há participação obrigatória do Segurado.</w:t>
            </w:r>
          </w:p>
        </w:tc>
      </w:tr>
    </w:tbl>
    <w:p>
      <w:pPr>
        <w:spacing w:after="40"/>
      </w:pPr>
    </w:p>
    <w:p>
      <w:pPr>
        <w:keepNext/>
        <w:spacing w:before="160"/>
      </w:pPr>
      <w:r>
        <w:rPr>
          <w:b/>
          <w:color w:val="3B4A5A"/>
        </w:rPr>
        <w:t>Quadro 4 – Segurados</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277"/>
            <w:shd w:val="clear" w:fill="E6EAEE"/>
          </w:tcPr>
          <w:p>
            <w:pPr>
              <w:spacing w:after="20"/>
            </w:pPr>
            <w:r>
              <w:rPr>
                <w:sz w:val="17"/>
              </w:rPr>
            </w:r>
            <w:r>
              <w:rPr>
                <w:b/>
                <w:sz w:val="17"/>
              </w:rPr>
              <w:t>Categoria de Segurado</w:t>
            </w:r>
          </w:p>
        </w:tc>
        <w:tc>
          <w:tcPr>
            <w:tcW w:type="dxa" w:w="6361"/>
            <w:shd w:val="clear" w:fill="E6EAEE"/>
          </w:tcPr>
          <w:p>
            <w:pPr>
              <w:spacing w:after="20"/>
            </w:pPr>
            <w:r>
              <w:rPr>
                <w:sz w:val="17"/>
              </w:rPr>
            </w:r>
            <w:r>
              <w:rPr>
                <w:b/>
                <w:sz w:val="17"/>
              </w:rPr>
              <w:t>Abrangência</w:t>
            </w:r>
          </w:p>
        </w:tc>
      </w:tr>
      <w:tr>
        <w:trPr>
          <w:cantSplit/>
        </w:trPr>
        <w:tc>
          <w:tcPr>
            <w:tcW w:type="dxa" w:w="3277"/>
          </w:tcPr>
          <w:p>
            <w:pPr>
              <w:spacing w:after="20"/>
            </w:pPr>
            <w:r>
              <w:rPr>
                <w:sz w:val="17"/>
              </w:rPr>
              <w:t>Conselho de Administração</w:t>
            </w:r>
          </w:p>
        </w:tc>
        <w:tc>
          <w:tcPr>
            <w:tcW w:type="dxa" w:w="6361"/>
          </w:tcPr>
          <w:p>
            <w:pPr>
              <w:spacing w:after="20"/>
            </w:pPr>
            <w:r>
              <w:rPr>
                <w:sz w:val="17"/>
              </w:rPr>
              <w:t>Todos os membros, inclusive independentes e suplentes.</w:t>
            </w:r>
          </w:p>
        </w:tc>
      </w:tr>
      <w:tr>
        <w:trPr>
          <w:cantSplit/>
        </w:trPr>
        <w:tc>
          <w:tcPr>
            <w:tcW w:type="dxa" w:w="3277"/>
          </w:tcPr>
          <w:p>
            <w:pPr>
              <w:spacing w:after="20"/>
            </w:pPr>
            <w:r>
              <w:rPr>
                <w:sz w:val="17"/>
              </w:rPr>
              <w:t>Diretoria Estatutária</w:t>
            </w:r>
          </w:p>
        </w:tc>
        <w:tc>
          <w:tcPr>
            <w:tcW w:type="dxa" w:w="6361"/>
          </w:tcPr>
          <w:p>
            <w:pPr>
              <w:spacing w:after="20"/>
            </w:pPr>
            <w:r>
              <w:rPr>
                <w:sz w:val="17"/>
              </w:rPr>
              <w:t>Diretores estatutários, inclusive responsáveis por área regulada (BACEN, CVM, COAF).</w:t>
            </w:r>
          </w:p>
        </w:tc>
      </w:tr>
      <w:tr>
        <w:trPr>
          <w:cantSplit/>
        </w:trPr>
        <w:tc>
          <w:tcPr>
            <w:tcW w:type="dxa" w:w="3277"/>
          </w:tcPr>
          <w:p>
            <w:pPr>
              <w:spacing w:after="20"/>
            </w:pPr>
            <w:r>
              <w:rPr>
                <w:sz w:val="17"/>
              </w:rPr>
              <w:t>Comitês</w:t>
            </w:r>
          </w:p>
        </w:tc>
        <w:tc>
          <w:tcPr>
            <w:tcW w:type="dxa" w:w="6361"/>
          </w:tcPr>
          <w:p>
            <w:pPr>
              <w:spacing w:after="20"/>
            </w:pPr>
            <w:r>
              <w:rPr>
                <w:sz w:val="17"/>
              </w:rPr>
              <w:t>Comitês de auditoria, de riscos, de remuneração e de compliance.</w:t>
            </w:r>
          </w:p>
        </w:tc>
      </w:tr>
      <w:tr>
        <w:trPr>
          <w:cantSplit/>
        </w:trPr>
        <w:tc>
          <w:tcPr>
            <w:tcW w:type="dxa" w:w="3277"/>
          </w:tcPr>
          <w:p>
            <w:pPr>
              <w:spacing w:after="20"/>
            </w:pPr>
            <w:r>
              <w:rPr>
                <w:sz w:val="17"/>
              </w:rPr>
              <w:t>Empregados com poderes de gestão</w:t>
            </w:r>
          </w:p>
        </w:tc>
        <w:tc>
          <w:tcPr>
            <w:tcW w:type="dxa" w:w="6361"/>
          </w:tcPr>
          <w:p>
            <w:pPr>
              <w:spacing w:after="20"/>
            </w:pPr>
            <w:r>
              <w:rPr>
                <w:sz w:val="17"/>
              </w:rPr>
              <w:t>Gestores, gerentes executivos e oficiais de compliance.</w:t>
            </w:r>
          </w:p>
        </w:tc>
      </w:tr>
    </w:tbl>
    <w:p>
      <w:pPr>
        <w:spacing w:after="40"/>
      </w:pPr>
    </w:p>
    <w:p>
      <w:pPr>
        <w:keepNext/>
        <w:spacing w:before="160"/>
      </w:pPr>
      <w:r>
        <w:rPr>
          <w:b/>
          <w:color w:val="3B4A5A"/>
        </w:rPr>
        <w:t>Quadro 5 – Subsidiárias cobertas</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5783"/>
            <w:shd w:val="clear" w:fill="E6EAEE"/>
          </w:tcPr>
          <w:p>
            <w:pPr>
              <w:spacing w:after="20"/>
            </w:pPr>
            <w:r>
              <w:rPr>
                <w:sz w:val="17"/>
              </w:rPr>
            </w:r>
            <w:r>
              <w:rPr>
                <w:b/>
                <w:sz w:val="17"/>
              </w:rPr>
              <w:t>Subsidiária</w:t>
            </w:r>
          </w:p>
        </w:tc>
        <w:tc>
          <w:tcPr>
            <w:tcW w:type="dxa" w:w="3855"/>
            <w:shd w:val="clear" w:fill="E6EAEE"/>
          </w:tcPr>
          <w:p>
            <w:pPr>
              <w:spacing w:after="20"/>
            </w:pPr>
            <w:r>
              <w:rPr>
                <w:sz w:val="17"/>
              </w:rPr>
            </w:r>
            <w:r>
              <w:rPr>
                <w:b/>
                <w:sz w:val="17"/>
              </w:rPr>
              <w:t>Participação / país</w:t>
            </w:r>
          </w:p>
        </w:tc>
      </w:tr>
      <w:tr>
        <w:trPr>
          <w:cantSplit/>
        </w:trPr>
        <w:tc>
          <w:tcPr>
            <w:tcW w:type="dxa" w:w="5783"/>
          </w:tcPr>
          <w:p>
            <w:pPr>
              <w:spacing w:after="20"/>
            </w:pPr>
            <w:r>
              <w:rPr>
                <w:sz w:val="17"/>
              </w:rPr>
              <w:t>Terra Nova Gestão de Recursos Ltda.</w:t>
            </w:r>
          </w:p>
        </w:tc>
        <w:tc>
          <w:tcPr>
            <w:tcW w:type="dxa" w:w="3855"/>
          </w:tcPr>
          <w:p>
            <w:pPr>
              <w:spacing w:after="20"/>
            </w:pPr>
            <w:r>
              <w:rPr>
                <w:sz w:val="17"/>
              </w:rPr>
              <w:t>100%</w:t>
            </w:r>
          </w:p>
        </w:tc>
      </w:tr>
      <w:tr>
        <w:trPr>
          <w:cantSplit/>
        </w:trPr>
        <w:tc>
          <w:tcPr>
            <w:tcW w:type="dxa" w:w="5783"/>
          </w:tcPr>
          <w:p>
            <w:pPr>
              <w:spacing w:after="20"/>
            </w:pPr>
            <w:r>
              <w:rPr>
                <w:sz w:val="17"/>
              </w:rPr>
              <w:t>Terra Nova Corretora de Valores S.A.</w:t>
            </w:r>
          </w:p>
        </w:tc>
        <w:tc>
          <w:tcPr>
            <w:tcW w:type="dxa" w:w="3855"/>
          </w:tcPr>
          <w:p>
            <w:pPr>
              <w:spacing w:after="20"/>
            </w:pPr>
            <w:r>
              <w:rPr>
                <w:sz w:val="17"/>
              </w:rPr>
              <w:t>100%</w:t>
            </w:r>
          </w:p>
        </w:tc>
      </w:tr>
      <w:tr>
        <w:trPr>
          <w:cantSplit/>
        </w:trPr>
        <w:tc>
          <w:tcPr>
            <w:tcW w:type="dxa" w:w="5783"/>
          </w:tcPr>
          <w:p>
            <w:pPr>
              <w:spacing w:after="20"/>
            </w:pPr>
            <w:r>
              <w:rPr>
                <w:sz w:val="17"/>
              </w:rPr>
              <w:t>Terra Nova Securities LLC (Nova York, EUA)</w:t>
            </w:r>
          </w:p>
        </w:tc>
        <w:tc>
          <w:tcPr>
            <w:tcW w:type="dxa" w:w="3855"/>
          </w:tcPr>
          <w:p>
            <w:pPr>
              <w:spacing w:after="20"/>
            </w:pPr>
            <w:r>
              <w:rPr>
                <w:sz w:val="17"/>
              </w:rPr>
              <w:t>100%</w:t>
            </w:r>
          </w:p>
        </w:tc>
      </w:tr>
    </w:tbl>
    <w:p>
      <w:pPr>
        <w:spacing w:after="40"/>
      </w:pPr>
    </w:p>
    <w:p>
      <w:pPr>
        <w:keepNext/>
        <w:spacing w:before="160"/>
      </w:pPr>
      <w:r>
        <w:rPr>
          <w:b/>
          <w:color w:val="3B4A5A"/>
        </w:rPr>
        <w:t>Quadro 6 – Retroatividade, prazos, território e notificação</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2699"/>
            <w:shd w:val="clear" w:fill="E6EAEE"/>
          </w:tcPr>
          <w:p>
            <w:pPr>
              <w:spacing w:after="20"/>
            </w:pPr>
            <w:r>
              <w:rPr>
                <w:sz w:val="17"/>
              </w:rPr>
            </w:r>
            <w:r>
              <w:rPr>
                <w:b/>
                <w:sz w:val="17"/>
              </w:rPr>
              <w:t>Item</w:t>
            </w:r>
          </w:p>
        </w:tc>
        <w:tc>
          <w:tcPr>
            <w:tcW w:type="dxa" w:w="6939"/>
            <w:shd w:val="clear" w:fill="E6EAEE"/>
          </w:tcPr>
          <w:p>
            <w:pPr>
              <w:spacing w:after="20"/>
            </w:pPr>
            <w:r>
              <w:rPr>
                <w:sz w:val="17"/>
              </w:rPr>
            </w:r>
            <w:r>
              <w:rPr>
                <w:b/>
                <w:sz w:val="17"/>
              </w:rPr>
              <w:t>Condição</w:t>
            </w:r>
          </w:p>
        </w:tc>
      </w:tr>
      <w:tr>
        <w:trPr>
          <w:cantSplit/>
        </w:trPr>
        <w:tc>
          <w:tcPr>
            <w:tcW w:type="dxa" w:w="2699"/>
          </w:tcPr>
          <w:p>
            <w:pPr>
              <w:spacing w:after="20"/>
            </w:pPr>
            <w:r>
              <w:rPr>
                <w:sz w:val="17"/>
              </w:rPr>
              <w:t>Retroatividade</w:t>
            </w:r>
          </w:p>
        </w:tc>
        <w:tc>
          <w:tcPr>
            <w:tcW w:type="dxa" w:w="6939"/>
          </w:tcPr>
          <w:p>
            <w:pPr>
              <w:spacing w:after="20"/>
            </w:pPr>
            <w:r>
              <w:rPr>
                <w:sz w:val="17"/>
              </w:rPr>
              <w:t>Retroatividade ilimitada, exceto fatos ou circunstâncias conhecidos.</w:t>
            </w:r>
          </w:p>
        </w:tc>
      </w:tr>
      <w:tr>
        <w:trPr>
          <w:cantSplit/>
        </w:trPr>
        <w:tc>
          <w:tcPr>
            <w:tcW w:type="dxa" w:w="2699"/>
          </w:tcPr>
          <w:p>
            <w:pPr>
              <w:spacing w:after="20"/>
            </w:pPr>
            <w:r>
              <w:rPr>
                <w:sz w:val="17"/>
              </w:rPr>
              <w:t>Prazo complementar</w:t>
            </w:r>
          </w:p>
        </w:tc>
        <w:tc>
          <w:tcPr>
            <w:tcW w:type="dxa" w:w="6939"/>
          </w:tcPr>
          <w:p>
            <w:pPr>
              <w:spacing w:after="20"/>
            </w:pPr>
            <w:r>
              <w:rPr>
                <w:sz w:val="17"/>
              </w:rPr>
              <w:t>60 (sessenta) meses, automático e sem prêmio adicional, em caso de não renovação.</w:t>
            </w:r>
          </w:p>
        </w:tc>
      </w:tr>
      <w:tr>
        <w:trPr>
          <w:cantSplit/>
        </w:trPr>
        <w:tc>
          <w:tcPr>
            <w:tcW w:type="dxa" w:w="2699"/>
          </w:tcPr>
          <w:p>
            <w:pPr>
              <w:spacing w:after="20"/>
            </w:pPr>
            <w:r>
              <w:rPr>
                <w:sz w:val="17"/>
              </w:rPr>
              <w:t>Prazo suplementar</w:t>
            </w:r>
          </w:p>
        </w:tc>
        <w:tc>
          <w:tcPr>
            <w:tcW w:type="dxa" w:w="6939"/>
          </w:tcPr>
          <w:p>
            <w:pPr>
              <w:spacing w:after="20"/>
            </w:pPr>
            <w:r>
              <w:rPr>
                <w:sz w:val="17"/>
              </w:rPr>
              <w:t>120 (cento e vinte) meses, contratável mediante prêmio adicional de 100% do prêmio anual, solicitado em até 60 dias do fim da vigência.</w:t>
            </w:r>
          </w:p>
        </w:tc>
      </w:tr>
      <w:tr>
        <w:trPr>
          <w:cantSplit/>
        </w:trPr>
        <w:tc>
          <w:tcPr>
            <w:tcW w:type="dxa" w:w="2699"/>
          </w:tcPr>
          <w:p>
            <w:pPr>
              <w:spacing w:after="20"/>
            </w:pPr>
            <w:r>
              <w:rPr>
                <w:sz w:val="17"/>
              </w:rPr>
              <w:t>Cauda / run-off</w:t>
            </w:r>
          </w:p>
        </w:tc>
        <w:tc>
          <w:tcPr>
            <w:tcW w:type="dxa" w:w="6939"/>
          </w:tcPr>
          <w:p>
            <w:pPr>
              <w:spacing w:after="20"/>
            </w:pPr>
            <w:r>
              <w:rPr>
                <w:sz w:val="17"/>
              </w:rPr>
              <w:t>Em caso de liquidação extrajudicial, intervenção, regime de administração especial temporária, incorporação, fusão, cisão ou perda do controle do Tomador (cauda ou run-off), a apólice cobre atos anteriores ao evento, por 84 (oitenta e quatro) meses, sem prêmio adicional, para todos os Segurados que tenham exercido função até a data do evento, sem redução do LMG.</w:t>
            </w:r>
          </w:p>
        </w:tc>
      </w:tr>
      <w:tr>
        <w:trPr>
          <w:cantSplit/>
        </w:trPr>
        <w:tc>
          <w:tcPr>
            <w:tcW w:type="dxa" w:w="2699"/>
          </w:tcPr>
          <w:p>
            <w:pPr>
              <w:spacing w:after="20"/>
            </w:pPr>
            <w:r>
              <w:rPr>
                <w:sz w:val="17"/>
              </w:rPr>
              <w:t>Âmbito territorial</w:t>
            </w:r>
          </w:p>
        </w:tc>
        <w:tc>
          <w:tcPr>
            <w:tcW w:type="dxa" w:w="6939"/>
          </w:tcPr>
          <w:p>
            <w:pPr>
              <w:spacing w:after="20"/>
            </w:pPr>
            <w:r>
              <w:rPr>
                <w:sz w:val="17"/>
              </w:rPr>
              <w:t>Mundial.</w:t>
            </w:r>
          </w:p>
        </w:tc>
      </w:tr>
      <w:tr>
        <w:trPr>
          <w:cantSplit/>
        </w:trPr>
        <w:tc>
          <w:tcPr>
            <w:tcW w:type="dxa" w:w="2699"/>
          </w:tcPr>
          <w:p>
            <w:pPr>
              <w:spacing w:after="20"/>
            </w:pPr>
            <w:r>
              <w:rPr>
                <w:sz w:val="17"/>
              </w:rPr>
              <w:t>Jurisdição</w:t>
            </w:r>
          </w:p>
        </w:tc>
        <w:tc>
          <w:tcPr>
            <w:tcW w:type="dxa" w:w="6939"/>
          </w:tcPr>
          <w:p>
            <w:pPr>
              <w:spacing w:after="20"/>
            </w:pPr>
            <w:r>
              <w:rPr>
                <w:sz w:val="17"/>
              </w:rPr>
              <w:t>Qualquer jurisdição, observadas as sanções da OFAC, da União Europeia e do Reino Unido (Cláusula de Sanções).</w:t>
            </w:r>
          </w:p>
        </w:tc>
      </w:tr>
      <w:tr>
        <w:trPr>
          <w:cantSplit/>
        </w:trPr>
        <w:tc>
          <w:tcPr>
            <w:tcW w:type="dxa" w:w="2699"/>
          </w:tcPr>
          <w:p>
            <w:pPr>
              <w:spacing w:after="20"/>
            </w:pPr>
            <w:r>
              <w:rPr>
                <w:sz w:val="17"/>
              </w:rPr>
              <w:t>Notificação de circunstâncias</w:t>
            </w:r>
          </w:p>
        </w:tc>
        <w:tc>
          <w:tcPr>
            <w:tcW w:type="dxa" w:w="6939"/>
          </w:tcPr>
          <w:p>
            <w:pPr>
              <w:spacing w:after="20"/>
            </w:pPr>
            <w:r>
              <w:rPr>
                <w:sz w:val="17"/>
              </w:rPr>
              <w:t>Até 30 (trinta) dias após o conhecimento do fato ou circunstância, e sempre até o fim do prazo complementar.</w:t>
            </w:r>
          </w:p>
        </w:tc>
      </w:tr>
      <w:tr>
        <w:trPr>
          <w:cantSplit/>
        </w:trPr>
        <w:tc>
          <w:tcPr>
            <w:tcW w:type="dxa" w:w="2699"/>
          </w:tcPr>
          <w:p>
            <w:pPr>
              <w:spacing w:after="20"/>
            </w:pPr>
            <w:r>
              <w:rPr>
                <w:sz w:val="17"/>
              </w:rPr>
              <w:t>Foro / solução de disputas</w:t>
            </w:r>
          </w:p>
        </w:tc>
        <w:tc>
          <w:tcPr>
            <w:tcW w:type="dxa" w:w="6939"/>
          </w:tcPr>
          <w:p>
            <w:pPr>
              <w:spacing w:after="20"/>
            </w:pPr>
            <w:r>
              <w:rPr>
                <w:sz w:val="17"/>
              </w:rPr>
              <w:t>Arbitragem, sede em Rio de Janeiro/RJ, nos termos da Cláusula 19.</w:t>
            </w:r>
          </w:p>
        </w:tc>
      </w:tr>
    </w:tbl>
    <w:p>
      <w:pPr>
        <w:spacing w:after="40"/>
      </w:pPr>
    </w:p>
    <w:p>
      <w:r>
        <w:br w:type="page"/>
      </w:r>
    </w:p>
    <w:p>
      <w:pPr>
        <w:pStyle w:val="Heading1"/>
      </w:pPr>
      <w:r>
        <w:t>SEÇÃO II – CONDIÇÕES GERAIS</w:t>
      </w:r>
    </w:p>
    <w:p>
      <w:pPr>
        <w:jc w:val="both"/>
      </w:pPr>
      <w:r>
        <w:t>Condições Gerais do Seguro de Responsabilidade Civil de Administradores e Diretores (D&amp;O), Processo SUSEP nº 15414.900057/2018-92.</w:t>
      </w:r>
    </w:p>
    <w:p>
      <w:pPr>
        <w:pStyle w:val="Heading2"/>
      </w:pPr>
      <w:r>
        <w:t>CLÁUSULA 1 – OBJETO DO SEGURO</w:t>
      </w:r>
    </w:p>
    <w:p>
      <w:pPr>
        <w:ind w:left="624" w:hanging="624"/>
        <w:jc w:val="both"/>
      </w:pPr>
      <w:r>
        <w:rPr>
          <w:b/>
        </w:rPr>
        <w:t xml:space="preserve">1.1  </w:t>
      </w:r>
      <w:r>
        <w:t>Este seguro garante, até o Limite Máximo de Garantia (LMG) indicado na Especificação, o pagamento das Perdas decorrentes de Reclamações apresentadas contra o Segurado durante a vigência, o Prazo Complementar ou o Prazo Suplementar, por Ato Danoso praticado no exercício de suas funções no Tomador ou em Subsidiária, sem limite de data anterior, ressalvados os fatos e circunstâncias conhecidos.</w:t>
      </w:r>
    </w:p>
    <w:p>
      <w:pPr>
        <w:ind w:left="624" w:hanging="624"/>
        <w:jc w:val="both"/>
      </w:pPr>
      <w:r>
        <w:rPr>
          <w:b/>
        </w:rPr>
        <w:t xml:space="preserve">1.2  </w:t>
      </w:r>
      <w:r>
        <w:t>O seguro é contratado na modalidade de base de reclamações (claims made), com notificação, e rege-se pelas Condições Particulares, por estas Condições Gerais, pelos endossos, pela Circular SUSEP nº 637/2021 e pelo Código Civil. Em caso de divergência, prevalecem os endossos, depois as Condições Particulares.</w:t>
      </w:r>
    </w:p>
    <w:p>
      <w:pPr>
        <w:ind w:left="624" w:hanging="624"/>
        <w:jc w:val="both"/>
      </w:pPr>
      <w:r>
        <w:rPr>
          <w:b/>
        </w:rPr>
        <w:t xml:space="preserve">1.3  </w:t>
      </w:r>
      <w:r>
        <w:t>A contratação de cada cobertura somente se comprova pela Especificação e pelas Condições Particulares. A previsão de uma cobertura nestas Condições Gerais não implica sua contratação.</w:t>
      </w:r>
    </w:p>
    <w:p>
      <w:pPr>
        <w:pStyle w:val="Heading2"/>
      </w:pPr>
      <w:r>
        <w:t>CLÁUSULA 2 – DEFINIÇÕES</w:t>
      </w:r>
    </w:p>
    <w:p>
      <w:pPr>
        <w:ind w:left="624" w:hanging="624"/>
        <w:jc w:val="both"/>
      </w:pPr>
      <w:r>
        <w:rPr>
          <w:b/>
        </w:rPr>
        <w:t xml:space="preserve">2.1  </w:t>
      </w:r>
      <w:r>
        <w:t>“Apólice”: instrumento que formaliza o contrato, composto pela proposta, Condições Particulares, Condições Gerais e endossos.</w:t>
      </w:r>
    </w:p>
    <w:p>
      <w:pPr>
        <w:ind w:left="624" w:hanging="624"/>
        <w:jc w:val="both"/>
      </w:pPr>
      <w:r>
        <w:rPr>
          <w:b/>
        </w:rPr>
        <w:t xml:space="preserve">2.2  </w:t>
      </w:r>
      <w:r>
        <w:t>“Tomador”: a pessoa jurídica indicada na capa da apólice, que contrata o seguro em favor dos Segurados e responde pelo pagamento do prêmio.</w:t>
      </w:r>
    </w:p>
    <w:p>
      <w:pPr>
        <w:ind w:left="624" w:hanging="624"/>
        <w:jc w:val="both"/>
      </w:pPr>
      <w:r>
        <w:rPr>
          <w:b/>
        </w:rPr>
        <w:t xml:space="preserve">2.3  </w:t>
      </w:r>
      <w:r>
        <w:t>“Subsidiária”: sociedade em que o Tomador detenha, direta ou indiretamente, mais de 50% (cinquenta por cento) do capital votante, ou o poder de eleger a maioria dos administradores, indicada no Quadro 5 ou incluída por endosso.</w:t>
      </w:r>
    </w:p>
    <w:p>
      <w:pPr>
        <w:ind w:left="624" w:hanging="624"/>
        <w:jc w:val="both"/>
      </w:pPr>
      <w:r>
        <w:rPr>
          <w:b/>
        </w:rPr>
        <w:t xml:space="preserve">2.4  </w:t>
      </w:r>
      <w:r>
        <w:t>“Segurado”: as pessoas físicas indicadas no Quadro 4, presentes, passadas ou futuras, que exerçam ou tenham exercido cargo de administração, em conselho, comitê estatutário ou função de gestão com poderes de representação no Tomador ou em Subsidiária, inclusive, quando previsto, o espólio e os herdeiros.</w:t>
      </w:r>
    </w:p>
    <w:p>
      <w:pPr>
        <w:ind w:left="624" w:hanging="624"/>
        <w:jc w:val="both"/>
      </w:pPr>
      <w:r>
        <w:rPr>
          <w:b/>
        </w:rPr>
        <w:t xml:space="preserve">2.5  </w:t>
      </w:r>
      <w:r>
        <w:t>“Ato Danoso”: ato ou omissão culposa, erro, declaração inexata, violação de dever legal, estatutário ou fiduciário, real ou alegado, praticado pelo Segurado no exercício de suas funções.</w:t>
      </w:r>
    </w:p>
    <w:p>
      <w:pPr>
        <w:ind w:left="624" w:hanging="624"/>
        <w:jc w:val="both"/>
      </w:pPr>
      <w:r>
        <w:rPr>
          <w:b/>
        </w:rPr>
        <w:t xml:space="preserve">2.6  </w:t>
      </w:r>
      <w:r>
        <w:t>“Reclamação”: (a) citação ou notificação judicial em ação civil, criminal ou administrativa; (b) pedido escrito de indenização ou reparação; (c) instauração de processo arbitral; (d) Investigação Formal contra o Segurado.</w:t>
      </w:r>
    </w:p>
    <w:p>
      <w:pPr>
        <w:ind w:left="624" w:hanging="624"/>
        <w:jc w:val="both"/>
      </w:pPr>
      <w:r>
        <w:rPr>
          <w:b/>
        </w:rPr>
        <w:t xml:space="preserve">2.7  </w:t>
      </w:r>
      <w:r>
        <w:t>“Sinistro”: toda Reclamação, ou conjunto de Reclamações decorrentes do mesmo Ato Danoso ou de Atos Danosos relacionados, considerado um único Sinistro na data da primeira Reclamação.</w:t>
      </w:r>
    </w:p>
    <w:p>
      <w:pPr>
        <w:ind w:left="624" w:hanging="624"/>
        <w:jc w:val="both"/>
      </w:pPr>
      <w:r>
        <w:rPr>
          <w:b/>
        </w:rPr>
        <w:t xml:space="preserve">2.8  </w:t>
      </w:r>
      <w:r>
        <w:t>“Perdas”: valores que o Segurado for obrigado a pagar por decisão judicial, arbitral ou acordo aprovado pela Seguradora, inclusive Custos de Defesa, exceto tributos, multas e sanções que a lei aplicável proíba segurar, e as demais exclusões desta apólice.</w:t>
      </w:r>
    </w:p>
    <w:p>
      <w:pPr>
        <w:ind w:left="624" w:hanging="624"/>
        <w:jc w:val="both"/>
      </w:pPr>
      <w:r>
        <w:rPr>
          <w:b/>
        </w:rPr>
        <w:t xml:space="preserve">2.9  </w:t>
      </w:r>
      <w:r>
        <w:t>“Custos de Defesa”: honorários advocatícios e periciais, custas judiciais, cauções e demais despesas razoáveis e necessárias à defesa do Segurado, aprovadas pela Seguradora.</w:t>
      </w:r>
    </w:p>
    <w:p>
      <w:pPr>
        <w:ind w:left="624" w:hanging="624"/>
        <w:jc w:val="both"/>
      </w:pPr>
      <w:r>
        <w:rPr>
          <w:b/>
        </w:rPr>
        <w:t xml:space="preserve">2.10  </w:t>
      </w:r>
      <w:r>
        <w:t>“Investigação Formal”: procedimento formal de apuração instaurado por autoridade pública, regulador ou autorregulador, em que o Segurado seja intimado ou convocado.</w:t>
      </w:r>
    </w:p>
    <w:p>
      <w:pPr>
        <w:ind w:left="624" w:hanging="624"/>
        <w:jc w:val="both"/>
      </w:pPr>
      <w:r>
        <w:rPr>
          <w:b/>
        </w:rPr>
        <w:t xml:space="preserve">2.11  </w:t>
      </w:r>
      <w:r>
        <w:t>“Circunstância”: fato ou situação específica, conhecida durante a vigência, que possa razoavelmente originar uma Reclamação.</w:t>
      </w:r>
    </w:p>
    <w:p>
      <w:pPr>
        <w:ind w:left="624" w:hanging="624"/>
        <w:jc w:val="both"/>
      </w:pPr>
      <w:r>
        <w:rPr>
          <w:b/>
        </w:rPr>
        <w:t xml:space="preserve">2.12  </w:t>
      </w:r>
      <w:r>
        <w:t>“Limite Máximo de Garantia (LMG)”: valor máximo de responsabilidade da Seguradora por todas as Perdas, Custos de Defesa e coberturas, na vigência.</w:t>
      </w:r>
    </w:p>
    <w:p>
      <w:pPr>
        <w:ind w:left="624" w:hanging="624"/>
        <w:jc w:val="both"/>
      </w:pPr>
      <w:r>
        <w:rPr>
          <w:b/>
        </w:rPr>
        <w:t xml:space="preserve">2.13  </w:t>
      </w:r>
      <w:r>
        <w:t>“Franquia”: parcela das Perdas que fica a cargo do Tomador ou do Segurado, deduzida de cada Reclamação, conforme o Quadro 3.</w:t>
      </w:r>
    </w:p>
    <w:p>
      <w:pPr>
        <w:ind w:left="624" w:hanging="624"/>
        <w:jc w:val="both"/>
      </w:pPr>
      <w:r>
        <w:rPr>
          <w:b/>
        </w:rPr>
        <w:t xml:space="preserve">2.14  </w:t>
      </w:r>
      <w:r>
        <w:t>“Poluentes”: qualquer substância sólida, líquida, gasosa ou térmica irritante ou contaminante, inclusive fumaça, vapor, fuligem, resíduos, rejeitos, agrotóxicos e efluentes.</w:t>
      </w:r>
    </w:p>
    <w:p>
      <w:pPr>
        <w:ind w:left="624" w:hanging="624"/>
        <w:jc w:val="both"/>
      </w:pPr>
      <w:r>
        <w:rPr>
          <w:b/>
        </w:rPr>
        <w:t xml:space="preserve">2.15  </w:t>
      </w:r>
      <w:r>
        <w:t>“Entidade Externa”: pessoa jurídica sem fins lucrativos, que não seja Subsidiária, em que o Segurado ocupe cargo por indicação escrita do Tomador.</w:t>
      </w:r>
    </w:p>
    <w:p>
      <w:pPr>
        <w:ind w:left="624" w:hanging="624"/>
        <w:jc w:val="both"/>
      </w:pPr>
      <w:r>
        <w:rPr>
          <w:b/>
        </w:rPr>
        <w:t xml:space="preserve">2.16  </w:t>
      </w:r>
      <w:r>
        <w:t>“Evento de Crise”: fato que, a juízo razoável do Tomador, possa gerar Reclamação relevante ou dano grave à reputação do Tomador ou do Segurado.</w:t>
      </w:r>
    </w:p>
    <w:p>
      <w:pPr>
        <w:ind w:left="624" w:hanging="624"/>
        <w:jc w:val="both"/>
      </w:pPr>
      <w:r>
        <w:rPr>
          <w:b/>
        </w:rPr>
        <w:t xml:space="preserve">2.17  </w:t>
      </w:r>
      <w:r>
        <w:t>“Prazo Complementar”: período posterior ao fim da vigência, em que Reclamações por atos anteriores ao término podem ser apresentadas e notificadas.</w:t>
      </w:r>
    </w:p>
    <w:p>
      <w:pPr>
        <w:ind w:left="624" w:hanging="624"/>
        <w:jc w:val="both"/>
      </w:pPr>
      <w:r>
        <w:rPr>
          <w:b/>
        </w:rPr>
        <w:t xml:space="preserve">2.18  </w:t>
      </w:r>
      <w:r>
        <w:t>“Prazo Suplementar”: extensão contratável do período de apresentação de Reclamações após o fim da vigência, nas condições do Quadro 6.</w:t>
      </w:r>
    </w:p>
    <w:p>
      <w:pPr>
        <w:pStyle w:val="Heading2"/>
      </w:pPr>
      <w:r>
        <w:t>CLÁUSULA 3 – COBERTURAS BÁSICAS</w:t>
      </w:r>
    </w:p>
    <w:p>
      <w:pPr>
        <w:ind w:left="624" w:hanging="624"/>
        <w:jc w:val="both"/>
      </w:pPr>
      <w:r>
        <w:rPr>
          <w:b/>
        </w:rPr>
        <w:t xml:space="preserve">3.1  </w:t>
      </w:r>
      <w:r>
        <w:t>Cobertura A – Indenização ao Segurado (Side A). A Seguradora pagará diretamente ao Segurado, ou reembolsará quem o tiver feito, as Perdas decorrentes de Reclamação por Ato Danoso, quando o Tomador não puder ou não estiver legalmente autorizado a indenizá-lo (Side A), dentro do LMG.</w:t>
      </w:r>
    </w:p>
    <w:p>
      <w:pPr>
        <w:ind w:left="624" w:hanging="624"/>
        <w:jc w:val="both"/>
      </w:pPr>
      <w:r>
        <w:rPr>
          <w:b/>
        </w:rPr>
        <w:t xml:space="preserve">3.2  </w:t>
      </w:r>
      <w:r>
        <w:t>Cobertura B – Reembolso ao Tomador (Side B). A Seguradora reembolsará ao Tomador as Perdas que este, na forma da lei ou de seu estatuto, tenha pago ou adiantado em nome do Segurado em razão de Reclamação coberta (Side B), aplicada a franquia do Quadro 3.</w:t>
      </w:r>
    </w:p>
    <w:p>
      <w:pPr>
        <w:ind w:left="624" w:hanging="624"/>
        <w:jc w:val="both"/>
      </w:pPr>
      <w:r>
        <w:rPr>
          <w:b/>
        </w:rPr>
        <w:t xml:space="preserve">3.3  </w:t>
      </w:r>
      <w:r>
        <w:t>Cobertura C – Reclamações de Valores Mobiliários e Investidores. A Seguradora pagará as Perdas do próprio Tomador decorrentes de Reclamação de investidores em razão de violação da Lei 6.385/1976, da Lei 6.404/1976 ou de normas da Comissão de Valores Mobiliários (CVM), na oferta ou negociação de valores mobiliários do Tomador (Side C), limitada ao sublimite de R$ 50.000.000,00, que integra e não se soma ao LMG.</w:t>
      </w:r>
    </w:p>
    <w:p>
      <w:pPr>
        <w:ind w:left="624" w:hanging="624"/>
        <w:jc w:val="both"/>
      </w:pPr>
      <w:r>
        <w:rPr>
          <w:b/>
        </w:rPr>
        <w:t xml:space="preserve">3.4  </w:t>
      </w:r>
      <w:r>
        <w:t>Limite adicional exclusivo da Cobertura A (Difference in Conditions – DIC). Esgotado o LMG, ou quando a apólice não puder indenizar por recusa do Tomador, a Seguradora pagará ao Segurado até R$ 25.000.000,00 adicionais, exclusivamente para Perdas não indenizadas pelo Tomador. Esse valor não é compartilhado com o Tomador nem com a Cobertura B.</w:t>
      </w:r>
    </w:p>
    <w:p>
      <w:pPr>
        <w:pStyle w:val="Heading2"/>
      </w:pPr>
      <w:r>
        <w:t>CLÁUSULA 4 – CUSTOS DE DEFESA E DESPESAS CORRELATAS</w:t>
      </w:r>
    </w:p>
    <w:p>
      <w:pPr>
        <w:ind w:left="624" w:hanging="624"/>
        <w:jc w:val="both"/>
      </w:pPr>
      <w:r>
        <w:rPr>
          <w:b/>
        </w:rPr>
        <w:t xml:space="preserve">4.1  </w:t>
      </w:r>
      <w:r>
        <w:t>Adiantamento de Custos de Defesa. A Seguradora adiantará, à medida que forem incorridos e em até 30 (trinta) dias da apresentação da documentação, os Custos de Defesa razoáveis do Segurado em Reclamação que possa ser coberta. Os Custos de Defesa integram o LMG e reduzem sua disponibilidade.</w:t>
      </w:r>
    </w:p>
    <w:p>
      <w:pPr>
        <w:ind w:left="624" w:hanging="624"/>
        <w:jc w:val="both"/>
      </w:pPr>
      <w:r>
        <w:rPr>
          <w:b/>
        </w:rPr>
        <w:t xml:space="preserve">4.2  </w:t>
      </w:r>
      <w:r>
        <w:t>O Segurado escolherá o advogado dentre os indicados pelo Tomador ou aprovados pela Seguradora, cuja anuência não será negada sem justo motivo. A Seguradora não responde por honorários acima de valores razoáveis de mercado para a matéria.</w:t>
      </w:r>
    </w:p>
    <w:p>
      <w:pPr>
        <w:ind w:left="624" w:hanging="624"/>
        <w:jc w:val="both"/>
      </w:pPr>
      <w:r>
        <w:rPr>
          <w:b/>
        </w:rPr>
        <w:t xml:space="preserve">4.3  </w:t>
      </w:r>
      <w:r>
        <w:t>Se, ao final, ficar demonstrado que a Reclamação não estava coberta, ou se houver decisão definitiva reconhecendo dolo, fraude ou vantagem indevida, o Segurado restituirá os valores adiantados corrigidos monetariamente, na forma da Cláusula 9.</w:t>
      </w:r>
    </w:p>
    <w:p>
      <w:pPr>
        <w:ind w:left="624" w:hanging="624"/>
        <w:jc w:val="both"/>
      </w:pPr>
      <w:r>
        <w:rPr>
          <w:b/>
        </w:rPr>
        <w:t xml:space="preserve">4.4  </w:t>
      </w:r>
      <w:r>
        <w:t>Custos de Defesa – Bens e Liberdade. Estão garantidos os Custos de Defesa do Segurado em processos, cíveis ou criminais, que coloquem em risco sua liberdade ou seu patrimônio pessoal, até o LMG, sem sublimite específico, ainda que a Reclamação tenha sido apresentada apenas contra a pessoa física.</w:t>
      </w:r>
    </w:p>
    <w:p>
      <w:pPr>
        <w:ind w:left="624" w:hanging="624"/>
        <w:jc w:val="both"/>
      </w:pPr>
      <w:r>
        <w:rPr>
          <w:b/>
        </w:rPr>
        <w:t xml:space="preserve">4.5  </w:t>
      </w:r>
      <w:r>
        <w:t>Bloqueio e Indisponibilidade de Bens e Penhora On-line. Determinado bloqueio, arresto, sequestro ou indisponibilidade de bens ou de contas correntes do Segurado, inclusive por penhora on-line, a Seguradora custeará as despesas necessárias ao seu levantamento e, quando decorrente de decisão judicial ou administrativa, a manutenção de sua subsistência, limitada ao sublimite de R$ 5.000.000,00, que integra e não se soma ao LMG.</w:t>
      </w:r>
    </w:p>
    <w:p>
      <w:pPr>
        <w:ind w:left="624" w:hanging="624"/>
        <w:jc w:val="both"/>
      </w:pPr>
      <w:r>
        <w:rPr>
          <w:b/>
        </w:rPr>
        <w:t xml:space="preserve">4.6  </w:t>
      </w:r>
      <w:r>
        <w:t>Depósitos Recursais, Cauções e Garantias Judiciais. A Seguradora arcará com o custo de fianças, cauções, seguros-garantia e depósitos recursais exigidos do Segurado para recorrer de decisão relativa a Reclamação coberta, limitada ao sublimite de R$ 5.000.000,00, que integra e não se soma ao LMG. Os valores depositados em dinheiro serão devolvidos à Seguradora quando liberados.</w:t>
      </w:r>
    </w:p>
    <w:p>
      <w:pPr>
        <w:ind w:left="624" w:hanging="624"/>
        <w:jc w:val="both"/>
      </w:pPr>
      <w:r>
        <w:rPr>
          <w:b/>
        </w:rPr>
        <w:t xml:space="preserve">4.7  </w:t>
      </w:r>
      <w:r>
        <w:t>Custos Emergenciais de Defesa. Em situação de urgência, e quando não for possível obter a prévia anuência da Seguradora, os Custos de Defesa emergenciais incorridos nas primeiras 72 (setenta e duas) horas serão reembolsados, limitada ao sublimite de R$ 2.000.000,00, que integra e não se soma ao LMG, desde que o Sinistro seja comunicado em até 5 (cinco) dias úteis.</w:t>
      </w:r>
    </w:p>
    <w:p>
      <w:pPr>
        <w:ind w:left="624" w:hanging="624"/>
        <w:jc w:val="both"/>
      </w:pPr>
      <w:r>
        <w:rPr>
          <w:b/>
        </w:rPr>
        <w:t xml:space="preserve">4.8  </w:t>
      </w:r>
      <w:r>
        <w:t>Custos de Investigação. A Seguradora reembolsará ou adiantará os Custos de Defesa razoáveis do Segurado em razão de Investigação Formal instaurada por autoridade administrativa, policial, regulatória ou autorreguladora, ainda que não tenha havido Reclamação, desde que o Segurado seja intimado a prestar depoimento ou esclarecimentos, limitada ao sublimite de R$ 10.000.000,00, que integra e não se soma ao LMG.</w:t>
      </w:r>
    </w:p>
    <w:p>
      <w:pPr>
        <w:ind w:left="624" w:hanging="624"/>
        <w:jc w:val="both"/>
      </w:pPr>
      <w:r>
        <w:rPr>
          <w:b/>
        </w:rPr>
        <w:t xml:space="preserve">4.9  </w:t>
      </w:r>
      <w:r>
        <w:t>Salvamento e Contenção. A Seguradora reembolsará as despesas razoáveis, previamente autorizadas, que o Segurado ou o Tomador tenham realizado para evitar ou reduzir a Perda decorrente de Ato Danoso já notificado (salvamento e contenção do Sinistro), limitada ao sublimite de R$ 3.000.000,00, que integra e não se soma ao LMG, nos termos do art. 771, parágrafo único, do Código Civil.</w:t>
      </w:r>
    </w:p>
    <w:p>
      <w:pPr>
        <w:pStyle w:val="Heading2"/>
      </w:pPr>
      <w:r>
        <w:t>CLÁUSULA 5 – EXTENSÕES DE COBERTURA</w:t>
      </w:r>
    </w:p>
    <w:p>
      <w:pPr>
        <w:ind w:left="624" w:hanging="624"/>
        <w:jc w:val="both"/>
      </w:pPr>
      <w:r>
        <w:rPr>
          <w:b/>
        </w:rPr>
        <w:t xml:space="preserve">5.1  </w:t>
      </w:r>
      <w:r>
        <w:t>Sujeitas ao LMG, às Franquias e às exclusões destas Condições Gerais, estão contratadas as extensões abaixo, nos limites do Quadro 2. Sublimites integram o LMG e não são adicionais a ele.</w:t>
      </w:r>
    </w:p>
    <w:p>
      <w:pPr>
        <w:ind w:left="624" w:hanging="624"/>
        <w:jc w:val="both"/>
      </w:pPr>
      <w:r>
        <w:rPr>
          <w:b/>
        </w:rPr>
        <w:t xml:space="preserve">5.2  </w:t>
      </w:r>
      <w:r>
        <w:t>Diretor de Entidade Externa. Estende-se a cobertura ao Segurado que, por indicação escrita do Tomador, exerça cargo em Entidade Externa, limitada ao sublimite de R$ 5.000.000,00, que integra e não se soma ao LMG. Esta cobertura é excedente a qualquer seguro ou indenização prestado pela Entidade Externa.</w:t>
      </w:r>
    </w:p>
    <w:p>
      <w:pPr>
        <w:ind w:left="624" w:hanging="624"/>
        <w:jc w:val="both"/>
      </w:pPr>
      <w:r>
        <w:rPr>
          <w:b/>
        </w:rPr>
        <w:t xml:space="preserve">5.3  </w:t>
      </w:r>
      <w:r>
        <w:t>Extradição. Estão garantidos os Custos de Defesa do Segurado em processo de extradição requerido por Estado estrangeiro em razão de Ato Danoso, limitada ao sublimite de R$ 2.000.000,00, que integra e não se soma ao LMG.</w:t>
      </w:r>
    </w:p>
    <w:p>
      <w:pPr>
        <w:ind w:left="624" w:hanging="624"/>
        <w:jc w:val="both"/>
      </w:pPr>
      <w:r>
        <w:rPr>
          <w:b/>
        </w:rPr>
        <w:t xml:space="preserve">5.4  </w:t>
      </w:r>
      <w:r>
        <w:t>Inabilitação de Segurado. A Seguradora reembolsará os Custos de Defesa do Segurado em processo que possa resultar em sua inabilitação temporária para o exercício de cargos de administração, limitada ao sublimite de R$ 5.000.000,00, que integra e não se soma ao LMG.</w:t>
      </w:r>
    </w:p>
    <w:p>
      <w:pPr>
        <w:ind w:left="624" w:hanging="624"/>
        <w:jc w:val="both"/>
      </w:pPr>
      <w:r>
        <w:rPr>
          <w:b/>
        </w:rPr>
        <w:t xml:space="preserve">5.5  </w:t>
      </w:r>
      <w:r>
        <w:t>Multas e Penalidades. Estão cobertas as multas e penalidades civis e administrativas impostas pessoalmente ao Segurado, na medida em que sejam seguráveis pela lei aplicável, limitada ao sublimite de R$ 10.000.000,00, que integra e não se soma ao LMG. A Seguradora pagará também os Custos de Defesa do processo que as originou.</w:t>
      </w:r>
    </w:p>
    <w:p>
      <w:pPr>
        <w:ind w:left="624" w:hanging="624"/>
        <w:jc w:val="both"/>
      </w:pPr>
      <w:r>
        <w:rPr>
          <w:b/>
        </w:rPr>
        <w:t xml:space="preserve">5.6  </w:t>
      </w:r>
      <w:r>
        <w:t>Novas Subsidiárias. Consideram-se automaticamente Subsidiárias as sociedades constituídas ou adquiridas pelo Tomador após o início da vigência cujo ativo total não exceda 25% (vinte e cinco por cento) do ativo consolidado do Tomador. Acima desse percentual, a inclusão depende de aceitação pela Seguradora e de eventual prêmio adicional. A extensão é concedida até o LMG, sem sublimite específico.</w:t>
      </w:r>
    </w:p>
    <w:p>
      <w:pPr>
        <w:ind w:left="624" w:hanging="624"/>
        <w:jc w:val="both"/>
      </w:pPr>
      <w:r>
        <w:rPr>
          <w:b/>
        </w:rPr>
        <w:t xml:space="preserve">5.7  </w:t>
      </w:r>
      <w:r>
        <w:t>Proteção da Imagem Pessoal e Relações Públicas. A Seguradora reembolsará as despesas com consultoria de comunicação e relações públicas contratadas com sua prévia aprovação para proteger a imagem pessoal do Segurado após a notificação de Reclamação coberta, limitada ao sublimite de R$ 1.500.000,00, que integra e não se soma ao LMG.</w:t>
      </w:r>
    </w:p>
    <w:p>
      <w:pPr>
        <w:ind w:left="624" w:hanging="624"/>
        <w:jc w:val="both"/>
      </w:pPr>
      <w:r>
        <w:rPr>
          <w:b/>
        </w:rPr>
        <w:t xml:space="preserve">5.8  </w:t>
      </w:r>
      <w:r>
        <w:t>Responsabilidade Tributária e Previdenciária. Estão cobertas as Reclamações que atribuam ao Segurado responsabilidade pessoal por tributos e contribuições não recolhidos pelo Tomador (arts. 135 do Código Tributário Nacional e 50 do Código Civil), limitada ao sublimite de R$ 5.000.000,00, que integra e não se soma ao LMG. O tributo em si, seus acréscimos e a multa fiscal ficam excluídos, salvo se expressamente indicados no Quadro 2.</w:t>
      </w:r>
    </w:p>
    <w:p>
      <w:pPr>
        <w:ind w:left="624" w:hanging="624"/>
        <w:jc w:val="both"/>
      </w:pPr>
      <w:r>
        <w:rPr>
          <w:b/>
        </w:rPr>
        <w:t xml:space="preserve">5.9  </w:t>
      </w:r>
      <w:r>
        <w:t>Advogados Internos. O empregado do Tomador que exerça função jurídica interna é Segurado apenas quando atuar como membro de órgão de administração ou por delegação expressa da diretoria, até o LMG, sem sublimite específico. Não estão cobertas Reclamações por serviços jurídicos prestados a terceiros.</w:t>
      </w:r>
    </w:p>
    <w:p>
      <w:pPr>
        <w:ind w:left="624" w:hanging="624"/>
        <w:jc w:val="both"/>
      </w:pPr>
      <w:r>
        <w:rPr>
          <w:b/>
        </w:rPr>
        <w:t xml:space="preserve">5.10  </w:t>
      </w:r>
      <w:r>
        <w:t>Contadores, Gerentes de Riscos e Auditores Internos. São equiparados ao Segurado os contadores, gerentes de riscos, de conformidade e auditores internos do Tomador, pelos atos praticados nessa função e dentro do escopo de suas atribuições, até o LMG, sem sublimite específico.</w:t>
      </w:r>
    </w:p>
    <w:p>
      <w:pPr>
        <w:ind w:left="624" w:hanging="624"/>
        <w:jc w:val="both"/>
      </w:pPr>
      <w:r>
        <w:rPr>
          <w:b/>
        </w:rPr>
        <w:t xml:space="preserve">5.11  </w:t>
      </w:r>
      <w:r>
        <w:t>Danos Morais. Estão cobertas as indenizações por danos morais impostas ao Segurado em decorrência de Reclamação coberta, limitada ao sublimite de R$ 5.000.000,00, que integra e não se soma ao LMG.</w:t>
      </w:r>
    </w:p>
    <w:p>
      <w:pPr>
        <w:ind w:left="624" w:hanging="624"/>
        <w:jc w:val="both"/>
      </w:pPr>
      <w:r>
        <w:rPr>
          <w:b/>
        </w:rPr>
        <w:t xml:space="preserve">5.12  </w:t>
      </w:r>
      <w:r>
        <w:t>Eventos Extraordinários com Reguladores. Estão cobertos os Custos de Defesa e de assessoria do Segurado em eventos extraordinários iniciados por reguladores, como fiscalização especial, intervenção, regime especial ou termo de cessação, limitada ao sublimite de R$ 15.000.000,00, que integra e não se soma ao LMG.</w:t>
      </w:r>
    </w:p>
    <w:p>
      <w:pPr>
        <w:ind w:left="624" w:hanging="624"/>
        <w:jc w:val="both"/>
      </w:pPr>
      <w:r>
        <w:rPr>
          <w:b/>
        </w:rPr>
        <w:t xml:space="preserve">5.13  </w:t>
      </w:r>
      <w:r>
        <w:t>Gerenciamento de Crise. A Seguradora reembolsará ao Tomador as despesas com consultoria de gerenciamento de crise contratada após um Evento de Crise notificado, pelo prazo de até 90 dias, limitada ao sublimite de R$ 3.000.000,00, que integra e não se soma ao LMG.</w:t>
      </w:r>
    </w:p>
    <w:p>
      <w:pPr>
        <w:ind w:left="624" w:hanging="624"/>
        <w:jc w:val="both"/>
      </w:pPr>
      <w:r>
        <w:rPr>
          <w:b/>
        </w:rPr>
        <w:t xml:space="preserve">5.14  </w:t>
      </w:r>
      <w:r>
        <w:t>Herdeiros, Sucessores, Espólio, Cônjuge e Companheiro. A cobertura se estende a herdeiros, sucessores, representantes legais, ao espólio e ao cônjuge ou companheiro do Segurado, quando Reclamados exclusivamente por ato do Segurado coberto por esta apólice, até o LMG, sem sublimite específico.</w:t>
      </w:r>
    </w:p>
    <w:p>
      <w:pPr>
        <w:ind w:left="624" w:hanging="624"/>
        <w:jc w:val="both"/>
      </w:pPr>
      <w:r>
        <w:rPr>
          <w:b/>
        </w:rPr>
        <w:t xml:space="preserve">5.15  </w:t>
      </w:r>
      <w:r>
        <w:t>Responsabilidade Solidária sobre Bens. Fica garantida a Reclamação em que o patrimônio comum do Segurado e de seu cônjuge ou companheiro responda solidariamente por dívida decorrente de Ato Danoso coberto, até o LMG, sem sublimite específico.</w:t>
      </w:r>
    </w:p>
    <w:p>
      <w:pPr>
        <w:ind w:left="624" w:hanging="624"/>
        <w:jc w:val="both"/>
      </w:pPr>
      <w:r>
        <w:rPr>
          <w:b/>
        </w:rPr>
        <w:t xml:space="preserve">5.16  </w:t>
      </w:r>
      <w:r>
        <w:t>Reclamações da Sociedade, Acionistas ou Sócios contra o Segurado. Estão cobertas as Reclamações contra o Segurado apresentadas pelo Tomador, por acionista ou por sócio, inclusive ação social de responsabilidade (art. 159 da Lei 6.404/1976) e ação derivada, até o LMG, sem sublimite específico.</w:t>
      </w:r>
    </w:p>
    <w:p>
      <w:pPr>
        <w:ind w:left="624" w:hanging="624"/>
        <w:jc w:val="both"/>
      </w:pPr>
      <w:r>
        <w:rPr>
          <w:b/>
        </w:rPr>
        <w:t xml:space="preserve">5.17  </w:t>
      </w:r>
      <w:r>
        <w:t>Reclamações entre Segurados. Estão cobertas as Reclamações apresentadas por um Segurado contra outro Segurado, desde que não instigadas por outro Segurado, até o LMG, sem sublimite específico.</w:t>
      </w:r>
    </w:p>
    <w:p>
      <w:pPr>
        <w:ind w:left="624" w:hanging="624"/>
        <w:jc w:val="both"/>
      </w:pPr>
      <w:r>
        <w:rPr>
          <w:b/>
        </w:rPr>
        <w:t xml:space="preserve">5.18  </w:t>
      </w:r>
      <w:r>
        <w:t>TAC, Termos de Compromisso e Acordos com Autoridades. A Seguradora arcará com os Custos de Defesa e com os valores acordados pelo Segurado em Termo de Ajustamento de Conduta (TAC), Termo de Compromisso (TC) ou acordo administrativo com autoridade, limitada ao sublimite de R$ 5.000.000,00, que integra e não se soma ao LMG, desde que precedidos de consentimento.</w:t>
      </w:r>
    </w:p>
    <w:p>
      <w:pPr>
        <w:ind w:left="624" w:hanging="624"/>
        <w:jc w:val="both"/>
      </w:pPr>
      <w:r>
        <w:rPr>
          <w:b/>
        </w:rPr>
        <w:t xml:space="preserve">5.19  </w:t>
      </w:r>
      <w:r>
        <w:t>Atos Lesivos à Administração Pública (Lei 12.846/2013). Estão garantidos os Custos de Defesa do Segurado em processo administrativo ou judicial fundado na Lei 12.846/2013 (Lei Anticorrupção), limitada ao sublimite de R$ 10.000.000,00 (só Custos de Defesa), que integra e não se soma ao LMG, não se pagando multas, ressarcimentos ou perdimento de bens. A cobertura limita-se aos Custos de Defesa; não se pagam indenizações, multas ou condenações.</w:t>
      </w:r>
    </w:p>
    <w:p>
      <w:pPr>
        <w:ind w:left="624" w:hanging="624"/>
        <w:jc w:val="both"/>
      </w:pPr>
      <w:r>
        <w:rPr>
          <w:b/>
        </w:rPr>
        <w:t xml:space="preserve">5.20  </w:t>
      </w:r>
      <w:r>
        <w:t>Processos no Exterior. Estão cobertas as Reclamações e Investigações Formais apresentadas fora do Brasil, em qualquer jurisdição não sancionada, até o LMG, sem sublimite específico, observados o Âmbito Territorial e a Cláusula de Sanções.</w:t>
      </w:r>
    </w:p>
    <w:p>
      <w:pPr>
        <w:ind w:left="624" w:hanging="624"/>
        <w:jc w:val="both"/>
      </w:pPr>
      <w:r>
        <w:rPr>
          <w:b/>
        </w:rPr>
        <w:t xml:space="preserve">5.21  </w:t>
      </w:r>
      <w:r>
        <w:t>As coberturas a seguir constam destas Condições Gerais apenas como opção. Não foram contratadas, não integram a Especificação e só passarão a vigorar mediante endosso específico e pagamento de prêmio adicional. A menção ao termo nestas Condições Gerais não gera direito a indenização:</w:t>
      </w:r>
    </w:p>
    <w:p>
      <w:pPr>
        <w:ind w:left="907"/>
        <w:jc w:val="both"/>
      </w:pPr>
      <w:r>
        <w:t>a) Avalistas, Fiadores e Fiel Depositário.</w:t>
      </w:r>
    </w:p>
    <w:p>
      <w:pPr>
        <w:pStyle w:val="Heading2"/>
      </w:pPr>
      <w:r>
        <w:t>CLÁUSULA 6 – LIMITES, SUBLIMITES, FRANQUIA E EROSÃO</w:t>
      </w:r>
    </w:p>
    <w:p>
      <w:pPr>
        <w:ind w:left="624" w:hanging="624"/>
        <w:jc w:val="both"/>
      </w:pPr>
      <w:r>
        <w:rPr>
          <w:b/>
        </w:rPr>
        <w:t xml:space="preserve">6.1  </w:t>
      </w:r>
      <w:r>
        <w:t>O LMG é o valor máximo agregado que a Seguradora pagará na vigência, incluindo o Prazo Complementar, para todas as Reclamações, Perdas e coberturas, independentemente do número de Segurados, Reclamações ou reclamantes.</w:t>
      </w:r>
    </w:p>
    <w:p>
      <w:pPr>
        <w:ind w:left="624" w:hanging="624"/>
        <w:jc w:val="both"/>
      </w:pPr>
      <w:r>
        <w:rPr>
          <w:b/>
        </w:rPr>
        <w:t xml:space="preserve">6.2  </w:t>
      </w:r>
      <w:r>
        <w:t>Sublimites, quando indicados no Quadro 2, são agregados por vigência, integram o LMG e não se somam a ele. O pagamento de um sublimite erode o LMG.</w:t>
      </w:r>
    </w:p>
    <w:p>
      <w:pPr>
        <w:ind w:left="624" w:hanging="624"/>
        <w:jc w:val="both"/>
      </w:pPr>
      <w:r>
        <w:rPr>
          <w:b/>
        </w:rPr>
        <w:t xml:space="preserve">6.3  </w:t>
      </w:r>
      <w:r>
        <w:t>A Franquia do Quadro 3 é deduzida de cada Reclamação. Quando mais de uma Franquia for aplicável a um mesmo Sinistro, prevalecerá a maior. Não se aplica Franquia aos Custos de Defesa da Cobertura A.</w:t>
      </w:r>
    </w:p>
    <w:p>
      <w:pPr>
        <w:ind w:left="624" w:hanging="624"/>
        <w:jc w:val="both"/>
      </w:pPr>
      <w:r>
        <w:rPr>
          <w:b/>
        </w:rPr>
        <w:t xml:space="preserve">6.4  </w:t>
      </w:r>
      <w:r>
        <w:t>Ordem de pagamento. Existindo Reclamações simultâneas, a Seguradora pagará primeiro as Perdas da Cobertura A, depois as da Cobertura B e, por último, as demais coberturas, podendo suspender pagamentos da Cobertura B ou da Cobertura C, para não comprometer o LMG em prejuízo dos Segurados.</w:t>
      </w:r>
    </w:p>
    <w:p>
      <w:pPr>
        <w:ind w:left="624" w:hanging="624"/>
        <w:jc w:val="both"/>
      </w:pPr>
      <w:r>
        <w:rPr>
          <w:b/>
        </w:rPr>
        <w:t xml:space="preserve">6.5  </w:t>
      </w:r>
      <w:r>
        <w:t>Esgotado o LMG, cessam todas as obrigações da Seguradora, inclusive o adiantamento de Custos de Defesa, salvo o Limite adicional da Cobertura A, se contratado.</w:t>
      </w:r>
    </w:p>
    <w:p>
      <w:pPr>
        <w:pStyle w:val="Heading2"/>
      </w:pPr>
      <w:r>
        <w:t>CLÁUSULA 7 – VIGÊNCIA, RETROATIVIDADE, PRAZO COMPLEMENTAR E SUPLEMENTAR</w:t>
      </w:r>
    </w:p>
    <w:p>
      <w:pPr>
        <w:ind w:left="624" w:hanging="624"/>
        <w:jc w:val="both"/>
      </w:pPr>
      <w:r>
        <w:rPr>
          <w:b/>
        </w:rPr>
        <w:t xml:space="preserve">7.1  </w:t>
      </w:r>
      <w:r>
        <w:t>A vigência da apólice é a indicada na capa, com início e término às 24 horas das datas ali informadas.</w:t>
      </w:r>
    </w:p>
    <w:p>
      <w:pPr>
        <w:ind w:left="624" w:hanging="624"/>
        <w:jc w:val="both"/>
      </w:pPr>
      <w:r>
        <w:rPr>
          <w:b/>
        </w:rPr>
        <w:t xml:space="preserve">7.2  </w:t>
      </w:r>
      <w:r>
        <w:t>Retroatividade ilimitada. O seguro cobre Reclamações por Ato Danoso praticado a qualquer tempo antes da vigência, desde que nenhum Segurado ou o Tomador tenha tido conhecimento, antes do início da vigência, de fato ou Circunstância que razoavelmente pudesse originar a Reclamação (Cláusula 9).</w:t>
      </w:r>
    </w:p>
    <w:p>
      <w:pPr>
        <w:ind w:left="624" w:hanging="624"/>
        <w:jc w:val="both"/>
      </w:pPr>
      <w:r>
        <w:rPr>
          <w:b/>
        </w:rPr>
        <w:t xml:space="preserve">7.3  </w:t>
      </w:r>
      <w:r>
        <w:t>Prazo Complementar. Em caso de cancelamento por iniciativa da Seguradora, ou de não renovação sem substituição por apólice que preserve a retroatividade, aplica-se automaticamente, sem cobrança de prêmio adicional, Prazo Complementar de 60 (sessenta) meses, para Reclamações por atos anteriores ao término da vigência, notificadas nos termos da Cláusula 11.</w:t>
      </w:r>
    </w:p>
    <w:p>
      <w:pPr>
        <w:ind w:left="624" w:hanging="624"/>
        <w:jc w:val="both"/>
      </w:pPr>
      <w:r>
        <w:rPr>
          <w:b/>
        </w:rPr>
        <w:t xml:space="preserve">7.4  </w:t>
      </w:r>
      <w:r>
        <w:t>Prazo Suplementar. Além do Prazo Complementar, o Tomador poderá contratar Prazo Suplementar de 120 (cento e vinte) meses mediante prêmio adicional de 100% do prêmio anual, requerido em até 60 dias após o término da vigência. O Prazo Suplementar não reinstala o limite e cobre somente atos anteriores ao término.</w:t>
      </w:r>
    </w:p>
    <w:p>
      <w:pPr>
        <w:ind w:left="624" w:hanging="624"/>
        <w:jc w:val="both"/>
      </w:pPr>
      <w:r>
        <w:rPr>
          <w:b/>
        </w:rPr>
        <w:t xml:space="preserve">7.5  </w:t>
      </w:r>
      <w:r>
        <w:t>Cauda / run-off. Em caso de liquidação extrajudicial, intervenção, regime de administração especial temporária, incorporação, fusão, cisão ou perda do controle do Tomador (cauda ou run-off), a apólice cobre atos anteriores ao evento, por 84 (oitenta e quatro) meses, sem prêmio adicional, para todos os Segurados que tenham exercido função até a data do evento, sem redução do LMG.</w:t>
      </w:r>
    </w:p>
    <w:p>
      <w:pPr>
        <w:ind w:left="624" w:hanging="624"/>
        <w:jc w:val="both"/>
      </w:pPr>
      <w:r>
        <w:rPr>
          <w:b/>
        </w:rPr>
        <w:t xml:space="preserve">7.6  </w:t>
      </w:r>
      <w:r>
        <w:t>Segurados aposentados. O Segurado que, durante a vigência, se aposentar ou deixar o cargo por término de mandato terá Prazo Complementar de 120 (cento e vinte) meses para Reclamações por atos anteriores ao desligamento, independentemente da renovação da apólice.</w:t>
      </w:r>
    </w:p>
    <w:p>
      <w:pPr>
        <w:ind w:left="624" w:hanging="624"/>
        <w:jc w:val="both"/>
      </w:pPr>
      <w:r>
        <w:rPr>
          <w:b/>
        </w:rPr>
        <w:t xml:space="preserve">7.7  </w:t>
      </w:r>
      <w:r>
        <w:t>Demissão voluntária e desligamento. O Segurado que, durante a vigência, se desligar por demissão voluntária terá Prazo Complementar de 24 (vinte e quatro) meses para Reclamações por atos anteriores ao desligamento, independentemente da renovação da apólice.</w:t>
      </w:r>
    </w:p>
    <w:p>
      <w:pPr>
        <w:pStyle w:val="Heading2"/>
      </w:pPr>
      <w:r>
        <w:t>CLÁUSULA 8 – ÂMBITO TERRITORIAL E JURISDIÇÃO</w:t>
      </w:r>
    </w:p>
    <w:p>
      <w:pPr>
        <w:ind w:left="624" w:hanging="624"/>
        <w:jc w:val="both"/>
      </w:pPr>
      <w:r>
        <w:rPr>
          <w:b/>
        </w:rPr>
        <w:t xml:space="preserve">8.1  </w:t>
      </w:r>
      <w:r>
        <w:t>A cobertura vale em todo o mundo, para Reclamações apresentadas em qualquer jurisdição, inclusive Estados Unidos e Canadá, sem sublimite específico.</w:t>
      </w:r>
    </w:p>
    <w:p>
      <w:pPr>
        <w:ind w:left="624" w:hanging="624"/>
        <w:jc w:val="both"/>
      </w:pPr>
      <w:r>
        <w:rPr>
          <w:b/>
        </w:rPr>
        <w:t xml:space="preserve">8.2  </w:t>
      </w:r>
      <w:r>
        <w:t>Jurisdição: Qualquer jurisdição, observadas as sanções da OFAC, da União Europeia e do Reino Unido (Cláusula de Sanções).</w:t>
      </w:r>
    </w:p>
    <w:p>
      <w:pPr>
        <w:ind w:left="624" w:hanging="624"/>
        <w:jc w:val="both"/>
      </w:pPr>
      <w:r>
        <w:rPr>
          <w:b/>
        </w:rPr>
        <w:t xml:space="preserve">8.3  </w:t>
      </w:r>
      <w:r>
        <w:t>Sanções. A Seguradora não presta cobertura, nem paga sinistro ou benefício, se isso a expuser a sanção, proibição ou restrição decorrente de resoluções da ONU, ou de leis de sanções econômicas ou comerciais do Brasil, da União Europeia, do Reino Unido ou dos Estados Unidos da América.</w:t>
      </w:r>
    </w:p>
    <w:p>
      <w:pPr>
        <w:pStyle w:val="Heading2"/>
      </w:pPr>
      <w:r>
        <w:t>CLÁUSULA 9 – EXCLUSÕES GERAIS</w:t>
      </w:r>
    </w:p>
    <w:p>
      <w:pPr>
        <w:ind w:left="624" w:hanging="624"/>
        <w:jc w:val="both"/>
      </w:pPr>
      <w:r>
        <w:rPr>
          <w:b/>
        </w:rPr>
        <w:t xml:space="preserve">9.1  </w:t>
      </w:r>
      <w:r>
        <w:t>Além dos riscos excluídos por lei, a Seguradora não responde por Reclamações, Perdas ou Custos de Defesa:</w:t>
      </w:r>
    </w:p>
    <w:p>
      <w:pPr>
        <w:ind w:left="907"/>
        <w:jc w:val="both"/>
      </w:pPr>
      <w:r>
        <w:t>a) decorrentes de ato doloso, fraude, ato de improbidade ou vantagem pessoal indevida do Segurado, reconhecidos em decisão judicial ou arbitral definitiva. Até a decisão, os Custos de Defesa serão adiantados, com restituição posterior;</w:t>
      </w:r>
    </w:p>
    <w:p>
      <w:pPr>
        <w:ind w:left="907"/>
        <w:jc w:val="both"/>
      </w:pPr>
      <w:r>
        <w:t>b) por lucro, remuneração ou vantagem a que o Segurado não tinha direito legal, inclusive operações com partes relacionadas em condições não equitativas;</w:t>
      </w:r>
    </w:p>
    <w:p>
      <w:pPr>
        <w:ind w:left="907"/>
        <w:jc w:val="both"/>
      </w:pPr>
      <w:r>
        <w:t>c) fundadas em fatos, atos ou Circunstâncias conhecidos pelo Tomador ou pelo Segurado antes do início da vigência, ou já notificados a outra apólice;</w:t>
      </w:r>
    </w:p>
    <w:p>
      <w:pPr>
        <w:ind w:left="907"/>
        <w:jc w:val="both"/>
      </w:pPr>
      <w:r>
        <w:t>d) decorrentes de processo judicial, arbitral ou administrativo pendente, ou de litígio anterior, ou de fatos neles alegados;</w:t>
      </w:r>
    </w:p>
    <w:p>
      <w:pPr>
        <w:ind w:left="907"/>
        <w:jc w:val="both"/>
      </w:pPr>
      <w:r>
        <w:t>e) por guerra, invasão, atos de inimigo estrangeiro, guerra civil, terrorismo, radiação, contaminação nuclear ou reação nuclear;</w:t>
      </w:r>
    </w:p>
    <w:p>
      <w:pPr>
        <w:ind w:left="907"/>
        <w:jc w:val="both"/>
      </w:pPr>
      <w:r>
        <w:t>f) por responsabilidade assumida por contrato, garantia ou promessa, salvo se a responsabilidade existisse independentemente do contrato;</w:t>
      </w:r>
    </w:p>
    <w:p>
      <w:pPr>
        <w:ind w:left="907"/>
        <w:jc w:val="both"/>
      </w:pPr>
      <w:r>
        <w:t>g) por Reclamação relativa a benefícios de previdência complementar, Lei ERISA ou administração de plano de benefícios;</w:t>
      </w:r>
    </w:p>
    <w:p>
      <w:pPr>
        <w:ind w:left="907"/>
        <w:jc w:val="both"/>
      </w:pPr>
      <w:r>
        <w:t>h) por multa, sanção ou penalidade que a lei proíba segurar, ou de caráter punitivo ou exemplar;</w:t>
      </w:r>
    </w:p>
    <w:p>
      <w:pPr>
        <w:ind w:left="907"/>
        <w:jc w:val="both"/>
      </w:pPr>
      <w:r>
        <w:t>i) por descumprimento de obrigação de pagar prêmios, tributos, encargos ou verbas trabalhistas próprios do Tomador;</w:t>
      </w:r>
    </w:p>
    <w:p>
      <w:pPr>
        <w:ind w:left="907"/>
        <w:jc w:val="both"/>
      </w:pPr>
      <w:r>
        <w:t>j) por propriedade intelectual, patentes, marcas, segredos industriais ou direitos autorais, salvo Custos de Defesa;</w:t>
      </w:r>
    </w:p>
    <w:p>
      <w:pPr>
        <w:ind w:left="907"/>
        <w:jc w:val="both"/>
      </w:pPr>
      <w:r>
        <w:t>k) por atos do Segurado em outra sociedade não indicada como Subsidiária ou Entidade Externa coberta;</w:t>
      </w:r>
    </w:p>
    <w:p>
      <w:pPr>
        <w:ind w:left="907"/>
        <w:jc w:val="both"/>
      </w:pPr>
      <w:r>
        <w:t>l) por Reclamação apresentada em jurisdição ou por pessoa sujeita a sanção que impeça o pagamento (Cláusula 8).</w:t>
      </w:r>
    </w:p>
    <w:p>
      <w:pPr>
        <w:pStyle w:val="Heading2"/>
      </w:pPr>
      <w:r>
        <w:t>CLÁUSULA 10 – EXCLUSÕES ESPECÍFICAS</w:t>
      </w:r>
    </w:p>
    <w:p>
      <w:pPr>
        <w:ind w:left="624" w:hanging="624"/>
        <w:jc w:val="both"/>
      </w:pPr>
      <w:r>
        <w:rPr>
          <w:b/>
        </w:rPr>
        <w:t xml:space="preserve">10.1  </w:t>
      </w:r>
      <w:r>
        <w:t>Poluição. Ficam excluídas as Reclamações decorrentes de poluição, contaminação ou dano ambiental de qualquer natureza, inclusive as ordens de limpeza e remediação.</w:t>
      </w:r>
    </w:p>
    <w:p>
      <w:pPr>
        <w:ind w:left="624" w:hanging="624"/>
        <w:jc w:val="both"/>
      </w:pPr>
      <w:r>
        <w:rPr>
          <w:b/>
        </w:rPr>
        <w:t xml:space="preserve">10.2  </w:t>
      </w:r>
      <w:r>
        <w:t>Em exceção à exclusão anterior, a Seguradora pagará as Perdas da Cobertura A do Segurado quando o Tomador estiver impedido de indenizá-lo por insolvência ou por vedação legal, sem sublimite específico, excluídos os Custos de Defesa do Tomador.</w:t>
      </w:r>
    </w:p>
    <w:p>
      <w:pPr>
        <w:ind w:left="624" w:hanging="624"/>
        <w:jc w:val="both"/>
      </w:pPr>
      <w:r>
        <w:rPr>
          <w:b/>
        </w:rPr>
        <w:t xml:space="preserve">10.3  </w:t>
      </w:r>
      <w:r>
        <w:t>Práticas Trabalhistas Indevidas. Ficam excluídas as Reclamações decorrentes de relação de emprego, inclusive assédio, discriminação e dispensa, restando garantidos apenas os Custos de Defesa do Segurado, quando houver sublimite indicado no Quadro 2.</w:t>
      </w:r>
    </w:p>
    <w:p>
      <w:pPr>
        <w:ind w:left="624" w:hanging="624"/>
        <w:jc w:val="both"/>
      </w:pPr>
      <w:r>
        <w:rPr>
          <w:b/>
        </w:rPr>
        <w:t xml:space="preserve">10.4  </w:t>
      </w:r>
      <w:r>
        <w:t>Danos Corporais. Ficam excluídas Reclamações por lesão corporal, doença, sofrimento físico ou morte de qualquer pessoa, salvo Custos de Defesa se houver sublimite indicado no Quadro 2.</w:t>
      </w:r>
    </w:p>
    <w:p>
      <w:pPr>
        <w:ind w:left="624" w:hanging="624"/>
        <w:jc w:val="both"/>
      </w:pPr>
      <w:r>
        <w:rPr>
          <w:b/>
        </w:rPr>
        <w:t xml:space="preserve">10.5  </w:t>
      </w:r>
      <w:r>
        <w:t>Danos Materiais. Ficam excluídas Reclamações por danos ou perda de bens tangíveis, inclusive sua privação de uso, salvo Custos de Defesa se houver sublimite indicado no Quadro 2.</w:t>
      </w:r>
    </w:p>
    <w:p>
      <w:pPr>
        <w:ind w:left="624" w:hanging="624"/>
        <w:jc w:val="both"/>
      </w:pPr>
      <w:r>
        <w:rPr>
          <w:b/>
        </w:rPr>
        <w:t xml:space="preserve">10.6  </w:t>
      </w:r>
      <w:r>
        <w:t>Erros e Omissões – Prestação de Serviços Profissionais. Ficam excluídas Reclamações decorrentes da prestação ou da omissão de prestação de serviços profissionais a terceiros, em qualquer atividade (erros e omissões), ressalvada a cobertura de administradores por falha de supervisão, se contratada.</w:t>
      </w:r>
    </w:p>
    <w:p>
      <w:pPr>
        <w:pStyle w:val="Heading2"/>
      </w:pPr>
      <w:r>
        <w:t>CLÁUSULA 11 – NOTIFICAÇÃO DE RECLAMAÇÕES E CIRCUNSTÂNCIAS</w:t>
      </w:r>
    </w:p>
    <w:p>
      <w:pPr>
        <w:ind w:left="624" w:hanging="624"/>
        <w:jc w:val="both"/>
      </w:pPr>
      <w:r>
        <w:rPr>
          <w:b/>
        </w:rPr>
        <w:t xml:space="preserve">11.1  </w:t>
      </w:r>
      <w:r>
        <w:t>O Tomador ou o Segurado deverá notificar a Seguradora, por escrito, de qualquer Reclamação assim que dela tomar conhecimento e em até 30 (trinta) dias, e sempre até o fim da vigência ou do Prazo Complementar, o que ocorrer primeiro.</w:t>
      </w:r>
    </w:p>
    <w:p>
      <w:pPr>
        <w:ind w:left="624" w:hanging="624"/>
        <w:jc w:val="both"/>
      </w:pPr>
      <w:r>
        <w:rPr>
          <w:b/>
        </w:rPr>
        <w:t xml:space="preserve">11.2  </w:t>
      </w:r>
      <w:r>
        <w:t>Notificação de Circunstâncias. Se, durante a vigência, o Tomador ou o Segurado tiver conhecimento de Circunstância que possa originar Reclamação, poderá notificá-la à Seguradora com descrição dos fatos, das pessoas envolvidas, da data e dos possíveis reclamantes. A Reclamação posterior será tratada como apresentada na vigência em que a Circunstância foi notificada.</w:t>
      </w:r>
    </w:p>
    <w:p>
      <w:pPr>
        <w:ind w:left="624" w:hanging="624"/>
        <w:jc w:val="both"/>
      </w:pPr>
      <w:r>
        <w:rPr>
          <w:b/>
        </w:rPr>
        <w:t xml:space="preserve">11.3  </w:t>
      </w:r>
      <w:r>
        <w:t>A notificação tardia não prejudica a cobertura se realizada dentro da vigência ou do Prazo Complementar, mas a Seguradora não responde por Custos de Defesa incorridos antes da notificação sem sua anuência.</w:t>
      </w:r>
    </w:p>
    <w:p>
      <w:pPr>
        <w:pStyle w:val="Heading2"/>
      </w:pPr>
      <w:r>
        <w:t>CLÁUSULA 12 – SINISTRO, DEFESA E COOPERAÇÃO</w:t>
      </w:r>
    </w:p>
    <w:p>
      <w:pPr>
        <w:ind w:left="624" w:hanging="624"/>
        <w:jc w:val="both"/>
      </w:pPr>
      <w:r>
        <w:rPr>
          <w:b/>
        </w:rPr>
        <w:t xml:space="preserve">12.1  </w:t>
      </w:r>
      <w:r>
        <w:t>O Segurado e o Tomador cooperarão com a Seguradora, fornecendo documentos e informações, e não admitirão responsabilidade, não firmarão acordo nem incorrerão em despesas sem prévia anuência da Seguradora, que não a negará sem justo motivo.</w:t>
      </w:r>
    </w:p>
    <w:p>
      <w:pPr>
        <w:ind w:left="624" w:hanging="624"/>
        <w:jc w:val="both"/>
      </w:pPr>
      <w:r>
        <w:rPr>
          <w:b/>
        </w:rPr>
        <w:t xml:space="preserve">12.2  </w:t>
      </w:r>
      <w:r>
        <w:t>A Seguradora tem o direito de participar da defesa e das negociações. Se o Segurado recusar acordo recomendado pela Seguradora e aceito pelo reclamante, a Seguradora responde apenas até o valor do acordo recusado mais os Custos de Defesa razoáveis até então incorridos.</w:t>
      </w:r>
    </w:p>
    <w:p>
      <w:pPr>
        <w:ind w:left="624" w:hanging="624"/>
        <w:jc w:val="both"/>
      </w:pPr>
      <w:r>
        <w:rPr>
          <w:b/>
        </w:rPr>
        <w:t xml:space="preserve">12.3  </w:t>
      </w:r>
      <w:r>
        <w:t>A Seguradora tem 30 (trinta) dias, contados da entrega de todos os documentos, para se manifestar sobre a cobertura. O pedido de documentos complementares suspende esse prazo uma única vez. O pagamento será feito em até 30 (trinta) dias da decisão, sob pena de atualização monetária pelo IPCA e juros moratórios de 1% (um por cento) ao mês.</w:t>
      </w:r>
    </w:p>
    <w:p>
      <w:pPr>
        <w:pStyle w:val="Heading2"/>
      </w:pPr>
      <w:r>
        <w:t>CLÁUSULA 13 – DIREITO DE REGRESSO E SUB-ROGAÇÃO</w:t>
      </w:r>
    </w:p>
    <w:p>
      <w:pPr>
        <w:ind w:left="624" w:hanging="624"/>
        <w:jc w:val="both"/>
      </w:pPr>
      <w:r>
        <w:rPr>
          <w:b/>
        </w:rPr>
        <w:t xml:space="preserve">13.1  </w:t>
      </w:r>
      <w:r>
        <w:t>Paga a indenização, a Seguradora fica sub-rogada, até o limite do valor pago, nos direitos e ações do Segurado ou do Tomador contra terceiros, nos termos do art. 786 do Código Civil, obrigando-se o Segurado a colaborar e a não praticar ato que os prejudique.</w:t>
      </w:r>
    </w:p>
    <w:p>
      <w:pPr>
        <w:ind w:left="624" w:hanging="624"/>
        <w:jc w:val="both"/>
      </w:pPr>
      <w:r>
        <w:rPr>
          <w:b/>
        </w:rPr>
        <w:t xml:space="preserve">13.2  </w:t>
      </w:r>
      <w:r>
        <w:t>A Seguradora não exercerá direito de regresso contra o Segurado, exceto se a Reclamação for excluída por dolo ou fraude, hipótese em que poderá cobrar os valores pagos, atualizados. Não haverá regresso contra o Segurado por culpa, ainda que grave.</w:t>
      </w:r>
    </w:p>
    <w:p>
      <w:pPr>
        <w:ind w:left="624" w:hanging="624"/>
        <w:jc w:val="both"/>
      </w:pPr>
      <w:r>
        <w:rPr>
          <w:b/>
        </w:rPr>
        <w:t xml:space="preserve">13.3  </w:t>
      </w:r>
      <w:r>
        <w:t>Também não haverá sub-rogação contra herdeiros, cônjuge ou companheiro do Segurado, salvo nas hipóteses de dolo ou fraude.</w:t>
      </w:r>
    </w:p>
    <w:p>
      <w:pPr>
        <w:pStyle w:val="Heading2"/>
      </w:pPr>
      <w:r>
        <w:t>CLÁUSULA 14 – RATEIO, ALOCAÇÃO E OUTROS SEGUROS</w:t>
      </w:r>
    </w:p>
    <w:p>
      <w:pPr>
        <w:ind w:left="624" w:hanging="624"/>
        <w:jc w:val="both"/>
      </w:pPr>
      <w:r>
        <w:rPr>
          <w:b/>
        </w:rPr>
        <w:t xml:space="preserve">14.1  </w:t>
      </w:r>
      <w:r>
        <w:t>Quando a Reclamação envolver Perdas cobertas e não cobertas, ou Segurados cobertos e não cobertos, aplicar-se-á alocação justa e proporcional às exposições, envidando as partes seus melhores esforços para acordá-la. Os Custos de Defesa serão alocados integralmente à parte coberta quando a defesa beneficiar ambas.</w:t>
      </w:r>
    </w:p>
    <w:p>
      <w:pPr>
        <w:ind w:left="624" w:hanging="624"/>
        <w:jc w:val="both"/>
      </w:pPr>
      <w:r>
        <w:rPr>
          <w:b/>
        </w:rPr>
        <w:t xml:space="preserve">14.2  </w:t>
      </w:r>
      <w:r>
        <w:t>Este seguro é excedente a qualquer outro seguro válido e cobrável, inclusive de Entidade Externa, salvo o seguro contratado especificamente como excedente desta apólice.</w:t>
      </w:r>
    </w:p>
    <w:p>
      <w:pPr>
        <w:ind w:left="624" w:hanging="624"/>
        <w:jc w:val="both"/>
      </w:pPr>
      <w:r>
        <w:rPr>
          <w:b/>
        </w:rPr>
        <w:t xml:space="preserve">14.3  </w:t>
      </w:r>
      <w:r>
        <w:t>Havendo mais de uma apólice da Seguradora que cubra a mesma Reclamação, a responsabilidade total da Seguradora não excederá o maior limite aplicável.</w:t>
      </w:r>
    </w:p>
    <w:p>
      <w:pPr>
        <w:pStyle w:val="Heading2"/>
      </w:pPr>
      <w:r>
        <w:t>CLÁUSULA 15 – DECLARAÇÕES, AGRAVAMENTO DO RISCO E PERDA DE DIREITOS</w:t>
      </w:r>
    </w:p>
    <w:p>
      <w:pPr>
        <w:ind w:left="624" w:hanging="624"/>
        <w:jc w:val="both"/>
      </w:pPr>
      <w:r>
        <w:rPr>
          <w:b/>
        </w:rPr>
        <w:t xml:space="preserve">15.1  </w:t>
      </w:r>
      <w:r>
        <w:t>O Tomador e o Segurado declaram ser verdadeiras as informações da proposta, base desta apólice. Nos termos dos arts. 765 e 766 do Código Civil, a omissão ou inexatidão de má-fé, ou que influa na aceitação ou no prêmio, implica perda do direito à garantia. Se sem má-fé, a indenização será reduzida proporcionalmente à diferença de prêmio.</w:t>
      </w:r>
    </w:p>
    <w:p>
      <w:pPr>
        <w:ind w:left="624" w:hanging="624"/>
        <w:jc w:val="both"/>
      </w:pPr>
      <w:r>
        <w:rPr>
          <w:b/>
        </w:rPr>
        <w:t xml:space="preserve">15.2  </w:t>
      </w:r>
      <w:r>
        <w:t>O Tomador comunicará à Seguradora, em até 15 (quinze) dias, fusão, incorporação, cisão, alienação de controle, liquidação, recuperação judicial ou extrajudicial ou falência, de que resulte mudança do risco, nos termos do art. 769 do Código Civil.</w:t>
      </w:r>
    </w:p>
    <w:p>
      <w:pPr>
        <w:ind w:left="624" w:hanging="624"/>
        <w:jc w:val="both"/>
      </w:pPr>
      <w:r>
        <w:rPr>
          <w:b/>
        </w:rPr>
        <w:t xml:space="preserve">15.3  </w:t>
      </w:r>
      <w:r>
        <w:t>Perde direito à indenização quem agravar intencionalmente o risco, nos termos do art. 768 do Código Civil, ou quem prestar declaração falsa na notificação do Sinistro.</w:t>
      </w:r>
    </w:p>
    <w:p>
      <w:pPr>
        <w:pStyle w:val="Heading2"/>
      </w:pPr>
      <w:r>
        <w:t>CLÁUSULA 16 – PRÊMIO E PAGAMENTO</w:t>
      </w:r>
    </w:p>
    <w:p>
      <w:pPr>
        <w:ind w:left="624" w:hanging="624"/>
        <w:jc w:val="both"/>
      </w:pPr>
      <w:r>
        <w:rPr>
          <w:b/>
        </w:rPr>
        <w:t xml:space="preserve">16.1  </w:t>
      </w:r>
      <w:r>
        <w:t>O prêmio será pago em 6 parcelas mensais nas datas indicadas na proposta. O atraso de pagamento de qualquer parcela sujeita o valor a atualização monetária e juros de 1% (um por cento) ao mês e multa de 2% (dois por cento).</w:t>
      </w:r>
    </w:p>
    <w:p>
      <w:pPr>
        <w:ind w:left="624" w:hanging="624"/>
        <w:jc w:val="both"/>
      </w:pPr>
      <w:r>
        <w:rPr>
          <w:b/>
        </w:rPr>
        <w:t xml:space="preserve">16.2  </w:t>
      </w:r>
      <w:r>
        <w:t>A falta de pagamento de parcela, após notificação do Tomador, por 30 (trinta) dias, poderá levar ao cancelamento da apólice, conforme a Circular SUSEP nº 637/2021. Ocorrido o sinistro, as parcelas vincendas serão deduzidas da indenização.</w:t>
      </w:r>
    </w:p>
    <w:p>
      <w:pPr>
        <w:pStyle w:val="Heading2"/>
      </w:pPr>
      <w:r>
        <w:t>CLÁUSULA 17 – CANCELAMENTO E RENOVAÇÃO</w:t>
      </w:r>
    </w:p>
    <w:p>
      <w:pPr>
        <w:ind w:left="624" w:hanging="624"/>
        <w:jc w:val="both"/>
      </w:pPr>
      <w:r>
        <w:rPr>
          <w:b/>
        </w:rPr>
        <w:t xml:space="preserve">17.1  </w:t>
      </w:r>
      <w:r>
        <w:t>A apólice poderá ser cancelada pelo Tomador, a qualquer tempo, com devolução do prêmio proporcional ao prazo a decorrer, deduzida a parcela relativa às despesas de emissão, salvo se houver Reclamação notificada, caso em que o prêmio não será devolvido.</w:t>
      </w:r>
    </w:p>
    <w:p>
      <w:pPr>
        <w:ind w:left="624" w:hanging="624"/>
        <w:jc w:val="both"/>
      </w:pPr>
      <w:r>
        <w:rPr>
          <w:b/>
        </w:rPr>
        <w:t xml:space="preserve">17.2  </w:t>
      </w:r>
      <w:r>
        <w:t>A Seguradora somente poderá cancelar por falta de pagamento (Cláusula 16), por fraude ou por agravamento do risco (Cláusula 15), mediante aviso prévio de 30 (trinta) dias.</w:t>
      </w:r>
    </w:p>
    <w:p>
      <w:pPr>
        <w:ind w:left="624" w:hanging="624"/>
        <w:jc w:val="both"/>
      </w:pPr>
      <w:r>
        <w:rPr>
          <w:b/>
        </w:rPr>
        <w:t xml:space="preserve">17.3  </w:t>
      </w:r>
      <w:r>
        <w:t>A renovação depende de nova proposta e de aceitação pela Seguradora, que informará eventuais alterações com antecedência mínima de 60 (sessenta) dias. Não há renovação automática.</w:t>
      </w:r>
    </w:p>
    <w:p>
      <w:pPr>
        <w:pStyle w:val="Heading2"/>
      </w:pPr>
      <w:r>
        <w:t>CLÁUSULA 18 – PRESCRIÇÃO</w:t>
      </w:r>
    </w:p>
    <w:p>
      <w:pPr>
        <w:ind w:left="624" w:hanging="624"/>
        <w:jc w:val="both"/>
      </w:pPr>
      <w:r>
        <w:rPr>
          <w:b/>
        </w:rPr>
        <w:t xml:space="preserve">18.1  </w:t>
      </w:r>
      <w:r>
        <w:t>Os prazos prescricionais são os previstos em lei. A pretensão do Segurado ou do Tomador contra a Seguradora prescreve em 1 (um) ano, contado da ciência do fato gerador da pretensão (art. 206, § 1º, inciso II, do Código Civil).</w:t>
      </w:r>
    </w:p>
    <w:p>
      <w:pPr>
        <w:ind w:left="624" w:hanging="624"/>
        <w:jc w:val="both"/>
      </w:pPr>
      <w:r>
        <w:rPr>
          <w:b/>
        </w:rPr>
        <w:t xml:space="preserve">18.2  </w:t>
      </w:r>
      <w:r>
        <w:t>O pedido de indenização à Seguradora suspende o prazo prescricional até a ciência do Segurado ou do Tomador da decisão, nos termos da Súmula 229 do Superior Tribunal de Justiça.</w:t>
      </w:r>
    </w:p>
    <w:p>
      <w:pPr>
        <w:pStyle w:val="Heading2"/>
      </w:pPr>
      <w:r>
        <w:t>CLÁUSULA 19 – ARBITRAGEM</w:t>
      </w:r>
    </w:p>
    <w:p>
      <w:pPr>
        <w:ind w:left="624" w:hanging="624"/>
        <w:jc w:val="both"/>
      </w:pPr>
      <w:r>
        <w:rPr>
          <w:b/>
        </w:rPr>
        <w:t xml:space="preserve">19.1  </w:t>
      </w:r>
      <w:r>
        <w:t>Qualquer controvérsia sobre esta apólice será resolvida por arbitragem, na forma da Lei 9.307/1996, por três árbitros, com sede em Rio de Janeiro/RJ, em português e conforme o regulamento da câmara de arbitragem indicada na Especificação.</w:t>
      </w:r>
    </w:p>
    <w:p>
      <w:pPr>
        <w:ind w:left="624" w:hanging="624"/>
        <w:jc w:val="both"/>
      </w:pPr>
      <w:r>
        <w:rPr>
          <w:b/>
        </w:rPr>
        <w:t xml:space="preserve">19.2  </w:t>
      </w:r>
      <w:r>
        <w:t>Ficam ressalvadas as medidas de urgência perante o Poder Judiciário e a possibilidade de o Tomador ou o Segurado, na condição de consumidor, optar pelo Poder Judiciário, nos termos da lei. O foro da comarca de Rio de Janeiro/RJ será o competente para essas medidas.</w:t>
      </w:r>
    </w:p>
    <w:p>
      <w:pPr>
        <w:pStyle w:val="Heading2"/>
      </w:pPr>
      <w:r>
        <w:t>CLÁUSULA 20 – DISPOSIÇÕES FINAIS</w:t>
      </w:r>
    </w:p>
    <w:p>
      <w:pPr>
        <w:ind w:left="624" w:hanging="624"/>
        <w:jc w:val="both"/>
      </w:pPr>
      <w:r>
        <w:rPr>
          <w:b/>
        </w:rPr>
        <w:t xml:space="preserve">20.1  </w:t>
      </w:r>
      <w:r>
        <w:t>Os dados pessoais são tratados nos termos da Lei 13.709/2018 (LGPD), exclusivamente para a gestão desta apólice e de eventuais sinistros.</w:t>
      </w:r>
    </w:p>
    <w:p>
      <w:pPr>
        <w:ind w:left="624" w:hanging="624"/>
        <w:jc w:val="both"/>
      </w:pPr>
      <w:r>
        <w:rPr>
          <w:b/>
        </w:rPr>
        <w:t xml:space="preserve">20.2  </w:t>
      </w:r>
      <w:r>
        <w:t>Reclamações, dúvidas e sugestões: SAC da Seguradora e Ouvidoria (0800 900 0057, ouvidoria@fenixaustral.example). Sem solução, o segurado pode consultar a SUSEP pelo telefone 0800 021 8484 ou em www.gov.br/susep.</w:t>
      </w:r>
    </w:p>
    <w:p>
      <w:pPr>
        <w:ind w:left="624" w:hanging="624"/>
        <w:jc w:val="both"/>
      </w:pPr>
      <w:r>
        <w:rPr>
          <w:b/>
        </w:rPr>
        <w:t xml:space="preserve">20.3  </w:t>
      </w:r>
      <w:r>
        <w:t>Corretor: Horizonte Marsh Corretora de Seguros Ltda.. O corretor indicado é o intermediário da contratação, sem poderes para alterar estas Condições.</w:t>
      </w:r>
    </w:p>
    <w:p>
      <w:r>
        <w:br w:type="page"/>
      </w:r>
    </w:p>
    <w:p>
      <w:pPr>
        <w:pStyle w:val="Heading1"/>
      </w:pPr>
      <w:r>
        <w:t>SEÇÃO III – ENDOSSOS E CLÁUSULAS ESPECIAIS</w:t>
      </w:r>
    </w:p>
    <w:p>
      <w:pPr>
        <w:pStyle w:val="Heading2"/>
      </w:pPr>
      <w:r>
        <w:t>ENDOSSO Nº 001 – CLÁUSULA DE SANÇÕES ECONÔMICAS</w:t>
      </w:r>
    </w:p>
    <w:p>
      <w:pPr>
        <w:jc w:val="both"/>
      </w:pPr>
      <w:r>
        <w:t>Fica entendido e acordado que nenhuma cobertura, pagamento de sinistro ou benefício será devido se sua prestação expuser a Seguradora, ou qualquer de suas resseguradoras, a sanção, proibição ou restrição imposta por resolução das Nações Unidas ou por leis e regulamentos de sanções econômicas ou comerciais aplicáveis.</w:t>
      </w:r>
    </w:p>
    <w:p>
      <w:pPr>
        <w:jc w:val="both"/>
      </w:pPr>
      <w:r>
        <w:t>Permanecem inalteradas as demais disposições da apólice não alteradas por este endosso.</w:t>
      </w:r>
    </w:p>
    <w:p>
      <w:pPr>
        <w:pStyle w:val="Heading2"/>
      </w:pPr>
      <w:r>
        <w:t>ENDOSSO Nº 002 – SUBLIMITE REGULATÓRIO E ORDEM DE PAGAMENTO</w:t>
      </w:r>
    </w:p>
    <w:p>
      <w:pPr>
        <w:jc w:val="both"/>
      </w:pPr>
      <w:r>
        <w:t>Os sublimites de Custos de Investigação (R$ 10.000.000,00) e de Eventos Extraordinários com Reguladores (R$ 15.000.000,00) aplicam-se a investigações e processos do Banco Central do Brasil, da CVM, do CADE, do COAF e da SUSEP.</w:t>
      </w:r>
    </w:p>
    <w:p>
      <w:pPr>
        <w:jc w:val="both"/>
      </w:pPr>
      <w:r>
        <w:t>Os sublimites integram o LMG e não são adicionais a ele.</w:t>
      </w:r>
    </w:p>
    <w:p>
      <w:pPr>
        <w:pStyle w:val="Heading2"/>
      </w:pPr>
      <w:r>
        <w:t>ENDOSSO Nº 003 – CAUDA DE RUN-OFF E MUDANÇA DE CONTROLE</w:t>
      </w:r>
    </w:p>
    <w:p>
      <w:pPr>
        <w:jc w:val="both"/>
      </w:pPr>
      <w:r>
        <w:t>Comprovada a ocorrência de evento descrito na Cláusula 7, o Tomador notificará a Seguradora em até 30 dias. O run-off de 84 meses passará a vigorar automaticamente, sem prêmio adicional, a partir da data do evento.</w:t>
      </w:r>
    </w:p>
    <w:p>
      <w:pPr>
        <w:jc w:val="both"/>
      </w:pPr>
      <w:r>
        <w:t>Local e data: Rio de Janeiro, 25/09/2026. Fênix Austral Seguros S.A. – Diretoria Técnica. Corretor: Horizonte Marsh Corretora de Seguros Ltda..</w:t>
      </w:r>
    </w:p>
    <w:p>
      <w:r>
        <w:rPr>
          <w:color w:val="3B4A5A"/>
          <w:sz w:val="16"/>
        </w:rPr>
        <w:t>Nota final: esta apólice é fictícia e não tem valor contratual; foi criada apenas para testes do ClauseAI.</w:t>
      </w:r>
    </w:p>
    <w:sectPr w:rsidR="00FC693F" w:rsidRPr="0006063C" w:rsidSect="00034616">
      <w:headerReference w:type="default" r:id="rId4"/>
      <w:footerReference w:type="default" r:id="rId9"/>
      <w:pgSz w:w="11906" w:h="16838"/>
      <w:pgMar w:top="1361"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Fênix Austral Seguros S.A. · Apólice nº FEN-0351-2026-000057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FÊNIX AUSTRAL SEGUROS S.A. · Seguro D&amp;O · Apólice nº FEN-0351-2026-000057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B4A5A"/>
      <w:sz w:val="28"/>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Arial" w:hAnsi="Arial"/>
      <w:b/>
      <w:bCs/>
      <w:color w:val="3B4A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3B4A5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4"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Apólice D&amp;O FEN-0351-2026-000057</dc:title>
  <dc:subject>Seguro de Responsabilidade Civil de Administradores e Diretores (D&amp;O)</dc:subject>
  <dc:creator>Fênix Austral Seguros S.A.</dc:creator>
  <cp:keywords/>
  <dc:description>generated by python-docx</dc:description>
  <cp:lastModifiedBy>Fênix Austral Seguros S.A.</cp:lastModifiedBy>
  <cp:revision>1</cp:revision>
  <dcterms:created xsi:type="dcterms:W3CDTF">2026-09-29T12:00:00Z</dcterms:created>
  <dcterms:modified xsi:type="dcterms:W3CDTF">2026-09-29T12:00:00Z</dcterms:modified>
  <cp:category/>
</cp:coreProperties>
</file>