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40"/>
      </w:pPr>
    </w:p>
    <w:p>
      <w:pPr>
        <w:spacing w:before="0" w:after="20" w:line="240" w:lineRule="auto"/>
        <w:jc w:val="center"/>
      </w:pPr>
      <w:r>
        <w:rPr>
          <w:rFonts w:ascii="Arial" w:hAnsi="Arial" w:eastAsia="Arial"/>
          <w:b/>
          <w:i w:val="0"/>
          <w:color w:val="173650"/>
          <w:sz w:val="32"/>
        </w:rPr>
        <w:t>InsurMinds</w:t>
      </w:r>
    </w:p>
    <w:p>
      <w:pPr>
        <w:spacing w:before="0" w:after="360" w:line="240" w:lineRule="auto"/>
        <w:jc w:val="center"/>
      </w:pPr>
      <w:r>
        <w:rPr>
          <w:rFonts w:ascii="Arial" w:hAnsi="Arial" w:eastAsia="Arial"/>
          <w:b w:val="0"/>
          <w:i w:val="0"/>
          <w:color w:val="66727D"/>
          <w:sz w:val="21"/>
        </w:rPr>
        <w:t>Inteligência Artificial Aplicada a Seguros</w:t>
      </w:r>
    </w:p>
    <w:p>
      <w:pPr>
        <w:spacing w:before="0" w:after="160" w:line="240" w:lineRule="auto"/>
        <w:jc w:val="center"/>
      </w:pPr>
      <w:r>
        <w:rPr>
          <w:rFonts w:ascii="Arial" w:hAnsi="Arial" w:eastAsia="Arial"/>
          <w:b/>
          <w:i w:val="0"/>
          <w:color w:val="2878B8"/>
          <w:sz w:val="27"/>
        </w:rPr>
        <w:t>Desafio 5</w:t>
      </w:r>
    </w:p>
    <w:p>
      <w:pPr>
        <w:spacing w:before="0" w:after="360" w:line="240" w:lineRule="auto"/>
        <w:jc w:val="center"/>
      </w:pPr>
      <w:r>
        <w:rPr>
          <w:rFonts w:ascii="Arial" w:hAnsi="Arial" w:eastAsia="Arial"/>
          <w:b/>
          <w:i w:val="0"/>
          <w:color w:val="173650"/>
          <w:sz w:val="36"/>
        </w:rPr>
        <w:t>Ferramenta Inteligente para Comunicação</w:t>
        <w:br/>
        <w:t>Proativa com o Segurado</w:t>
      </w:r>
    </w:p>
    <w:p>
      <w:pPr>
        <w:spacing w:before="0" w:after="40" w:line="240" w:lineRule="auto"/>
        <w:jc w:val="center"/>
      </w:pPr>
      <w:r>
        <w:rPr>
          <w:rFonts w:ascii="Arial" w:hAnsi="Arial" w:eastAsia="Arial"/>
          <w:b/>
          <w:i w:val="0"/>
          <w:color w:val="202428"/>
          <w:sz w:val="23"/>
        </w:rPr>
        <w:t>Projeto: VigiaApp</w:t>
      </w:r>
    </w:p>
    <w:p>
      <w:pPr>
        <w:spacing w:before="0" w:after="500" w:line="240" w:lineRule="auto"/>
        <w:jc w:val="center"/>
      </w:pPr>
      <w:r>
        <w:rPr>
          <w:rFonts w:ascii="Arial" w:hAnsi="Arial" w:eastAsia="Arial"/>
          <w:b w:val="0"/>
          <w:i w:val="0"/>
          <w:color w:val="66727D"/>
          <w:sz w:val="20"/>
        </w:rPr>
        <w:t>Grupo: VIL — Visionary Insurance Lab</w:t>
      </w:r>
    </w:p>
    <w:p>
      <w:pPr>
        <w:spacing w:before="0" w:after="80" w:line="240" w:lineRule="auto"/>
      </w:pPr>
      <w:r>
        <w:rPr>
          <w:rFonts w:ascii="Arial" w:hAnsi="Arial" w:eastAsia="Arial"/>
          <w:b/>
          <w:i w:val="0"/>
          <w:color w:val="2878B8"/>
          <w:sz w:val="18"/>
        </w:rPr>
        <w:t>Representante</w:t>
      </w:r>
    </w:p>
    <w:p>
      <w:pPr>
        <w:spacing w:before="0" w:after="240" w:line="271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>Yure Santana | (71) 99140-8574 | yure.s.santana@outlook.com</w:t>
      </w:r>
    </w:p>
    <w:p>
      <w:pPr>
        <w:spacing w:before="0" w:after="80" w:line="240" w:lineRule="auto"/>
      </w:pPr>
      <w:r>
        <w:rPr>
          <w:rFonts w:ascii="Arial" w:hAnsi="Arial" w:eastAsia="Arial"/>
          <w:b/>
          <w:i w:val="0"/>
          <w:color w:val="2878B8"/>
          <w:sz w:val="18"/>
        </w:rPr>
        <w:t>Integrantes</w:t>
      </w:r>
    </w:p>
    <w:p>
      <w:pPr>
        <w:spacing w:before="0" w:after="60" w:line="271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>Giovana Arenzano da Palma Martins | (11) 99705-9633 | giovana.arenzano@gmail.com</w:t>
      </w:r>
    </w:p>
    <w:p>
      <w:pPr>
        <w:spacing w:before="0" w:after="60" w:line="271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>Julianna Rosa Del Cielo | (11) 95197-6037 | juliannajurdc@gmail.com</w:t>
      </w:r>
    </w:p>
    <w:p>
      <w:pPr>
        <w:spacing w:before="0" w:after="60" w:line="271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>Karen Mendes Neves de Oliveira | (11) 96494-2847 | karenmendes@wiz.co</w:t>
      </w:r>
    </w:p>
    <w:p>
      <w:pPr>
        <w:spacing w:before="440" w:after="0" w:line="240" w:lineRule="auto"/>
        <w:jc w:val="center"/>
      </w:pPr>
      <w:r>
        <w:rPr>
          <w:rFonts w:ascii="Arial" w:hAnsi="Arial" w:eastAsia="Arial"/>
          <w:b w:val="0"/>
          <w:i w:val="0"/>
          <w:color w:val="66727D"/>
          <w:sz w:val="19"/>
        </w:rPr>
        <w:t>15 de setembro de 2026</w:t>
      </w:r>
    </w:p>
    <w:p>
      <w:pPr>
        <w:sectPr>
          <w:headerReference w:type="default" r:id="rId9"/>
          <w:headerReference w:type="even" r:id="rId10"/>
          <w:footerReference w:type="default" r:id="rId11"/>
          <w:pgSz w:w="11906" w:h="16838"/>
          <w:pgMar w:top="1276" w:right="1247" w:bottom="1077" w:left="1247" w:header="408" w:footer="454" w:gutter="0"/>
          <w:cols w:space="720"/>
          <w:docGrid w:linePitch="360"/>
        </w:sectPr>
      </w:pPr>
    </w:p>
    <w:p>
      <w:pPr>
        <w:keepNext/>
        <w:spacing w:before="20" w:after="80" w:line="240" w:lineRule="auto"/>
      </w:pPr>
      <w:r>
        <w:rPr>
          <w:rFonts w:ascii="Arial" w:hAnsi="Arial" w:eastAsia="Arial"/>
          <w:b/>
          <w:i w:val="0"/>
          <w:color w:val="2878B8"/>
          <w:sz w:val="16"/>
        </w:rPr>
        <w:t>RELATÓRIO TÉCNICO</w:t>
      </w:r>
    </w:p>
    <w:p>
      <w:pPr>
        <w:keepNext/>
        <w:spacing w:before="0" w:after="160" w:line="228" w:lineRule="auto"/>
      </w:pPr>
      <w:r>
        <w:rPr>
          <w:rFonts w:ascii="Arial" w:hAnsi="Arial" w:eastAsia="Arial"/>
          <w:b/>
          <w:i w:val="0"/>
          <w:color w:val="173650"/>
          <w:sz w:val="42"/>
        </w:rPr>
        <w:t>Resumo executivo</w:t>
      </w:r>
    </w:p>
    <w:p>
      <w:pPr>
        <w:spacing w:before="0" w:after="200" w:line="264" w:lineRule="auto"/>
      </w:pPr>
      <w:r>
        <w:rPr>
          <w:rFonts w:ascii="Arial" w:hAnsi="Arial" w:eastAsia="Arial"/>
          <w:b w:val="0"/>
          <w:i w:val="0"/>
          <w:color w:val="66727D"/>
          <w:sz w:val="20"/>
        </w:rPr>
        <w:t>Visão do problema, da solução entregue e do resultado demonstrado.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8F2F9"/>
            <w:tcMar>
              <w:top w:w="130" w:type="dxa"/>
              <w:start w:w="180" w:type="dxa"/>
              <w:bottom w:w="130" w:type="dxa"/>
              <w:end w:w="180" w:type="dxa"/>
            </w:tcMar>
            <w:tcBorders>
              <w:start w:val="single" w:sz="18" w:color="2878B8"/>
              <w:top w:val="nil"/>
              <w:bottom w:val="nil"/>
              <w:end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Proposta.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O VigiaApp transforma alertas meteorológicos públicos em comunicações preventivas individualizadas para segurados expostos. O MVP percorre o fluxo completo: coleta, interpretação, decisão, geração por IA, revisão e registro do envio.</w:t>
            </w:r>
          </w:p>
        </w:tc>
      </w:tr>
    </w:tbl>
    <w:p>
      <w:pPr>
        <w:spacing w:after="0"/>
      </w:pP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Problema tratado</w:t>
      </w:r>
    </w:p>
    <w:p>
      <w:pPr>
        <w:spacing w:before="0" w:after="100" w:line="271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>Eventos climáticos severos atingem pessoas e patrimônios com pouco tempo de reação. Ao cruzar localização, vigência, produto e coberturas com alertas oficiais, a seguradora pode orientar ações preventivas antes do agravamento do risco e manter uma trilha auditável da comunicação.</w:t>
      </w: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Resultado do MVP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EEF4F7"/>
            <w:tcMar>
              <w:top w:w="130" w:type="dxa"/>
              <w:start w:w="100" w:type="dxa"/>
              <w:bottom w:w="125" w:type="dxa"/>
              <w:end w:w="100" w:type="dxa"/>
            </w:tcMar>
            <w:tcBorders>
              <w:top w:val="single" w:sz="14" w:color="2878B8"/>
              <w:bottom w:val="nil"/>
              <w:start w:val="nil"/>
              <w:end w:val="nil"/>
            </w:tcBorders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2878B8"/>
                <w:sz w:val="34"/>
              </w:rPr>
              <w:t>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66727D"/>
                <w:sz w:val="15"/>
              </w:rPr>
              <w:t>SEGURADOS FICTÍCIOS</w:t>
            </w:r>
          </w:p>
        </w:tc>
        <w:tc>
          <w:tcPr>
            <w:tcW w:type="dxa" w:w="2353"/>
            <w:shd w:fill="EEF4F7"/>
            <w:tcMar>
              <w:top w:w="130" w:type="dxa"/>
              <w:start w:w="100" w:type="dxa"/>
              <w:bottom w:w="125" w:type="dxa"/>
              <w:end w:w="100" w:type="dxa"/>
            </w:tcMar>
            <w:tcBorders>
              <w:top w:val="single" w:sz="14" w:color="08A9A6"/>
              <w:bottom w:val="nil"/>
              <w:start w:val="nil"/>
              <w:end w:val="nil"/>
            </w:tcBorders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8A9A6"/>
                <w:sz w:val="34"/>
              </w:rPr>
              <w:t>72 h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66727D"/>
                <w:sz w:val="15"/>
              </w:rPr>
              <w:t>HORIZONTE DE DECISÃO</w:t>
            </w:r>
          </w:p>
        </w:tc>
        <w:tc>
          <w:tcPr>
            <w:tcW w:type="dxa" w:w="2353"/>
            <w:shd w:fill="EEF4F7"/>
            <w:tcMar>
              <w:top w:w="130" w:type="dxa"/>
              <w:start w:w="100" w:type="dxa"/>
              <w:bottom w:w="125" w:type="dxa"/>
              <w:end w:w="100" w:type="dxa"/>
            </w:tcMar>
            <w:tcBorders>
              <w:top w:val="single" w:sz="14" w:color="173650"/>
              <w:bottom w:val="nil"/>
              <w:start w:val="nil"/>
              <w:end w:val="nil"/>
            </w:tcBorders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173650"/>
                <w:sz w:val="34"/>
              </w:rPr>
              <w:t>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66727D"/>
                <w:sz w:val="15"/>
              </w:rPr>
              <w:t>PROVEDORES DE IA</w:t>
            </w:r>
          </w:p>
        </w:tc>
        <w:tc>
          <w:tcPr>
            <w:tcW w:type="dxa" w:w="2353"/>
            <w:shd w:fill="EEF4F7"/>
            <w:tcMar>
              <w:top w:w="130" w:type="dxa"/>
              <w:start w:w="100" w:type="dxa"/>
              <w:bottom w:w="125" w:type="dxa"/>
              <w:end w:w="100" w:type="dxa"/>
            </w:tcMar>
            <w:tcBorders>
              <w:top w:val="single" w:sz="14" w:color="2878B8"/>
              <w:bottom w:val="nil"/>
              <w:start w:val="nil"/>
              <w:end w:val="nil"/>
            </w:tcBorders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2878B8"/>
                <w:sz w:val="34"/>
              </w:rPr>
              <w:t>30 min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66727D"/>
                <w:sz w:val="15"/>
              </w:rPr>
              <w:t>CICLO AUTOMÁTICO</w:t>
            </w:r>
          </w:p>
        </w:tc>
      </w:tr>
    </w:tbl>
    <w:p>
      <w:pPr>
        <w:spacing w:after="0"/>
      </w:pPr>
    </w:p>
    <w:p>
      <w:pPr>
        <w:spacing w:before="0" w:after="100" w:line="271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>A aplicação funcional integra a API do INMET, valida municípios pelo IBGE, aplica a matriz de riscos e coberturas da Etapa 1, gera mensagens com Gemini 3.5 Flash e utiliza Groq com GPT‑OSS como contingência. A interface permite revisar, regenerar, enviar e consultar o histórico.</w:t>
      </w: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Escopo demonstrado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Coleta e normalização de avisos meteorológicos reais, sem dados climáticos mockados.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Seleção automática dos segurados elegíveis conforme localização, apólice e cobertura.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Mensagens em português do Brasil adequadas ao canal SMS ou e-mail.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Confirmação de sucesso ou erro no envio e log técnico persistido para falhas.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6F1E8"/>
            <w:tcMar>
              <w:top w:w="130" w:type="dxa"/>
              <w:start w:w="180" w:type="dxa"/>
              <w:bottom w:w="130" w:type="dxa"/>
              <w:end w:w="180" w:type="dxa"/>
            </w:tcMar>
            <w:tcBorders>
              <w:start w:val="single" w:sz="18" w:color="A7660B"/>
              <w:top w:val="nil"/>
              <w:bottom w:val="nil"/>
              <w:end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Critério do desafio.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O edital exige uma demonstração completa e admite simulação de notificação. O MVP registra o resultado do envio no próprio sistema; a conexão com gateway externo de SMS/e-mail fica fora desta versão.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20" w:after="80" w:line="240" w:lineRule="auto"/>
      </w:pPr>
      <w:r>
        <w:rPr>
          <w:rFonts w:ascii="Arial" w:hAnsi="Arial" w:eastAsia="Arial"/>
          <w:b/>
          <w:i w:val="0"/>
          <w:color w:val="2878B8"/>
          <w:sz w:val="16"/>
        </w:rPr>
        <w:t>SOLUÇÃO</w:t>
      </w:r>
    </w:p>
    <w:p>
      <w:pPr>
        <w:keepNext/>
        <w:spacing w:before="0" w:after="160" w:line="228" w:lineRule="auto"/>
      </w:pPr>
      <w:r>
        <w:rPr>
          <w:rFonts w:ascii="Arial" w:hAnsi="Arial" w:eastAsia="Arial"/>
          <w:b/>
          <w:i w:val="0"/>
          <w:color w:val="173650"/>
          <w:sz w:val="42"/>
        </w:rPr>
        <w:t>Arquitetura do MVP</w:t>
      </w:r>
    </w:p>
    <w:p>
      <w:pPr>
        <w:spacing w:before="0" w:after="200" w:line="264" w:lineRule="auto"/>
      </w:pPr>
      <w:r>
        <w:rPr>
          <w:rFonts w:ascii="Arial" w:hAnsi="Arial" w:eastAsia="Arial"/>
          <w:b w:val="0"/>
          <w:i w:val="0"/>
          <w:color w:val="66727D"/>
          <w:sz w:val="20"/>
        </w:rPr>
        <w:t>Componentes separados por responsabilidade e conectados por contratos simples de dados.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vAlign w:val="center"/>
            <w:tcMar>
              <w:top w:w="120" w:type="dxa"/>
              <w:start w:w="70" w:type="dxa"/>
              <w:bottom w:w="120" w:type="dxa"/>
              <w:end w:w="70" w:type="dxa"/>
            </w:tcMar>
            <w:shd w:fill="2878B8"/>
          </w:tcPr>
          <w:p>
            <w:pPr>
              <w:spacing w:before="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FONTES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INMET</w:t>
              <w:br/>
              <w:t>IBGE</w:t>
            </w:r>
          </w:p>
        </w:tc>
        <w:tc>
          <w:tcPr>
            <w:tcW w:type="dxa" w:w="1046"/>
            <w:vAlign w:val="center"/>
            <w:tcMar>
              <w:top w:w="120" w:type="dxa"/>
              <w:start w:w="70" w:type="dxa"/>
              <w:bottom w:w="12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66727D"/>
                <w:sz w:val="34"/>
              </w:rPr>
              <w:t>›</w:t>
            </w:r>
          </w:p>
        </w:tc>
        <w:tc>
          <w:tcPr>
            <w:tcW w:type="dxa" w:w="1046"/>
            <w:vAlign w:val="center"/>
            <w:tcMar>
              <w:top w:w="120" w:type="dxa"/>
              <w:start w:w="70" w:type="dxa"/>
              <w:bottom w:w="120" w:type="dxa"/>
              <w:end w:w="70" w:type="dxa"/>
            </w:tcMar>
            <w:shd w:fill="173650"/>
          </w:tcPr>
          <w:p>
            <w:pPr>
              <w:spacing w:before="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COLETA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Normalização</w:t>
              <w:br/>
              <w:t>e revisão</w:t>
            </w:r>
          </w:p>
        </w:tc>
        <w:tc>
          <w:tcPr>
            <w:tcW w:type="dxa" w:w="1046"/>
            <w:vAlign w:val="center"/>
            <w:tcMar>
              <w:top w:w="120" w:type="dxa"/>
              <w:start w:w="70" w:type="dxa"/>
              <w:bottom w:w="12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66727D"/>
                <w:sz w:val="34"/>
              </w:rPr>
              <w:t>›</w:t>
            </w:r>
          </w:p>
        </w:tc>
        <w:tc>
          <w:tcPr>
            <w:tcW w:type="dxa" w:w="1046"/>
            <w:vAlign w:val="center"/>
            <w:tcMar>
              <w:top w:w="120" w:type="dxa"/>
              <w:start w:w="70" w:type="dxa"/>
              <w:bottom w:w="120" w:type="dxa"/>
              <w:end w:w="70" w:type="dxa"/>
            </w:tcMar>
            <w:shd w:fill="08A9A6"/>
          </w:tcPr>
          <w:p>
            <w:pPr>
              <w:spacing w:before="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DECISÃO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Elegibilidade</w:t>
              <w:br/>
              <w:t>e cobertura</w:t>
            </w:r>
          </w:p>
        </w:tc>
        <w:tc>
          <w:tcPr>
            <w:tcW w:type="dxa" w:w="1046"/>
            <w:vAlign w:val="center"/>
            <w:tcMar>
              <w:top w:w="120" w:type="dxa"/>
              <w:start w:w="70" w:type="dxa"/>
              <w:bottom w:w="12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66727D"/>
                <w:sz w:val="34"/>
              </w:rPr>
              <w:t>›</w:t>
            </w:r>
          </w:p>
        </w:tc>
        <w:tc>
          <w:tcPr>
            <w:tcW w:type="dxa" w:w="1046"/>
            <w:vAlign w:val="center"/>
            <w:tcMar>
              <w:top w:w="120" w:type="dxa"/>
              <w:start w:w="70" w:type="dxa"/>
              <w:bottom w:w="120" w:type="dxa"/>
              <w:end w:w="70" w:type="dxa"/>
            </w:tcMar>
            <w:shd w:fill="2878B8"/>
          </w:tcPr>
          <w:p>
            <w:pPr>
              <w:spacing w:before="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GERAÇÃO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Gemini 3.5</w:t>
              <w:br/>
              <w:t>→ Groq OSS</w:t>
            </w:r>
          </w:p>
        </w:tc>
        <w:tc>
          <w:tcPr>
            <w:tcW w:type="dxa" w:w="1046"/>
            <w:vAlign w:val="center"/>
            <w:tcMar>
              <w:top w:w="120" w:type="dxa"/>
              <w:start w:w="70" w:type="dxa"/>
              <w:bottom w:w="120" w:type="dxa"/>
              <w:end w:w="7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66727D"/>
                <w:sz w:val="34"/>
              </w:rPr>
              <w:t>›</w:t>
            </w:r>
          </w:p>
        </w:tc>
        <w:tc>
          <w:tcPr>
            <w:tcW w:type="dxa" w:w="1046"/>
            <w:vAlign w:val="center"/>
            <w:tcMar>
              <w:top w:w="120" w:type="dxa"/>
              <w:start w:w="70" w:type="dxa"/>
              <w:bottom w:w="120" w:type="dxa"/>
              <w:end w:w="70" w:type="dxa"/>
            </w:tcMar>
            <w:shd w:fill="173650"/>
          </w:tcPr>
          <w:p>
            <w:pPr>
              <w:spacing w:before="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ENTREGA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API · UI</w:t>
              <w:br/>
              <w:t>SQLite</w:t>
            </w:r>
          </w:p>
        </w:tc>
      </w:tr>
    </w:tbl>
    <w:p>
      <w:pPr>
        <w:spacing w:after="0"/>
      </w:pP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Camadas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685"/>
        <w:gridCol w:w="3969"/>
      </w:tblGrid>
      <w:tr>
        <w:trPr>
          <w:tblHeader w:val="true"/>
          <w:cantSplit/>
        </w:trPr>
        <w:tc>
          <w:tcPr>
            <w:tcW w:type="dxa" w:w="3137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Camada</w:t>
            </w:r>
          </w:p>
        </w:tc>
        <w:tc>
          <w:tcPr>
            <w:tcW w:type="dxa" w:w="3137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Responsabilidade</w:t>
            </w:r>
          </w:p>
        </w:tc>
        <w:tc>
          <w:tcPr>
            <w:tcW w:type="dxa" w:w="3137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Implementação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Fontes externas</w:t>
            </w:r>
          </w:p>
        </w:tc>
        <w:tc>
          <w:tcPr>
            <w:tcW w:type="dxa" w:w="3685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Alertas meteorológicos e validação territorial</w:t>
            </w:r>
          </w:p>
        </w:tc>
        <w:tc>
          <w:tcPr>
            <w:tcW w:type="dxa" w:w="3969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API pública do INMET e serviço do IBGE</w:t>
            </w:r>
          </w:p>
        </w:tc>
      </w:tr>
      <w:tr>
        <w:trPr>
          <w:cantSplit/>
        </w:trPr>
        <w:tc>
          <w:tcPr>
            <w:tcW w:type="dxa" w:w="1757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Coleta</w:t>
            </w:r>
          </w:p>
        </w:tc>
        <w:tc>
          <w:tcPr>
            <w:tcW w:type="dxa" w:w="3685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Consultar, validar, normalizar e revisar eventos</w:t>
            </w:r>
          </w:p>
        </w:tc>
        <w:tc>
          <w:tcPr>
            <w:tcW w:type="dxa" w:w="3969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Node.js/TypeScript; histórico de revisões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Decisão</w:t>
            </w:r>
          </w:p>
        </w:tc>
        <w:tc>
          <w:tcPr>
            <w:tcW w:type="dxa" w:w="3685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Cruzar evento, município, apólice, produto e cobertura</w:t>
            </w:r>
          </w:p>
        </w:tc>
        <w:tc>
          <w:tcPr>
            <w:tcW w:type="dxa" w:w="3969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Motor determinístico com regra etapa1-v1</w:t>
            </w:r>
          </w:p>
        </w:tc>
      </w:tr>
      <w:tr>
        <w:trPr>
          <w:cantSplit/>
        </w:trPr>
        <w:tc>
          <w:tcPr>
            <w:tcW w:type="dxa" w:w="1757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Geração</w:t>
            </w:r>
          </w:p>
        </w:tc>
        <w:tc>
          <w:tcPr>
            <w:tcW w:type="dxa" w:w="3685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Redigir comunicação personalizada e segura</w:t>
            </w:r>
          </w:p>
        </w:tc>
        <w:tc>
          <w:tcPr>
            <w:tcW w:type="dxa" w:w="3969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Gemini 3.5 Flash; contingência Groq GPT‑OSS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Persistência</w:t>
            </w:r>
          </w:p>
        </w:tc>
        <w:tc>
          <w:tcPr>
            <w:tcW w:type="dxa" w:w="3685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Guardar segurados, eventos, comunicações e logs</w:t>
            </w:r>
          </w:p>
        </w:tc>
        <w:tc>
          <w:tcPr>
            <w:tcW w:type="dxa" w:w="3969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SQLite no processo do backend</w:t>
            </w:r>
          </w:p>
        </w:tc>
      </w:tr>
      <w:tr>
        <w:trPr>
          <w:cantSplit/>
        </w:trPr>
        <w:tc>
          <w:tcPr>
            <w:tcW w:type="dxa" w:w="1757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Experiência</w:t>
            </w:r>
          </w:p>
        </w:tc>
        <w:tc>
          <w:tcPr>
            <w:tcW w:type="dxa" w:w="3685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Operar e acompanhar o fluxo</w:t>
            </w:r>
          </w:p>
        </w:tc>
        <w:tc>
          <w:tcPr>
            <w:tcW w:type="dxa" w:w="3969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API Express e painel React/Vite</w:t>
            </w:r>
          </w:p>
        </w:tc>
      </w:tr>
    </w:tbl>
    <w:p>
      <w:pPr>
        <w:spacing w:after="0"/>
      </w:pP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Princípios de projeto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Separação entre coleta, regras, geração, comunicação e apresentação.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Decisão de elegibilidade determinística; a IA redige, mas não decide cobertura.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Chaves de API somente em variáveis de ambiente; nenhuma credencial no repositório.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Rastreabilidade por IDs, origem do alerta, versão da regra, provedor e modelo usado.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8F2F9"/>
            <w:tcMar>
              <w:top w:w="130" w:type="dxa"/>
              <w:start w:w="180" w:type="dxa"/>
              <w:bottom w:w="130" w:type="dxa"/>
              <w:end w:w="180" w:type="dxa"/>
            </w:tcMar>
            <w:tcBorders>
              <w:start w:val="single" w:sz="18" w:color="2878B8"/>
              <w:top w:val="nil"/>
              <w:bottom w:val="nil"/>
              <w:end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Implantação.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O backend exige um processo persistente para preservar o SQLite e executar o agendador. Hospedagens efêmeras devem usar banco externo e scheduler dedicado.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20" w:after="80" w:line="240" w:lineRule="auto"/>
      </w:pPr>
      <w:r>
        <w:rPr>
          <w:rFonts w:ascii="Arial" w:hAnsi="Arial" w:eastAsia="Arial"/>
          <w:b/>
          <w:i w:val="0"/>
          <w:color w:val="2878B8"/>
          <w:sz w:val="16"/>
        </w:rPr>
        <w:t>SOLUÇÃO</w:t>
      </w:r>
    </w:p>
    <w:p>
      <w:pPr>
        <w:keepNext/>
        <w:spacing w:before="0" w:after="160" w:line="228" w:lineRule="auto"/>
      </w:pPr>
      <w:r>
        <w:rPr>
          <w:rFonts w:ascii="Arial" w:hAnsi="Arial" w:eastAsia="Arial"/>
          <w:b/>
          <w:i w:val="0"/>
          <w:color w:val="173650"/>
          <w:sz w:val="42"/>
        </w:rPr>
        <w:t>Agentes e responsabilidades</w:t>
      </w:r>
    </w:p>
    <w:p>
      <w:pPr>
        <w:spacing w:before="0" w:after="200" w:line="264" w:lineRule="auto"/>
      </w:pPr>
      <w:r>
        <w:rPr>
          <w:rFonts w:ascii="Arial" w:hAnsi="Arial" w:eastAsia="Arial"/>
          <w:b w:val="0"/>
          <w:i w:val="0"/>
          <w:color w:val="66727D"/>
          <w:sz w:val="20"/>
        </w:rPr>
        <w:t>Papéis especializados reduzem acoplamento e tornam cada decisão explicável.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098"/>
        <w:gridCol w:w="3515"/>
        <w:gridCol w:w="2098"/>
      </w:tblGrid>
      <w:tr>
        <w:trPr>
          <w:tblHeader w:val="true"/>
          <w:cantSplit/>
        </w:trPr>
        <w:tc>
          <w:tcPr>
            <w:tcW w:type="dxa" w:w="2353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Agente</w:t>
            </w:r>
          </w:p>
        </w:tc>
        <w:tc>
          <w:tcPr>
            <w:tcW w:type="dxa" w:w="2353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Entrada</w:t>
            </w:r>
          </w:p>
        </w:tc>
        <w:tc>
          <w:tcPr>
            <w:tcW w:type="dxa" w:w="2353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Ação</w:t>
            </w:r>
          </w:p>
        </w:tc>
        <w:tc>
          <w:tcPr>
            <w:tcW w:type="dxa" w:w="2353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Saída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Coletor climático</w:t>
            </w:r>
          </w:p>
        </w:tc>
        <w:tc>
          <w:tcPr>
            <w:tcW w:type="dxa" w:w="2098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Resposta do INMET</w:t>
            </w:r>
          </w:p>
        </w:tc>
        <w:tc>
          <w:tcPr>
            <w:tcW w:type="dxa" w:w="3515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Valida formato, datas, severidade, áreas e revisões</w:t>
            </w:r>
          </w:p>
        </w:tc>
        <w:tc>
          <w:tcPr>
            <w:tcW w:type="dxa" w:w="2098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Evento normalizado</w:t>
            </w:r>
          </w:p>
        </w:tc>
      </w:tr>
      <w:tr>
        <w:trPr>
          <w:cantSplit/>
        </w:trPr>
        <w:tc>
          <w:tcPr>
            <w:tcW w:type="dxa" w:w="1701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Validador territorial</w:t>
            </w:r>
          </w:p>
        </w:tc>
        <w:tc>
          <w:tcPr>
            <w:tcW w:type="dxa" w:w="2098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Município e UF</w:t>
            </w:r>
          </w:p>
        </w:tc>
        <w:tc>
          <w:tcPr>
            <w:tcW w:type="dxa" w:w="3515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Confere referência municipal</w:t>
            </w:r>
          </w:p>
        </w:tc>
        <w:tc>
          <w:tcPr>
            <w:tcW w:type="dxa" w:w="2098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Localidade consistente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Motor de decisão</w:t>
            </w:r>
          </w:p>
        </w:tc>
        <w:tc>
          <w:tcPr>
            <w:tcW w:type="dxa" w:w="2098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Evento + segurado + apólice</w:t>
            </w:r>
          </w:p>
        </w:tc>
        <w:tc>
          <w:tcPr>
            <w:tcW w:type="dxa" w:w="3515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Aplica horizonte, vigência e interseção de riscos/coberturas</w:t>
            </w:r>
          </w:p>
        </w:tc>
        <w:tc>
          <w:tcPr>
            <w:tcW w:type="dxa" w:w="2098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Elegível ou descartado, com motivo</w:t>
            </w:r>
          </w:p>
        </w:tc>
      </w:tr>
      <w:tr>
        <w:trPr>
          <w:cantSplit/>
        </w:trPr>
        <w:tc>
          <w:tcPr>
            <w:tcW w:type="dxa" w:w="1701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Redator de IA</w:t>
            </w:r>
          </w:p>
        </w:tc>
        <w:tc>
          <w:tcPr>
            <w:tcW w:type="dxa" w:w="2098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Evento + perfil elegível</w:t>
            </w:r>
          </w:p>
        </w:tc>
        <w:tc>
          <w:tcPr>
            <w:tcW w:type="dxa" w:w="3515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Gera texto preventivo por canal e contexto</w:t>
            </w:r>
          </w:p>
        </w:tc>
        <w:tc>
          <w:tcPr>
            <w:tcW w:type="dxa" w:w="2098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Mensagem revisável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Orquestrador</w:t>
            </w:r>
          </w:p>
        </w:tc>
        <w:tc>
          <w:tcPr>
            <w:tcW w:type="dxa" w:w="2098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Ciclo agendado ou comando</w:t>
            </w:r>
          </w:p>
        </w:tc>
        <w:tc>
          <w:tcPr>
            <w:tcW w:type="dxa" w:w="3515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Coordena etapas, reaproveita comunicações e registra erros</w:t>
            </w:r>
          </w:p>
        </w:tc>
        <w:tc>
          <w:tcPr>
            <w:tcW w:type="dxa" w:w="2098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Execução auditável</w:t>
            </w:r>
          </w:p>
        </w:tc>
      </w:tr>
      <w:tr>
        <w:trPr>
          <w:cantSplit/>
        </w:trPr>
        <w:tc>
          <w:tcPr>
            <w:tcW w:type="dxa" w:w="1701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Comunicador</w:t>
            </w:r>
          </w:p>
        </w:tc>
        <w:tc>
          <w:tcPr>
            <w:tcW w:type="dxa" w:w="2098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Mensagem aprovada</w:t>
            </w:r>
          </w:p>
        </w:tc>
        <w:tc>
          <w:tcPr>
            <w:tcW w:type="dxa" w:w="3515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Revalida o alerta e registra sucesso/falha</w:t>
            </w:r>
          </w:p>
        </w:tc>
        <w:tc>
          <w:tcPr>
            <w:tcW w:type="dxa" w:w="2098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Status e histórico</w:t>
            </w:r>
          </w:p>
        </w:tc>
      </w:tr>
    </w:tbl>
    <w:p>
      <w:pPr>
        <w:spacing w:after="0"/>
      </w:pP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Divisão entre regras e IA</w:t>
      </w:r>
    </w:p>
    <w:p>
      <w:pPr>
        <w:spacing w:before="0" w:after="100" w:line="271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>O motor de decisão mantém as condições objetivas fora do modelo generativo. Isso evita que a IA invente elegibilidade ou interprete uma cobertura contratual como certeza de indenização. A IA recebe somente os dados necessários para redigir uma orientação contextualizada.</w:t>
      </w: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Ciclo operacional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95"/>
        <w:gridCol w:w="8844"/>
      </w:tblGrid>
      <w:tr>
        <w:tc>
          <w:tcPr>
            <w:tcW w:type="dxa" w:w="4706"/>
            <w:shd w:fill="2878B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4706"/>
            <w:shd w:fill="E8F2F9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Coleta —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busca alertas ativos no INMET e armazena eventos novos ou revisados.</w:t>
            </w:r>
          </w:p>
        </w:tc>
      </w:tr>
    </w:tbl>
    <w:p>
      <w:pPr>
        <w:spacing w:after="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95"/>
        <w:gridCol w:w="8844"/>
      </w:tblGrid>
      <w:tr>
        <w:tc>
          <w:tcPr>
            <w:tcW w:type="dxa" w:w="4706"/>
            <w:shd w:fill="2878B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4706"/>
            <w:shd w:fill="E8F2F9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Decisão —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avalia os cinco segurados fictícios contra cada evento dentro de 72 horas.</w:t>
            </w:r>
          </w:p>
        </w:tc>
      </w:tr>
    </w:tbl>
    <w:p>
      <w:pPr>
        <w:spacing w:after="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95"/>
        <w:gridCol w:w="8844"/>
      </w:tblGrid>
      <w:tr>
        <w:tc>
          <w:tcPr>
            <w:tcW w:type="dxa" w:w="4706"/>
            <w:shd w:fill="2878B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4706"/>
            <w:shd w:fill="E8F2F9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Geração —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produz comunicação inédita ou mantém a já existente para evitar duplicidade.</w:t>
            </w:r>
          </w:p>
        </w:tc>
      </w:tr>
    </w:tbl>
    <w:p>
      <w:pPr>
        <w:spacing w:after="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95"/>
        <w:gridCol w:w="8844"/>
      </w:tblGrid>
      <w:tr>
        <w:tc>
          <w:tcPr>
            <w:tcW w:type="dxa" w:w="4706"/>
            <w:shd w:fill="2878B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4706"/>
            <w:shd w:fill="E8F2F9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Operação —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expõe resultados no painel e permite revisão, regeneração, envio e histórico.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20" w:after="80" w:line="240" w:lineRule="auto"/>
      </w:pPr>
      <w:r>
        <w:rPr>
          <w:rFonts w:ascii="Arial" w:hAnsi="Arial" w:eastAsia="Arial"/>
          <w:b/>
          <w:i w:val="0"/>
          <w:color w:val="2878B8"/>
          <w:sz w:val="16"/>
        </w:rPr>
        <w:t>PROCESSAMENTO</w:t>
      </w:r>
    </w:p>
    <w:p>
      <w:pPr>
        <w:keepNext/>
        <w:spacing w:before="0" w:after="160" w:line="228" w:lineRule="auto"/>
      </w:pPr>
      <w:r>
        <w:rPr>
          <w:rFonts w:ascii="Arial" w:hAnsi="Arial" w:eastAsia="Arial"/>
          <w:b/>
          <w:i w:val="0"/>
          <w:color w:val="173650"/>
          <w:sz w:val="42"/>
        </w:rPr>
        <w:t>Fluxo ponta a ponta</w:t>
      </w:r>
    </w:p>
    <w:p>
      <w:pPr>
        <w:spacing w:before="0" w:after="200" w:line="264" w:lineRule="auto"/>
      </w:pPr>
      <w:r>
        <w:rPr>
          <w:rFonts w:ascii="Arial" w:hAnsi="Arial" w:eastAsia="Arial"/>
          <w:b w:val="0"/>
          <w:i w:val="0"/>
          <w:color w:val="66727D"/>
          <w:sz w:val="20"/>
        </w:rPr>
        <w:t>Da fonte oficial à mensagem registrada, com guardas em cada transição.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95"/>
        <w:gridCol w:w="8844"/>
      </w:tblGrid>
      <w:tr>
        <w:tc>
          <w:tcPr>
            <w:tcW w:type="dxa" w:w="4706"/>
            <w:shd w:fill="2878B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4706"/>
            <w:shd w:fill="E8F2F9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Consultar fontes —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O backend solicita avisos ativos ao INMET. A carteira e o histórico vêm do SQLite.</w:t>
            </w:r>
          </w:p>
        </w:tc>
      </w:tr>
    </w:tbl>
    <w:p>
      <w:pPr>
        <w:spacing w:after="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95"/>
        <w:gridCol w:w="8844"/>
      </w:tblGrid>
      <w:tr>
        <w:tc>
          <w:tcPr>
            <w:tcW w:type="dxa" w:w="4706"/>
            <w:shd w:fill="2878B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4706"/>
            <w:shd w:fill="E8F2F9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Validar e normalizar —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Campos obrigatórios, datas, municípios, severidade, instruções e riscos são convertidos para o modelo interno.</w:t>
            </w:r>
          </w:p>
        </w:tc>
      </w:tr>
    </w:tbl>
    <w:p>
      <w:pPr>
        <w:spacing w:after="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95"/>
        <w:gridCol w:w="8844"/>
      </w:tblGrid>
      <w:tr>
        <w:tc>
          <w:tcPr>
            <w:tcW w:type="dxa" w:w="4706"/>
            <w:shd w:fill="2878B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4706"/>
            <w:shd w:fill="E8F2F9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Aplicar horizonte —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Somente eventos com início ou vigência dentro da janela operacional de 72 horas seguem para decisão.</w:t>
            </w:r>
          </w:p>
        </w:tc>
      </w:tr>
    </w:tbl>
    <w:p>
      <w:pPr>
        <w:spacing w:after="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95"/>
        <w:gridCol w:w="8844"/>
      </w:tblGrid>
      <w:tr>
        <w:tc>
          <w:tcPr>
            <w:tcW w:type="dxa" w:w="4706"/>
            <w:shd w:fill="2878B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4706"/>
            <w:shd w:fill="E8F2F9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Cruzar segurados —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Município/UF, vigência da apólice, produto e riscos cobertos precisam coincidir com o evento.</w:t>
            </w:r>
          </w:p>
        </w:tc>
      </w:tr>
    </w:tbl>
    <w:p>
      <w:pPr>
        <w:spacing w:after="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95"/>
        <w:gridCol w:w="8844"/>
      </w:tblGrid>
      <w:tr>
        <w:tc>
          <w:tcPr>
            <w:tcW w:type="dxa" w:w="4706"/>
            <w:shd w:fill="2878B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4706"/>
            <w:shd w:fill="E8F2F9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Gerar mensagem —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O Gemini redige por canal; em limite ou indisponibilidade temporária, o Groq assume automaticamente.</w:t>
            </w:r>
          </w:p>
        </w:tc>
      </w:tr>
    </w:tbl>
    <w:p>
      <w:pPr>
        <w:spacing w:after="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95"/>
        <w:gridCol w:w="8844"/>
      </w:tblGrid>
      <w:tr>
        <w:tc>
          <w:tcPr>
            <w:tcW w:type="dxa" w:w="4706"/>
            <w:shd w:fill="2878B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4706"/>
            <w:shd w:fill="E8F2F9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Revisar e enviar —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O usuário revisa ou regenera. Ao enviar, o alerta é revalidado e o sistema registra confirmação ou falha.</w:t>
            </w:r>
          </w:p>
        </w:tc>
      </w:tr>
    </w:tbl>
    <w:p>
      <w:pPr>
        <w:spacing w:after="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95"/>
        <w:gridCol w:w="8844"/>
      </w:tblGrid>
      <w:tr>
        <w:tc>
          <w:tcPr>
            <w:tcW w:type="dxa" w:w="4706"/>
            <w:shd w:fill="2878B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07</w:t>
            </w:r>
          </w:p>
        </w:tc>
        <w:tc>
          <w:tcPr>
            <w:tcW w:type="dxa" w:w="4706"/>
            <w:shd w:fill="E8F2F9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Auditar —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Eventos, revisões, decisão, provedor, modelo, conteúdo, status e logs permanecem consultáveis.</w:t>
            </w:r>
          </w:p>
        </w:tc>
      </w:tr>
    </w:tbl>
    <w:p>
      <w:pPr>
        <w:spacing w:after="0"/>
      </w:pP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Tratamento de repetição e falha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Uma chave de comunicação por evento, revisão e segurado impede duplicações silenciosas.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Revisões do INMET podem gerar nova avaliação quando alteram o risco ou o período.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Falhas externas não produzem conteúdo fictício; a execução informa o erro e mantém o diagnóstico técnico.</w:t>
      </w:r>
    </w:p>
    <w:p>
      <w:r>
        <w:br w:type="page"/>
      </w:r>
    </w:p>
    <w:p>
      <w:pPr>
        <w:keepNext/>
        <w:spacing w:before="20" w:after="80" w:line="240" w:lineRule="auto"/>
      </w:pPr>
      <w:r>
        <w:rPr>
          <w:rFonts w:ascii="Arial" w:hAnsi="Arial" w:eastAsia="Arial"/>
          <w:b/>
          <w:i w:val="0"/>
          <w:color w:val="2878B8"/>
          <w:sz w:val="16"/>
        </w:rPr>
        <w:t>PROCESSAMENTO</w:t>
      </w:r>
    </w:p>
    <w:p>
      <w:pPr>
        <w:keepNext/>
        <w:spacing w:before="0" w:after="160" w:line="228" w:lineRule="auto"/>
      </w:pPr>
      <w:r>
        <w:rPr>
          <w:rFonts w:ascii="Arial" w:hAnsi="Arial" w:eastAsia="Arial"/>
          <w:b/>
          <w:i w:val="0"/>
          <w:color w:val="173650"/>
          <w:sz w:val="42"/>
        </w:rPr>
        <w:t>Dados externos e persistência</w:t>
      </w:r>
    </w:p>
    <w:p>
      <w:pPr>
        <w:spacing w:before="0" w:after="200" w:line="264" w:lineRule="auto"/>
      </w:pPr>
      <w:r>
        <w:rPr>
          <w:rFonts w:ascii="Arial" w:hAnsi="Arial" w:eastAsia="Arial"/>
          <w:b w:val="0"/>
          <w:i w:val="0"/>
          <w:color w:val="66727D"/>
          <w:sz w:val="20"/>
        </w:rPr>
        <w:t>Origem, uso e evidência guardada pelo sistema.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948"/>
        <w:gridCol w:w="2324"/>
        <w:gridCol w:w="2381"/>
      </w:tblGrid>
      <w:tr>
        <w:trPr>
          <w:tblHeader w:val="true"/>
          <w:cantSplit/>
        </w:trPr>
        <w:tc>
          <w:tcPr>
            <w:tcW w:type="dxa" w:w="2353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Fonte/conjunto</w:t>
            </w:r>
          </w:p>
        </w:tc>
        <w:tc>
          <w:tcPr>
            <w:tcW w:type="dxa" w:w="2353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Dados usados</w:t>
            </w:r>
          </w:p>
        </w:tc>
        <w:tc>
          <w:tcPr>
            <w:tcW w:type="dxa" w:w="2353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Finalidade</w:t>
            </w:r>
          </w:p>
        </w:tc>
        <w:tc>
          <w:tcPr>
            <w:tcW w:type="dxa" w:w="2353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Tratamento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INMET — avisos ativos</w:t>
            </w:r>
          </w:p>
        </w:tc>
        <w:tc>
          <w:tcPr>
            <w:tcW w:type="dxa" w:w="2948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Tipo, severidade, início/fim, área, riscos e instruções</w:t>
            </w:r>
          </w:p>
        </w:tc>
        <w:tc>
          <w:tcPr>
            <w:tcW w:type="dxa" w:w="2324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Detectar ameaça climática oficial</w:t>
            </w:r>
          </w:p>
        </w:tc>
        <w:tc>
          <w:tcPr>
            <w:tcW w:type="dxa" w:w="2381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Validação de JSON, normalização e revisões</w:t>
            </w:r>
          </w:p>
        </w:tc>
      </w:tr>
      <w:tr>
        <w:trPr>
          <w:cantSplit/>
        </w:trPr>
        <w:tc>
          <w:tcPr>
            <w:tcW w:type="dxa" w:w="1814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IBGE — localidades</w:t>
            </w:r>
          </w:p>
        </w:tc>
        <w:tc>
          <w:tcPr>
            <w:tcW w:type="dxa" w:w="2948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Município, UF e código</w:t>
            </w:r>
          </w:p>
        </w:tc>
        <w:tc>
          <w:tcPr>
            <w:tcW w:type="dxa" w:w="2324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Evitar correspondência territorial ambígua</w:t>
            </w:r>
          </w:p>
        </w:tc>
        <w:tc>
          <w:tcPr>
            <w:tcW w:type="dxa" w:w="2381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Consulta e validação de referência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Carteira demonstrativa</w:t>
            </w:r>
          </w:p>
        </w:tc>
        <w:tc>
          <w:tcPr>
            <w:tcW w:type="dxa" w:w="2948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Nome, cidade, produto, coberturas, vigência e canal</w:t>
            </w:r>
          </w:p>
        </w:tc>
        <w:tc>
          <w:tcPr>
            <w:tcW w:type="dxa" w:w="2324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Avaliar impacto individual</w:t>
            </w:r>
          </w:p>
        </w:tc>
        <w:tc>
          <w:tcPr>
            <w:tcW w:type="dxa" w:w="2381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5 perfis fictícios persistidos</w:t>
            </w:r>
          </w:p>
        </w:tc>
      </w:tr>
      <w:tr>
        <w:trPr>
          <w:cantSplit/>
        </w:trPr>
        <w:tc>
          <w:tcPr>
            <w:tcW w:type="dxa" w:w="1814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Modelos de IA</w:t>
            </w:r>
          </w:p>
        </w:tc>
        <w:tc>
          <w:tcPr>
            <w:tcW w:type="dxa" w:w="2948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Contexto mínimo do evento e do segurado</w:t>
            </w:r>
          </w:p>
        </w:tc>
        <w:tc>
          <w:tcPr>
            <w:tcW w:type="dxa" w:w="2324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Redigir mensagem preventiva</w:t>
            </w:r>
          </w:p>
        </w:tc>
        <w:tc>
          <w:tcPr>
            <w:tcW w:type="dxa" w:w="2381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Saída validada e identificada por provedor/modelo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SQLite</w:t>
            </w:r>
          </w:p>
        </w:tc>
        <w:tc>
          <w:tcPr>
            <w:tcW w:type="dxa" w:w="2948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Eventos, decisões, mensagens, status e logs</w:t>
            </w:r>
          </w:p>
        </w:tc>
        <w:tc>
          <w:tcPr>
            <w:tcW w:type="dxa" w:w="2324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Histórico e auditoria</w:t>
            </w:r>
          </w:p>
        </w:tc>
        <w:tc>
          <w:tcPr>
            <w:tcW w:type="dxa" w:w="2381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Persistência transacional local</w:t>
            </w:r>
          </w:p>
        </w:tc>
      </w:tr>
    </w:tbl>
    <w:p>
      <w:pPr>
        <w:spacing w:after="0"/>
      </w:pP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Carteira demonstrativa</w:t>
      </w:r>
    </w:p>
    <w:p>
      <w:pPr>
        <w:spacing w:before="0" w:after="100" w:line="271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>A Etapa 1 não fornece uma base de segurados. Para viabilizar o fluxo solicitado, foram criados cinco perfis fictícios, distribuídos entre localidades, produtos, coberturas e canais. Entre eles está Yure Santana, com recebimento por SMS no número informado para a demonstração.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8F2F9"/>
            <w:tcMar>
              <w:top w:w="130" w:type="dxa"/>
              <w:start w:w="180" w:type="dxa"/>
              <w:bottom w:w="130" w:type="dxa"/>
              <w:end w:w="180" w:type="dxa"/>
            </w:tcMar>
            <w:tcBorders>
              <w:start w:val="single" w:sz="18" w:color="2878B8"/>
              <w:top w:val="nil"/>
              <w:bottom w:val="nil"/>
              <w:end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Privacidade por desenho.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O prompt recebe apenas os campos necessários à comunicação. Segredos ficam no ambiente do backend e os logs técnicos não são apresentados como mensagem ao segurado.</w:t>
            </w:r>
          </w:p>
        </w:tc>
      </w:tr>
    </w:tbl>
    <w:p>
      <w:pPr>
        <w:spacing w:after="0"/>
      </w:pP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Registro mínimo por comunicação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evento e revisão de origem; segurado; riscos elegíveis; regra aplicada;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canal; mensagem; provedor e modelo de IA; data de geração;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data e resultado do envio; erro público; detalhe técnico restrito quando houver.</w:t>
      </w:r>
    </w:p>
    <w:p>
      <w:r>
        <w:br w:type="page"/>
      </w:r>
    </w:p>
    <w:p>
      <w:pPr>
        <w:keepNext/>
        <w:spacing w:before="20" w:after="80" w:line="240" w:lineRule="auto"/>
      </w:pPr>
      <w:r>
        <w:rPr>
          <w:rFonts w:ascii="Arial" w:hAnsi="Arial" w:eastAsia="Arial"/>
          <w:b/>
          <w:i w:val="0"/>
          <w:color w:val="2878B8"/>
          <w:sz w:val="16"/>
        </w:rPr>
        <w:t>DECISÃO</w:t>
      </w:r>
    </w:p>
    <w:p>
      <w:pPr>
        <w:keepNext/>
        <w:spacing w:before="0" w:after="160" w:line="228" w:lineRule="auto"/>
      </w:pPr>
      <w:r>
        <w:rPr>
          <w:rFonts w:ascii="Arial" w:hAnsi="Arial" w:eastAsia="Arial"/>
          <w:b/>
          <w:i w:val="0"/>
          <w:color w:val="173650"/>
          <w:sz w:val="42"/>
        </w:rPr>
        <w:t>Regras de elegibilidade</w:t>
      </w:r>
    </w:p>
    <w:p>
      <w:pPr>
        <w:spacing w:before="0" w:after="200" w:line="264" w:lineRule="auto"/>
      </w:pPr>
      <w:r>
        <w:rPr>
          <w:rFonts w:ascii="Arial" w:hAnsi="Arial" w:eastAsia="Arial"/>
          <w:b w:val="0"/>
          <w:i w:val="0"/>
          <w:color w:val="66727D"/>
          <w:sz w:val="20"/>
        </w:rPr>
        <w:t>A matriz da Etapa 1 orienta a seleção; o contrato continua sendo a referência de cobertura.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2721"/>
        <w:gridCol w:w="5726"/>
      </w:tblGrid>
      <w:tr>
        <w:trPr>
          <w:tblHeader w:val="true"/>
          <w:cantSplit/>
        </w:trPr>
        <w:tc>
          <w:tcPr>
            <w:tcW w:type="dxa" w:w="3137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Ordem</w:t>
            </w:r>
          </w:p>
        </w:tc>
        <w:tc>
          <w:tcPr>
            <w:tcW w:type="dxa" w:w="3137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Regra</w:t>
            </w:r>
          </w:p>
        </w:tc>
        <w:tc>
          <w:tcPr>
            <w:tcW w:type="dxa" w:w="3137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Condição para avançar</w:t>
            </w:r>
          </w:p>
        </w:tc>
      </w:tr>
      <w:tr>
        <w:trPr>
          <w:cantSplit/>
        </w:trPr>
        <w:tc>
          <w:tcPr>
            <w:tcW w:type="dxa" w:w="907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1</w:t>
            </w:r>
          </w:p>
        </w:tc>
        <w:tc>
          <w:tcPr>
            <w:tcW w:type="dxa" w:w="2721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Evento válido</w:t>
            </w:r>
          </w:p>
        </w:tc>
        <w:tc>
          <w:tcPr>
            <w:tcW w:type="dxa" w:w="5726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Alerta normalizado, ativo e com período interpretável</w:t>
            </w:r>
          </w:p>
        </w:tc>
      </w:tr>
      <w:tr>
        <w:trPr>
          <w:cantSplit/>
        </w:trPr>
        <w:tc>
          <w:tcPr>
            <w:tcW w:type="dxa" w:w="907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2</w:t>
            </w:r>
          </w:p>
        </w:tc>
        <w:tc>
          <w:tcPr>
            <w:tcW w:type="dxa" w:w="2721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Janela temporal</w:t>
            </w:r>
          </w:p>
        </w:tc>
        <w:tc>
          <w:tcPr>
            <w:tcW w:type="dxa" w:w="5726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Evento relevante dentro do horizonte de 72 horas</w:t>
            </w:r>
          </w:p>
        </w:tc>
      </w:tr>
      <w:tr>
        <w:trPr>
          <w:cantSplit/>
        </w:trPr>
        <w:tc>
          <w:tcPr>
            <w:tcW w:type="dxa" w:w="907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3</w:t>
            </w:r>
          </w:p>
        </w:tc>
        <w:tc>
          <w:tcPr>
            <w:tcW w:type="dxa" w:w="2721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Exposição territorial</w:t>
            </w:r>
          </w:p>
        </w:tc>
        <w:tc>
          <w:tcPr>
            <w:tcW w:type="dxa" w:w="5726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Município e UF do segurado pertencem à área afetada</w:t>
            </w:r>
          </w:p>
        </w:tc>
      </w:tr>
      <w:tr>
        <w:trPr>
          <w:cantSplit/>
        </w:trPr>
        <w:tc>
          <w:tcPr>
            <w:tcW w:type="dxa" w:w="907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4</w:t>
            </w:r>
          </w:p>
        </w:tc>
        <w:tc>
          <w:tcPr>
            <w:tcW w:type="dxa" w:w="2721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Vigência</w:t>
            </w:r>
          </w:p>
        </w:tc>
        <w:tc>
          <w:tcPr>
            <w:tcW w:type="dxa" w:w="5726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Apólice ativa no período considerado</w:t>
            </w:r>
          </w:p>
        </w:tc>
      </w:tr>
      <w:tr>
        <w:trPr>
          <w:cantSplit/>
        </w:trPr>
        <w:tc>
          <w:tcPr>
            <w:tcW w:type="dxa" w:w="907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5</w:t>
            </w:r>
          </w:p>
        </w:tc>
        <w:tc>
          <w:tcPr>
            <w:tcW w:type="dxa" w:w="2721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Compatibilidade</w:t>
            </w:r>
          </w:p>
        </w:tc>
        <w:tc>
          <w:tcPr>
            <w:tcW w:type="dxa" w:w="5726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Produto possui relação com ao menos um risco do evento</w:t>
            </w:r>
          </w:p>
        </w:tc>
      </w:tr>
      <w:tr>
        <w:trPr>
          <w:cantSplit/>
        </w:trPr>
        <w:tc>
          <w:tcPr>
            <w:tcW w:type="dxa" w:w="907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6</w:t>
            </w:r>
          </w:p>
        </w:tc>
        <w:tc>
          <w:tcPr>
            <w:tcW w:type="dxa" w:w="2721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Cobertura declarada</w:t>
            </w:r>
          </w:p>
        </w:tc>
        <w:tc>
          <w:tcPr>
            <w:tcW w:type="dxa" w:w="5726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Há interseção entre riscos elegíveis e coberturas do perfil</w:t>
            </w:r>
          </w:p>
        </w:tc>
      </w:tr>
      <w:tr>
        <w:trPr>
          <w:cantSplit/>
        </w:trPr>
        <w:tc>
          <w:tcPr>
            <w:tcW w:type="dxa" w:w="907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7</w:t>
            </w:r>
          </w:p>
        </w:tc>
        <w:tc>
          <w:tcPr>
            <w:tcW w:type="dxa" w:w="2721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Não duplicidade</w:t>
            </w:r>
          </w:p>
        </w:tc>
        <w:tc>
          <w:tcPr>
            <w:tcW w:type="dxa" w:w="5726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Ainda não existe comunicação para evento, revisão e segurado</w:t>
            </w:r>
          </w:p>
        </w:tc>
      </w:tr>
    </w:tbl>
    <w:p>
      <w:pPr>
        <w:spacing w:after="0"/>
      </w:pP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Recorte da matriz Etapa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143"/>
      </w:tblGrid>
      <w:tr>
        <w:trPr>
          <w:tblHeader w:val="true"/>
          <w:cantSplit/>
        </w:trPr>
        <w:tc>
          <w:tcPr>
            <w:tcW w:type="dxa" w:w="4706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Produto</w:t>
            </w:r>
          </w:p>
        </w:tc>
        <w:tc>
          <w:tcPr>
            <w:tcW w:type="dxa" w:w="4706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Riscos climáticos considerados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Agrícola</w:t>
            </w:r>
          </w:p>
        </w:tc>
        <w:tc>
          <w:tcPr>
            <w:tcW w:type="dxa" w:w="7143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seca, calor, chuva, granizo, geada, vendaval, alagamento</w:t>
            </w:r>
          </w:p>
        </w:tc>
      </w:tr>
      <w:tr>
        <w:trPr>
          <w:cantSplit/>
        </w:trPr>
        <w:tc>
          <w:tcPr>
            <w:tcW w:type="dxa" w:w="2268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Residencial</w:t>
            </w:r>
          </w:p>
        </w:tc>
        <w:tc>
          <w:tcPr>
            <w:tcW w:type="dxa" w:w="7143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chuva, alagamento, vendaval, ciclone, granizo, deslizamento, incêndio, raio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Empresarial</w:t>
            </w:r>
          </w:p>
        </w:tc>
        <w:tc>
          <w:tcPr>
            <w:tcW w:type="dxa" w:w="7143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chuva, alagamento, vendaval, granizo, incêndio, raio, variação térmica</w:t>
            </w:r>
          </w:p>
        </w:tc>
      </w:tr>
      <w:tr>
        <w:trPr>
          <w:cantSplit/>
        </w:trPr>
        <w:tc>
          <w:tcPr>
            <w:tcW w:type="dxa" w:w="2268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Automóvel</w:t>
            </w:r>
          </w:p>
        </w:tc>
        <w:tc>
          <w:tcPr>
            <w:tcW w:type="dxa" w:w="7143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chuva, alagamento, vendaval, granizo, cheia, deslizamento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Engenharia</w:t>
            </w:r>
          </w:p>
        </w:tc>
        <w:tc>
          <w:tcPr>
            <w:tcW w:type="dxa" w:w="7143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chuva, alagamento, vendaval, deslizamento, incêndio</w:t>
            </w:r>
          </w:p>
        </w:tc>
      </w:tr>
      <w:tr>
        <w:trPr>
          <w:cantSplit/>
        </w:trPr>
        <w:tc>
          <w:tcPr>
            <w:tcW w:type="dxa" w:w="2268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Transportes</w:t>
            </w:r>
          </w:p>
        </w:tc>
        <w:tc>
          <w:tcPr>
            <w:tcW w:type="dxa" w:w="7143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chuva, alagamento, vendaval, granizo, cheia, tromba-d’água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Paramétrico</w:t>
            </w:r>
          </w:p>
        </w:tc>
        <w:tc>
          <w:tcPr>
            <w:tcW w:type="dxa" w:w="7143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seca, chuva, calor, geada, cheia, variação térmica</w:t>
            </w:r>
          </w:p>
        </w:tc>
      </w:tr>
      <w:tr>
        <w:trPr>
          <w:cantSplit/>
        </w:trPr>
        <w:tc>
          <w:tcPr>
            <w:tcW w:type="dxa" w:w="2268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Responsabilidade civil</w:t>
            </w:r>
          </w:p>
        </w:tc>
        <w:tc>
          <w:tcPr>
            <w:tcW w:type="dxa" w:w="7143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efeitos de chuva, alagamento, vendaval, deslizamento e incêndio quando aplicável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6F1E8"/>
            <w:tcMar>
              <w:top w:w="130" w:type="dxa"/>
              <w:start w:w="180" w:type="dxa"/>
              <w:bottom w:w="130" w:type="dxa"/>
              <w:end w:w="180" w:type="dxa"/>
            </w:tcMar>
            <w:tcBorders>
              <w:start w:val="single" w:sz="18" w:color="A7660B"/>
              <w:top w:val="nil"/>
              <w:bottom w:val="nil"/>
              <w:end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Interpretação.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A correspondência sinaliza relevância preventiva. Cobertura efetiva, limites, franquias e exclusões dependem da apólice e da análise de sinistro; o sistema não promete indenização.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20" w:after="80" w:line="240" w:lineRule="auto"/>
      </w:pPr>
      <w:r>
        <w:rPr>
          <w:rFonts w:ascii="Arial" w:hAnsi="Arial" w:eastAsia="Arial"/>
          <w:b/>
          <w:i w:val="0"/>
          <w:color w:val="2878B8"/>
          <w:sz w:val="16"/>
        </w:rPr>
        <w:t>INTELIGÊNCIA ARTIFICIAL</w:t>
      </w:r>
    </w:p>
    <w:p>
      <w:pPr>
        <w:keepNext/>
        <w:spacing w:before="0" w:after="160" w:line="228" w:lineRule="auto"/>
      </w:pPr>
      <w:r>
        <w:rPr>
          <w:rFonts w:ascii="Arial" w:hAnsi="Arial" w:eastAsia="Arial"/>
          <w:b/>
          <w:i w:val="0"/>
          <w:color w:val="173650"/>
          <w:sz w:val="42"/>
        </w:rPr>
        <w:t>Geração e contingência</w:t>
      </w:r>
    </w:p>
    <w:p>
      <w:pPr>
        <w:spacing w:before="0" w:after="200" w:line="264" w:lineRule="auto"/>
      </w:pPr>
      <w:r>
        <w:rPr>
          <w:rFonts w:ascii="Arial" w:hAnsi="Arial" w:eastAsia="Arial"/>
          <w:b w:val="0"/>
          <w:i w:val="0"/>
          <w:color w:val="66727D"/>
          <w:sz w:val="20"/>
        </w:rPr>
        <w:t>Mensagens úteis, limitadas aos fatos disponíveis e com continuidade entre provedores.</w:t>
      </w: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Estratégia de modelos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515"/>
        <w:gridCol w:w="4139"/>
      </w:tblGrid>
      <w:tr>
        <w:trPr>
          <w:tblHeader w:val="true"/>
          <w:cantSplit/>
        </w:trPr>
        <w:tc>
          <w:tcPr>
            <w:tcW w:type="dxa" w:w="3137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Papel</w:t>
            </w:r>
          </w:p>
        </w:tc>
        <w:tc>
          <w:tcPr>
            <w:tcW w:type="dxa" w:w="3137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Provedor/modelo</w:t>
            </w:r>
          </w:p>
        </w:tc>
        <w:tc>
          <w:tcPr>
            <w:tcW w:type="dxa" w:w="3137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Quando é usado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Primário</w:t>
            </w:r>
          </w:p>
        </w:tc>
        <w:tc>
          <w:tcPr>
            <w:tcW w:type="dxa" w:w="3515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Google — Gemini 3.5 Flash</w:t>
            </w:r>
          </w:p>
        </w:tc>
        <w:tc>
          <w:tcPr>
            <w:tcW w:type="dxa" w:w="4139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Primeira tentativa de geração ou regeneração</w:t>
            </w:r>
          </w:p>
        </w:tc>
      </w:tr>
      <w:tr>
        <w:trPr>
          <w:cantSplit/>
        </w:trPr>
        <w:tc>
          <w:tcPr>
            <w:tcW w:type="dxa" w:w="1757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Contingência</w:t>
            </w:r>
          </w:p>
        </w:tc>
        <w:tc>
          <w:tcPr>
            <w:tcW w:type="dxa" w:w="3515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Groq — openai/gpt-oss-120b</w:t>
            </w:r>
          </w:p>
        </w:tc>
        <w:tc>
          <w:tcPr>
            <w:tcW w:type="dxa" w:w="4139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Limite 429, modelo indisponível ou falha temporária do Gemini</w:t>
            </w:r>
          </w:p>
        </w:tc>
      </w:tr>
    </w:tbl>
    <w:p>
      <w:pPr>
        <w:spacing w:after="0"/>
      </w:pP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Contrato do prompt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Escrever em português do Brasil e adaptar extensão e tom ao canal.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Usar somente o alerta oficial e o perfil fornecido; não inventar datas, locais ou coberturas.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Distinguir previsão/aviso de evento confirmado e informar a fonte INMET.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Fornecer recomendações seguras e acionáveis, além dos números 199 e 193 quando pertinentes.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Evitar promessa de indenização e lembrar que a cobertura depende das condições contratuais.</w:t>
      </w: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Fallback automático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95"/>
        <w:gridCol w:w="8844"/>
      </w:tblGrid>
      <w:tr>
        <w:tc>
          <w:tcPr>
            <w:tcW w:type="dxa" w:w="4706"/>
            <w:shd w:fill="2878B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4706"/>
            <w:shd w:fill="E8F2F9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Tentar Gemini —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envia o contexto estruturado e valida a resposta.</w:t>
            </w:r>
          </w:p>
        </w:tc>
      </w:tr>
    </w:tbl>
    <w:p>
      <w:pPr>
        <w:spacing w:after="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95"/>
        <w:gridCol w:w="8844"/>
      </w:tblGrid>
      <w:tr>
        <w:tc>
          <w:tcPr>
            <w:tcW w:type="dxa" w:w="4706"/>
            <w:shd w:fill="2878B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4706"/>
            <w:shd w:fill="E8F2F9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Classificar falha —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limite ou indisponibilidade temporária habilitam a contingência.</w:t>
            </w:r>
          </w:p>
        </w:tc>
      </w:tr>
    </w:tbl>
    <w:p>
      <w:pPr>
        <w:spacing w:after="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95"/>
        <w:gridCol w:w="8844"/>
      </w:tblGrid>
      <w:tr>
        <w:tc>
          <w:tcPr>
            <w:tcW w:type="dxa" w:w="4706"/>
            <w:shd w:fill="2878B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4706"/>
            <w:shd w:fill="E8F2F9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Acionar Groq —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repete o mesmo contrato de conteúdo com GPT‑OSS.</w:t>
            </w:r>
          </w:p>
        </w:tc>
      </w:tr>
    </w:tbl>
    <w:p>
      <w:pPr>
        <w:spacing w:after="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95"/>
        <w:gridCol w:w="8844"/>
      </w:tblGrid>
      <w:tr>
        <w:tc>
          <w:tcPr>
            <w:tcW w:type="dxa" w:w="4706"/>
            <w:shd w:fill="2878B8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4706"/>
            <w:shd w:fill="E8F2F9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nil"/>
              <w:bottom w:val="nil"/>
              <w:start w:val="nil"/>
              <w:end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Registrar origem —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grava provedor, modelo e indicação de fallback para auditoria.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8F2F9"/>
            <w:tcMar>
              <w:top w:w="130" w:type="dxa"/>
              <w:start w:w="180" w:type="dxa"/>
              <w:bottom w:w="130" w:type="dxa"/>
              <w:end w:w="180" w:type="dxa"/>
            </w:tcMar>
            <w:tcBorders>
              <w:start w:val="single" w:sz="18" w:color="2878B8"/>
              <w:top w:val="nil"/>
              <w:bottom w:val="nil"/>
              <w:end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Sem texto de reserva.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Se os dois provedores falharem, o sistema retorna erro; não substitui a resposta por mensagem mockada ou por um stub.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20" w:after="80" w:line="240" w:lineRule="auto"/>
      </w:pPr>
      <w:r>
        <w:rPr>
          <w:rFonts w:ascii="Arial" w:hAnsi="Arial" w:eastAsia="Arial"/>
          <w:b/>
          <w:i w:val="0"/>
          <w:color w:val="2878B8"/>
          <w:sz w:val="16"/>
        </w:rPr>
        <w:t>COMUNICAÇÃO</w:t>
      </w:r>
    </w:p>
    <w:p>
      <w:pPr>
        <w:keepNext/>
        <w:spacing w:before="0" w:after="160" w:line="228" w:lineRule="auto"/>
      </w:pPr>
      <w:r>
        <w:rPr>
          <w:rFonts w:ascii="Arial" w:hAnsi="Arial" w:eastAsia="Arial"/>
          <w:b/>
          <w:i w:val="0"/>
          <w:color w:val="173650"/>
          <w:sz w:val="42"/>
        </w:rPr>
        <w:t>Operação, envio e histórico</w:t>
      </w:r>
    </w:p>
    <w:p>
      <w:pPr>
        <w:spacing w:before="0" w:after="200" w:line="264" w:lineRule="auto"/>
      </w:pPr>
      <w:r>
        <w:rPr>
          <w:rFonts w:ascii="Arial" w:hAnsi="Arial" w:eastAsia="Arial"/>
          <w:b w:val="0"/>
          <w:i w:val="0"/>
          <w:color w:val="66727D"/>
          <w:sz w:val="20"/>
        </w:rPr>
        <w:t>O operador controla a mensagem; o sistema mantém estados coerentes e evidência técnica.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143"/>
      </w:tblGrid>
      <w:tr>
        <w:trPr>
          <w:tblHeader w:val="true"/>
          <w:cantSplit/>
        </w:trPr>
        <w:tc>
          <w:tcPr>
            <w:tcW w:type="dxa" w:w="4706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Área</w:t>
            </w:r>
          </w:p>
        </w:tc>
        <w:tc>
          <w:tcPr>
            <w:tcW w:type="dxa" w:w="4706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Função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Dashboard</w:t>
            </w:r>
          </w:p>
        </w:tc>
        <w:tc>
          <w:tcPr>
            <w:tcW w:type="dxa" w:w="7143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Resume eventos, segurados, comunicações pendentes e atividade do agente.</w:t>
            </w:r>
          </w:p>
        </w:tc>
      </w:tr>
      <w:tr>
        <w:trPr>
          <w:cantSplit/>
        </w:trPr>
        <w:tc>
          <w:tcPr>
            <w:tcW w:type="dxa" w:w="2268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Eventos</w:t>
            </w:r>
          </w:p>
        </w:tc>
        <w:tc>
          <w:tcPr>
            <w:tcW w:type="dxa" w:w="7143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Exibe avisos climáticos coletados, severidade, vigência, municípios e riscos.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Comunicações</w:t>
            </w:r>
          </w:p>
        </w:tc>
        <w:tc>
          <w:tcPr>
            <w:tcW w:type="dxa" w:w="7143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Filtra destinatários, revisa texto, edita, regenera e executa o envio.</w:t>
            </w:r>
          </w:p>
        </w:tc>
      </w:tr>
      <w:tr>
        <w:trPr>
          <w:cantSplit/>
        </w:trPr>
        <w:tc>
          <w:tcPr>
            <w:tcW w:type="dxa" w:w="2268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Histórico</w:t>
            </w:r>
          </w:p>
        </w:tc>
        <w:tc>
          <w:tcPr>
            <w:tcW w:type="dxa" w:w="7143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Mostra mensagens processadas, canal, status, horário e origem da IA.</w:t>
            </w:r>
          </w:p>
        </w:tc>
      </w:tr>
    </w:tbl>
    <w:p>
      <w:pPr>
        <w:spacing w:after="0"/>
      </w:pP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Semântica do botão Enviar</w:t>
      </w:r>
    </w:p>
    <w:p>
      <w:pPr>
        <w:spacing w:before="0" w:after="100" w:line="271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>Ao confirmar o envio, o backend revalida o alerta na fonte, verifica o endereço de canal, grava a tentativa e responde ao front-end. O usuário recebe uma confirmação quando a operação é aceita. Se houver falha, vê uma mensagem objetiva de que não foi possível enviar, enquanto o detalhe fica em log técnico oculto.</w:t>
      </w: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Estados apresentados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143"/>
      </w:tblGrid>
      <w:tr>
        <w:trPr>
          <w:tblHeader w:val="true"/>
          <w:cantSplit/>
        </w:trPr>
        <w:tc>
          <w:tcPr>
            <w:tcW w:type="dxa" w:w="4706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Estado</w:t>
            </w:r>
          </w:p>
        </w:tc>
        <w:tc>
          <w:tcPr>
            <w:tcW w:type="dxa" w:w="4706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Significado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Pendente</w:t>
            </w:r>
          </w:p>
        </w:tc>
        <w:tc>
          <w:tcPr>
            <w:tcW w:type="dxa" w:w="7143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Mensagem gerada e aguardando ação do operador.</w:t>
            </w:r>
          </w:p>
        </w:tc>
      </w:tr>
      <w:tr>
        <w:trPr>
          <w:cantSplit/>
        </w:trPr>
        <w:tc>
          <w:tcPr>
            <w:tcW w:type="dxa" w:w="2268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Enviada</w:t>
            </w:r>
          </w:p>
        </w:tc>
        <w:tc>
          <w:tcPr>
            <w:tcW w:type="dxa" w:w="7143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Tentativa aceita e registrada no fluxo do MVP.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Erro</w:t>
            </w:r>
          </w:p>
        </w:tc>
        <w:tc>
          <w:tcPr>
            <w:tcW w:type="dxa" w:w="7143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Validação ou processamento falhou; ação não foi concluída.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6F1E8"/>
            <w:tcMar>
              <w:top w:w="130" w:type="dxa"/>
              <w:start w:w="180" w:type="dxa"/>
              <w:bottom w:w="130" w:type="dxa"/>
              <w:end w:w="180" w:type="dxa"/>
            </w:tcMar>
            <w:tcBorders>
              <w:start w:val="single" w:sz="18" w:color="A7660B"/>
              <w:top w:val="nil"/>
              <w:bottom w:val="nil"/>
              <w:end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Canal desta versão.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O desafio permite simular a notificação. Assim, ‘Enviada’ representa o envio processado e registrado pela aplicação. Confirmação de entrega por operadora de SMS/e-mail exige integração futura com um provedor externo.</w:t>
            </w:r>
          </w:p>
        </w:tc>
      </w:tr>
    </w:tbl>
    <w:p>
      <w:pPr>
        <w:spacing w:after="0"/>
      </w:pP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Exemplo de destinatário</w:t>
      </w:r>
    </w:p>
    <w:p>
      <w:pPr>
        <w:spacing w:before="0" w:after="100" w:line="271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>Yure Santana · Belo Horizonte/MG · Seguro residencial · Canal SMS · (71) 99140-8574. O perfil participa do cenário de tempestade quando os riscos do aviso intersectam as coberturas declaradas.</w:t>
      </w:r>
    </w:p>
    <w:p>
      <w:r>
        <w:br w:type="page"/>
      </w:r>
    </w:p>
    <w:p>
      <w:pPr>
        <w:keepNext/>
        <w:spacing w:before="20" w:after="80" w:line="240" w:lineRule="auto"/>
      </w:pPr>
      <w:r>
        <w:rPr>
          <w:rFonts w:ascii="Arial" w:hAnsi="Arial" w:eastAsia="Arial"/>
          <w:b/>
          <w:i w:val="0"/>
          <w:color w:val="2878B8"/>
          <w:sz w:val="16"/>
        </w:rPr>
        <w:t>EVIDÊNCIAS</w:t>
      </w:r>
    </w:p>
    <w:p>
      <w:pPr>
        <w:keepNext/>
        <w:spacing w:before="0" w:after="160" w:line="228" w:lineRule="auto"/>
      </w:pPr>
      <w:r>
        <w:rPr>
          <w:rFonts w:ascii="Arial" w:hAnsi="Arial" w:eastAsia="Arial"/>
          <w:b/>
          <w:i w:val="0"/>
          <w:color w:val="173650"/>
          <w:sz w:val="42"/>
        </w:rPr>
        <w:t>Mensagens geradas pelo agente</w:t>
      </w:r>
    </w:p>
    <w:p>
      <w:pPr>
        <w:spacing w:before="0" w:after="200" w:line="264" w:lineRule="auto"/>
      </w:pPr>
      <w:r>
        <w:rPr>
          <w:rFonts w:ascii="Arial" w:hAnsi="Arial" w:eastAsia="Arial"/>
          <w:b w:val="0"/>
          <w:i w:val="0"/>
          <w:color w:val="66727D"/>
          <w:sz w:val="20"/>
        </w:rPr>
        <w:t>Exemplos produzidos durante a validação com alertas reais do INMET.</w:t>
      </w: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SMS · Yure Santana · Gemini/Groq em contingência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8F2F9"/>
            <w:tcMar>
              <w:top w:w="130" w:type="dxa"/>
              <w:start w:w="180" w:type="dxa"/>
              <w:bottom w:w="130" w:type="dxa"/>
              <w:end w:w="180" w:type="dxa"/>
            </w:tcMar>
            <w:tcBorders>
              <w:start w:val="single" w:sz="18" w:color="2878B8"/>
              <w:top w:val="nil"/>
              <w:bottom w:val="nil"/>
              <w:end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Mensagem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Aviso INMET: Tempestade com risco potencial em Belo Horizonte/MG de 16/09 às 03h até 17/09 às 02h59. Previsão de chuva de 20–30 mm/h, ventos de 40–60 km/h e granizo. Riscos: alagamentos, queda de galhos e danos elétricos. Para sua residência: mantenha janelas e portas fechadas, proteja objetos externos, evite aparelhos ligados à tomada, não se abrigue sob árvores nem estacione perto de torres. Em emergência, procure a Defesa Civil (199) ou os Bombeiros (193).</w:t>
            </w:r>
          </w:p>
        </w:tc>
      </w:tr>
    </w:tbl>
    <w:p>
      <w:pPr>
        <w:spacing w:after="0"/>
      </w:pPr>
    </w:p>
    <w:p>
      <w:pPr>
        <w:spacing w:before="0" w:after="200" w:line="271" w:lineRule="auto"/>
      </w:pPr>
      <w:r>
        <w:rPr>
          <w:rFonts w:ascii="Arial" w:hAnsi="Arial" w:eastAsia="Arial"/>
          <w:b w:val="0"/>
          <w:i/>
          <w:color w:val="202428"/>
          <w:sz w:val="19"/>
        </w:rPr>
        <w:t>Provedor registrado: Groq · Modelo: openai/gpt-oss-120b · Origem do fallback: Gemini.</w:t>
      </w: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E-mail · seguro empresarial · Gemini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8F2F9"/>
            <w:tcMar>
              <w:top w:w="130" w:type="dxa"/>
              <w:start w:w="180" w:type="dxa"/>
              <w:bottom w:w="130" w:type="dxa"/>
              <w:end w:w="180" w:type="dxa"/>
            </w:tcMar>
            <w:tcBorders>
              <w:start w:val="single" w:sz="18" w:color="2878B8"/>
              <w:top w:val="nil"/>
              <w:bottom w:val="nil"/>
              <w:end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Assunto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Alerta preventivo de tempestade — Belo Horizonte/MG</w:t>
            </w:r>
          </w:p>
        </w:tc>
      </w:tr>
    </w:tbl>
    <w:p>
      <w:pPr>
        <w:spacing w:after="0"/>
      </w:pPr>
    </w:p>
    <w:p>
      <w:pPr>
        <w:spacing w:before="0" w:after="100" w:line="271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>Prezado(a) cliente, o INMET emitiu aviso de tempestade com perigo potencial para Belo Horizonte. Há riscos elegíveis de chuva, alagamento e vendaval. Como prevenção, mantenha calhas e ralos desobstruídos, feche portas e janelas externas, evite aparelhos ligados à tomada e não estacione sob árvores ou próximo a torres. Em emergência, ligue 199 ou 193. A cobertura efetiva depende das condições, limites e exclusões da apólice.</w:t>
      </w: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Qualidade observada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Local, período, severidade e fonte aparecem de forma explícita.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A orientação muda conforme canal, produto e riscos elegíveis.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O texto evita tom alarmista e não promete cobertura ou indenização.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A aplicação registra qual modelo produziu cada mensagem.</w:t>
      </w:r>
    </w:p>
    <w:p>
      <w:r>
        <w:br w:type="page"/>
      </w:r>
    </w:p>
    <w:p>
      <w:pPr>
        <w:keepNext/>
        <w:spacing w:before="20" w:after="80" w:line="240" w:lineRule="auto"/>
      </w:pPr>
      <w:r>
        <w:rPr>
          <w:rFonts w:ascii="Arial" w:hAnsi="Arial" w:eastAsia="Arial"/>
          <w:b/>
          <w:i w:val="0"/>
          <w:color w:val="2878B8"/>
          <w:sz w:val="16"/>
        </w:rPr>
        <w:t>VALIDAÇÃO</w:t>
      </w:r>
    </w:p>
    <w:p>
      <w:pPr>
        <w:keepNext/>
        <w:spacing w:before="0" w:after="160" w:line="228" w:lineRule="auto"/>
      </w:pPr>
      <w:r>
        <w:rPr>
          <w:rFonts w:ascii="Arial" w:hAnsi="Arial" w:eastAsia="Arial"/>
          <w:b/>
          <w:i w:val="0"/>
          <w:color w:val="173650"/>
          <w:sz w:val="42"/>
        </w:rPr>
        <w:t>Duas rodadas de testes</w:t>
      </w:r>
    </w:p>
    <w:p>
      <w:pPr>
        <w:spacing w:before="0" w:after="200" w:line="264" w:lineRule="auto"/>
      </w:pPr>
      <w:r>
        <w:rPr>
          <w:rFonts w:ascii="Arial" w:hAnsi="Arial" w:eastAsia="Arial"/>
          <w:b w:val="0"/>
          <w:i w:val="0"/>
          <w:color w:val="66727D"/>
          <w:sz w:val="20"/>
        </w:rPr>
        <w:t>Verificações automatizadas e exercício do fluxo com serviços reais.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5216"/>
        <w:gridCol w:w="2948"/>
      </w:tblGrid>
      <w:tr>
        <w:trPr>
          <w:tblHeader w:val="true"/>
          <w:cantSplit/>
        </w:trPr>
        <w:tc>
          <w:tcPr>
            <w:tcW w:type="dxa" w:w="3137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Rodada</w:t>
            </w:r>
          </w:p>
        </w:tc>
        <w:tc>
          <w:tcPr>
            <w:tcW w:type="dxa" w:w="3137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Escopo</w:t>
            </w:r>
          </w:p>
        </w:tc>
        <w:tc>
          <w:tcPr>
            <w:tcW w:type="dxa" w:w="3137"/>
            <w:shd w:fill="173650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Resultado</w:t>
            </w:r>
          </w:p>
        </w:tc>
      </w:tr>
      <w:tr>
        <w:trPr>
          <w:cantSplit/>
        </w:trPr>
        <w:tc>
          <w:tcPr>
            <w:tcW w:type="dxa" w:w="1247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1</w:t>
            </w:r>
          </w:p>
        </w:tc>
        <w:tc>
          <w:tcPr>
            <w:tcW w:type="dxa" w:w="5216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Backend: regras, coleta, decisão, IA, envio e persistência; front-end: telas, filtros e ações</w:t>
            </w:r>
          </w:p>
        </w:tc>
        <w:tc>
          <w:tcPr>
            <w:tcW w:type="dxa" w:w="2948"/>
            <w:shd w:fill="FFFFFF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Backend 4/4; front-end 76/76; typecheck e build aprovados</w:t>
            </w:r>
          </w:p>
        </w:tc>
      </w:tr>
      <w:tr>
        <w:trPr>
          <w:cantSplit/>
        </w:trPr>
        <w:tc>
          <w:tcPr>
            <w:tcW w:type="dxa" w:w="1247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2</w:t>
            </w:r>
          </w:p>
        </w:tc>
        <w:tc>
          <w:tcPr>
            <w:tcW w:type="dxa" w:w="5216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Reexecução após ajustes de fallback, rótulos e estados; validação do fluxo ponta a ponta</w:t>
            </w:r>
          </w:p>
        </w:tc>
        <w:tc>
          <w:tcPr>
            <w:tcW w:type="dxa" w:w="2948"/>
            <w:shd w:fill="EEF4F7"/>
            <w:tcMar>
              <w:top w:w="78" w:type="dxa"/>
              <w:start w:w="95" w:type="dxa"/>
              <w:bottom w:w="78" w:type="dxa"/>
              <w:end w:w="95" w:type="dxa"/>
            </w:tcMar>
            <w:vAlign w:val="top"/>
          </w:tcPr>
          <w:p>
            <w:pPr>
              <w:spacing w:before="0" w:after="0" w:line="245" w:lineRule="auto"/>
            </w:pPr>
            <w:r>
              <w:rPr>
                <w:rFonts w:ascii="Arial" w:hAnsi="Arial" w:eastAsia="Arial"/>
                <w:b w:val="0"/>
                <w:i w:val="0"/>
                <w:color w:val="202428"/>
                <w:sz w:val="17"/>
              </w:rPr>
              <w:t>Mesmos testes aprovados; aplicação funcional com INMET e IA reais</w:t>
            </w:r>
          </w:p>
        </w:tc>
      </w:tr>
    </w:tbl>
    <w:p>
      <w:pPr>
        <w:spacing w:after="0"/>
      </w:pP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Evidência da execução funcional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EEF4F7"/>
            <w:tcMar>
              <w:top w:w="130" w:type="dxa"/>
              <w:start w:w="100" w:type="dxa"/>
              <w:bottom w:w="125" w:type="dxa"/>
              <w:end w:w="100" w:type="dxa"/>
            </w:tcMar>
            <w:tcBorders>
              <w:top w:val="single" w:sz="14" w:color="2878B8"/>
              <w:bottom w:val="nil"/>
              <w:start w:val="nil"/>
              <w:end w:val="nil"/>
            </w:tcBorders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2878B8"/>
                <w:sz w:val="34"/>
              </w:rPr>
              <w:t>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66727D"/>
                <w:sz w:val="15"/>
              </w:rPr>
              <w:t>EVENTOS COLETADOS</w:t>
            </w:r>
          </w:p>
        </w:tc>
        <w:tc>
          <w:tcPr>
            <w:tcW w:type="dxa" w:w="2353"/>
            <w:shd w:fill="EEF4F7"/>
            <w:tcMar>
              <w:top w:w="130" w:type="dxa"/>
              <w:start w:w="100" w:type="dxa"/>
              <w:bottom w:w="125" w:type="dxa"/>
              <w:end w:w="100" w:type="dxa"/>
            </w:tcMar>
            <w:tcBorders>
              <w:top w:val="single" w:sz="14" w:color="08A9A6"/>
              <w:bottom w:val="nil"/>
              <w:start w:val="nil"/>
              <w:end w:val="nil"/>
            </w:tcBorders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8A9A6"/>
                <w:sz w:val="34"/>
              </w:rPr>
              <w:t>5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66727D"/>
                <w:sz w:val="15"/>
              </w:rPr>
              <w:t>SEGURADOS AVALIADOS</w:t>
            </w:r>
          </w:p>
        </w:tc>
        <w:tc>
          <w:tcPr>
            <w:tcW w:type="dxa" w:w="2353"/>
            <w:shd w:fill="EEF4F7"/>
            <w:tcMar>
              <w:top w:w="130" w:type="dxa"/>
              <w:start w:w="100" w:type="dxa"/>
              <w:bottom w:w="125" w:type="dxa"/>
              <w:end w:w="100" w:type="dxa"/>
            </w:tcMar>
            <w:tcBorders>
              <w:top w:val="single" w:sz="14" w:color="173650"/>
              <w:bottom w:val="nil"/>
              <w:start w:val="nil"/>
              <w:end w:val="nil"/>
            </w:tcBorders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173650"/>
                <w:sz w:val="34"/>
              </w:rPr>
              <w:t>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66727D"/>
                <w:sz w:val="15"/>
              </w:rPr>
              <w:t>ELEGÍVEIS</w:t>
            </w:r>
          </w:p>
        </w:tc>
        <w:tc>
          <w:tcPr>
            <w:tcW w:type="dxa" w:w="2353"/>
            <w:shd w:fill="EEF4F7"/>
            <w:tcMar>
              <w:top w:w="130" w:type="dxa"/>
              <w:start w:w="100" w:type="dxa"/>
              <w:bottom w:w="125" w:type="dxa"/>
              <w:end w:w="100" w:type="dxa"/>
            </w:tcMar>
            <w:tcBorders>
              <w:top w:val="single" w:sz="14" w:color="1D7A55"/>
              <w:bottom w:val="nil"/>
              <w:start w:val="nil"/>
              <w:end w:val="nil"/>
            </w:tcBorders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1D7A55"/>
                <w:sz w:val="34"/>
              </w:rPr>
              <w:t>0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66727D"/>
                <w:sz w:val="15"/>
              </w:rPr>
              <w:t>ERROS DO CICLO</w:t>
            </w:r>
          </w:p>
        </w:tc>
      </w:tr>
    </w:tbl>
    <w:p>
      <w:pPr>
        <w:spacing w:after="0"/>
      </w:pPr>
    </w:p>
    <w:p>
      <w:pPr>
        <w:spacing w:before="0" w:after="100" w:line="271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>Na checagem registrada em 15 de setembro de 2026, o health check informou execução concluída, carteira com cinco segurados e quatro comunicações existentes. O gerador estava disponível via Groq em contingência do Gemini, comprovando a troca automática de provedor.</w:t>
      </w: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Cenários cobertos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evento válido e segurado elegível; segurado fora da área; apólice fora de vigência;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risco sem cobertura compatível; comunicação já existente; revisão de alerta;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limite ou indisponibilidade do Gemini; geração pelo Groq; falha dos dois provedores;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envio aceito; telefone inválido; falha pública acompanhada de log técnico.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8F2F9"/>
            <w:tcMar>
              <w:top w:w="130" w:type="dxa"/>
              <w:start w:w="180" w:type="dxa"/>
              <w:bottom w:w="130" w:type="dxa"/>
              <w:end w:w="180" w:type="dxa"/>
            </w:tcMar>
            <w:tcBorders>
              <w:start w:val="single" w:sz="18" w:color="2878B8"/>
              <w:top w:val="nil"/>
              <w:bottom w:val="nil"/>
              <w:end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Observação.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Os números de eventos e elegíveis dependem dos avisos ativos do INMET e podem mudar a cada execução.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20" w:after="80" w:line="240" w:lineRule="auto"/>
      </w:pPr>
      <w:r>
        <w:rPr>
          <w:rFonts w:ascii="Arial" w:hAnsi="Arial" w:eastAsia="Arial"/>
          <w:b/>
          <w:i w:val="0"/>
          <w:color w:val="2878B8"/>
          <w:sz w:val="16"/>
        </w:rPr>
        <w:t>CONCLUSÃO</w:t>
      </w:r>
    </w:p>
    <w:p>
      <w:pPr>
        <w:keepNext/>
        <w:spacing w:before="0" w:after="160" w:line="228" w:lineRule="auto"/>
      </w:pPr>
      <w:r>
        <w:rPr>
          <w:rFonts w:ascii="Arial" w:hAnsi="Arial" w:eastAsia="Arial"/>
          <w:b/>
          <w:i w:val="0"/>
          <w:color w:val="173650"/>
          <w:sz w:val="42"/>
        </w:rPr>
        <w:t>Aderência ao Desafio 5</w:t>
      </w:r>
    </w:p>
    <w:p>
      <w:pPr>
        <w:spacing w:before="0" w:after="200" w:line="264" w:lineRule="auto"/>
      </w:pPr>
      <w:r>
        <w:rPr>
          <w:rFonts w:ascii="Arial" w:hAnsi="Arial" w:eastAsia="Arial"/>
          <w:b w:val="0"/>
          <w:i w:val="0"/>
          <w:color w:val="66727D"/>
          <w:sz w:val="20"/>
        </w:rPr>
        <w:t>Checklist do edital e limites declarados para a primeira versão funcional.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891"/>
        <w:gridCol w:w="5216"/>
      </w:tblGrid>
      <w:tr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/>
                <w:i w:val="0"/>
                <w:color w:val="1D7A55"/>
                <w:sz w:val="16"/>
              </w:rPr>
              <w:t>ATENDE</w:t>
            </w:r>
          </w:p>
        </w:tc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/>
                <w:i w:val="0"/>
                <w:color w:val="173650"/>
                <w:sz w:val="17"/>
              </w:rPr>
              <w:t>API meteorológica pública</w:t>
            </w:r>
          </w:p>
        </w:tc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Coleta real de avisos ativos do INMET, com validação e normalização.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891"/>
        <w:gridCol w:w="5216"/>
      </w:tblGrid>
      <w:tr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/>
                <w:i w:val="0"/>
                <w:color w:val="1D7A55"/>
                <w:sz w:val="16"/>
              </w:rPr>
              <w:t>ATENDE</w:t>
            </w:r>
          </w:p>
        </w:tc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/>
                <w:i w:val="0"/>
                <w:color w:val="173650"/>
                <w:sz w:val="17"/>
              </w:rPr>
              <w:t>Identificação automática</w:t>
            </w:r>
          </w:p>
        </w:tc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Agendador executa o ciclo e reconhece eventos relevantes e revisões.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891"/>
        <w:gridCol w:w="5216"/>
      </w:tblGrid>
      <w:tr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/>
                <w:i w:val="0"/>
                <w:color w:val="1D7A55"/>
                <w:sz w:val="16"/>
              </w:rPr>
              <w:t>ATENDE</w:t>
            </w:r>
          </w:p>
        </w:tc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/>
                <w:i w:val="0"/>
                <w:color w:val="173650"/>
                <w:sz w:val="17"/>
              </w:rPr>
              <w:t>Regras de decisão</w:t>
            </w:r>
          </w:p>
        </w:tc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Município, vigência, horizonte, produto, risco e cobertura são avaliados.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891"/>
        <w:gridCol w:w="5216"/>
      </w:tblGrid>
      <w:tr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/>
                <w:i w:val="0"/>
                <w:color w:val="1D7A55"/>
                <w:sz w:val="16"/>
              </w:rPr>
              <w:t>ATENDE</w:t>
            </w:r>
          </w:p>
        </w:tc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/>
                <w:i w:val="0"/>
                <w:color w:val="173650"/>
                <w:sz w:val="17"/>
              </w:rPr>
              <w:t>Mensagens por IA</w:t>
            </w:r>
          </w:p>
        </w:tc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Gemini 3.5 Flash com fallback automático para Groq GPT‑OSS.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891"/>
        <w:gridCol w:w="5216"/>
      </w:tblGrid>
      <w:tr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/>
                <w:i w:val="0"/>
                <w:color w:val="1D7A55"/>
                <w:sz w:val="16"/>
              </w:rPr>
              <w:t>ATENDE</w:t>
            </w:r>
          </w:p>
        </w:tc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/>
                <w:i w:val="0"/>
                <w:color w:val="173650"/>
                <w:sz w:val="17"/>
              </w:rPr>
              <w:t>Envio demonstrado</w:t>
            </w:r>
          </w:p>
        </w:tc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Confirmação/erro, status e log técnico são persistidos no MVP.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891"/>
        <w:gridCol w:w="5216"/>
      </w:tblGrid>
      <w:tr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/>
                <w:i w:val="0"/>
                <w:color w:val="1D7A55"/>
                <w:sz w:val="16"/>
              </w:rPr>
              <w:t>ATENDE</w:t>
            </w:r>
          </w:p>
        </w:tc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/>
                <w:i w:val="0"/>
                <w:color w:val="173650"/>
                <w:sz w:val="17"/>
              </w:rPr>
              <w:t>Fluxo completo</w:t>
            </w:r>
          </w:p>
        </w:tc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Coleta → decisão → geração → operação → histórico no backend e no painel.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891"/>
        <w:gridCol w:w="5216"/>
      </w:tblGrid>
      <w:tr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/>
                <w:i w:val="0"/>
                <w:color w:val="1D7A55"/>
                <w:sz w:val="16"/>
              </w:rPr>
              <w:t>ATENDE</w:t>
            </w:r>
          </w:p>
        </w:tc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/>
                <w:i w:val="0"/>
                <w:color w:val="173650"/>
                <w:sz w:val="17"/>
              </w:rPr>
              <w:t>Documentação técnica</w:t>
            </w:r>
          </w:p>
        </w:tc>
        <w:tc>
          <w:tcPr>
            <w:tcW w:type="dxa" w:w="3137"/>
            <w:tcMar>
              <w:top w:w="75" w:type="dxa"/>
              <w:start w:w="95" w:type="dxa"/>
              <w:bottom w:w="75" w:type="dxa"/>
              <w:end w:w="95" w:type="dxa"/>
            </w:tcMar>
            <w:shd w:fill="EEF4F7"/>
          </w:tcPr>
          <w:p>
            <w:r>
              <w:rPr>
                <w:rFonts w:ascii="Arial" w:hAnsi="Arial" w:eastAsia="Arial"/>
                <w:b w:val="0"/>
                <w:i w:val="0"/>
                <w:color w:val="202428"/>
                <w:sz w:val="16"/>
              </w:rPr>
              <w:t>Este relatório cobre arquitetura, agentes, tecnologias, fluxo, regras e exemplos.</w:t>
            </w:r>
          </w:p>
        </w:tc>
      </w:tr>
    </w:tbl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Limitações e próximos passos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Integrar provedor externo para comprovante real de entrega de SMS/e-mail.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Substituir SQLite por banco gerenciado e scheduler dedicado em ambiente serverless.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Adicionar autenticação, perfis de acesso, criptografia operacional e política de retenção.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Validar a matriz com produto jurídico/atuarial e importar carteira autorizada em ambiente seguro.</w:t>
      </w:r>
    </w:p>
    <w:p>
      <w:pPr>
        <w:spacing w:before="0" w:after="50" w:line="259" w:lineRule="auto"/>
        <w:ind w:left="255" w:hanging="142"/>
      </w:pPr>
      <w:r>
        <w:rPr>
          <w:rFonts w:ascii="Arial" w:hAnsi="Arial" w:eastAsia="Arial"/>
          <w:b/>
          <w:i w:val="0"/>
          <w:color w:val="2878B8"/>
          <w:sz w:val="19"/>
        </w:rPr>
        <w:t xml:space="preserve">• </w:t>
      </w:r>
      <w:r>
        <w:rPr>
          <w:rFonts w:ascii="Arial" w:hAnsi="Arial" w:eastAsia="Arial"/>
          <w:b w:val="0"/>
          <w:i w:val="0"/>
          <w:color w:val="202428"/>
          <w:sz w:val="19"/>
        </w:rPr>
        <w:t>Formalizar o pacote de submissão com código-fonte, README e licença MIT.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8F2F9"/>
            <w:tcMar>
              <w:top w:w="130" w:type="dxa"/>
              <w:start w:w="180" w:type="dxa"/>
              <w:bottom w:w="130" w:type="dxa"/>
              <w:end w:w="180" w:type="dxa"/>
            </w:tcMar>
            <w:tcBorders>
              <w:start w:val="single" w:sz="18" w:color="2878B8"/>
              <w:top w:val="nil"/>
              <w:bottom w:val="nil"/>
              <w:end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Conclusão.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O VigiaApp atende ao núcleo funcional do Desafio 5: usa dados externos reais, aplica regras claras, produz mensagens personalizadas por IA e demonstra a comunicação ponta a ponta com rastreabilidade. As limitações listadas delimitam a passagem do MVP para produção.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20" w:after="80" w:line="240" w:lineRule="auto"/>
      </w:pPr>
      <w:r>
        <w:rPr>
          <w:rFonts w:ascii="Arial" w:hAnsi="Arial" w:eastAsia="Arial"/>
          <w:b/>
          <w:i w:val="0"/>
          <w:color w:val="2878B8"/>
          <w:sz w:val="16"/>
        </w:rPr>
        <w:t>APÊNDICE</w:t>
      </w:r>
    </w:p>
    <w:p>
      <w:pPr>
        <w:keepNext/>
        <w:spacing w:before="0" w:after="160" w:line="228" w:lineRule="auto"/>
      </w:pPr>
      <w:r>
        <w:rPr>
          <w:rFonts w:ascii="Arial" w:hAnsi="Arial" w:eastAsia="Arial"/>
          <w:b/>
          <w:i w:val="0"/>
          <w:color w:val="173650"/>
          <w:sz w:val="42"/>
        </w:rPr>
        <w:t>Referências e acesso</w:t>
      </w:r>
    </w:p>
    <w:p>
      <w:pPr>
        <w:spacing w:before="0" w:after="200" w:line="264" w:lineRule="auto"/>
      </w:pPr>
      <w:r>
        <w:rPr>
          <w:rFonts w:ascii="Arial" w:hAnsi="Arial" w:eastAsia="Arial"/>
          <w:b w:val="0"/>
          <w:i w:val="0"/>
          <w:color w:val="66727D"/>
          <w:sz w:val="20"/>
        </w:rPr>
        <w:t>Documentos de origem, serviços públicos e artefatos do projeto.</w:t>
      </w: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Documentos de referência</w:t>
      </w:r>
    </w:p>
    <w:p>
      <w:pPr>
        <w:spacing w:before="0" w:after="100" w:line="271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>InsurMinds. Desafios — Desafio 5: Ferramenta Inteligente para Comunicação Proativa com o Segurado. 2026.</w:t>
      </w:r>
    </w:p>
    <w:p>
      <w:pPr>
        <w:spacing w:before="0" w:after="100" w:line="271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>VIL — Visionary Insurance Lab. Etapa 1 — Levantamento de riscos climáticos. 2026.</w:t>
      </w:r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Serviços e documentação técnica</w:t>
      </w:r>
    </w:p>
    <w:p>
      <w:pPr>
        <w:spacing w:before="0" w:after="100" w:line="269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 xml:space="preserve">INMET — Avisos meteorológicos: </w:t>
      </w:r>
      <w:hyperlink r:id="rId15">
        <w:r>
          <w:rPr>
            <w:color w:val="2878B8"/>
            <w:u w:val="single"/>
            <w:rFonts w:ascii="Arial" w:hAnsi="Arial"/>
            <w:sz w:val="19"/>
          </w:rPr>
          <w:t>apiprevmet3.inmet.gov.br/avisos/ativos</w:t>
        </w:r>
      </w:hyperlink>
    </w:p>
    <w:p>
      <w:pPr>
        <w:spacing w:before="0" w:after="100" w:line="269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 xml:space="preserve">IBGE — API de localidades: </w:t>
      </w:r>
      <w:hyperlink r:id="rId16">
        <w:r>
          <w:rPr>
            <w:color w:val="2878B8"/>
            <w:u w:val="single"/>
            <w:rFonts w:ascii="Arial" w:hAnsi="Arial"/>
            <w:sz w:val="19"/>
          </w:rPr>
          <w:t>servicodados.ibge.gov.br</w:t>
        </w:r>
      </w:hyperlink>
    </w:p>
    <w:p>
      <w:pPr>
        <w:spacing w:before="0" w:after="100" w:line="269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 xml:space="preserve">Google AI Studio: </w:t>
      </w:r>
      <w:hyperlink r:id="rId17">
        <w:r>
          <w:rPr>
            <w:color w:val="2878B8"/>
            <w:u w:val="single"/>
            <w:rFonts w:ascii="Arial" w:hAnsi="Arial"/>
            <w:sz w:val="19"/>
          </w:rPr>
          <w:t>aistudio.google.com</w:t>
        </w:r>
      </w:hyperlink>
    </w:p>
    <w:p>
      <w:pPr>
        <w:spacing w:before="0" w:after="100" w:line="269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 xml:space="preserve">Groq API: </w:t>
      </w:r>
      <w:hyperlink r:id="rId18">
        <w:r>
          <w:rPr>
            <w:color w:val="2878B8"/>
            <w:u w:val="single"/>
            <w:rFonts w:ascii="Arial" w:hAnsi="Arial"/>
            <w:sz w:val="19"/>
          </w:rPr>
          <w:t>console.groq.com/docs/api-reference</w:t>
        </w:r>
      </w:hyperlink>
    </w:p>
    <w:p>
      <w:pPr>
        <w:keepNext/>
        <w:spacing w:before="140" w:after="80" w:line="240" w:lineRule="auto"/>
      </w:pPr>
      <w:r>
        <w:rPr>
          <w:rFonts w:ascii="Arial" w:hAnsi="Arial" w:eastAsia="Arial"/>
          <w:b/>
          <w:i w:val="0"/>
          <w:color w:val="202428"/>
          <w:sz w:val="24"/>
        </w:rPr>
        <w:t>Projeto</w:t>
      </w:r>
    </w:p>
    <w:p>
      <w:pPr>
        <w:spacing w:before="0" w:after="100" w:line="269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 xml:space="preserve">Repositório público: </w:t>
      </w:r>
      <w:hyperlink r:id="rId19">
        <w:r>
          <w:rPr>
            <w:color w:val="2878B8"/>
            <w:u w:val="single"/>
            <w:rFonts w:ascii="Arial" w:hAnsi="Arial"/>
            <w:sz w:val="19"/>
          </w:rPr>
          <w:t>github.com/SantanaYure/vigiaApp</w:t>
        </w:r>
      </w:hyperlink>
    </w:p>
    <w:p>
      <w:pPr>
        <w:spacing w:before="0" w:after="100" w:line="269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 xml:space="preserve">Aplicação web: </w:t>
      </w:r>
      <w:hyperlink r:id="rId20">
        <w:r>
          <w:rPr>
            <w:color w:val="2878B8"/>
            <w:u w:val="single"/>
            <w:rFonts w:ascii="Arial" w:hAnsi="Arial"/>
            <w:sz w:val="19"/>
          </w:rPr>
          <w:t>vigia-front-self.vercel.app</w:t>
        </w:r>
      </w:hyperlink>
    </w:p>
    <w:p>
      <w:pPr>
        <w:spacing w:before="0" w:after="100" w:line="269" w:lineRule="auto"/>
      </w:pPr>
      <w:r>
        <w:rPr>
          <w:rFonts w:ascii="Arial" w:hAnsi="Arial" w:eastAsia="Arial"/>
          <w:b w:val="0"/>
          <w:i w:val="0"/>
          <w:color w:val="202428"/>
          <w:sz w:val="19"/>
        </w:rPr>
        <w:t xml:space="preserve">API: </w:t>
      </w:r>
      <w:hyperlink r:id="rId21">
        <w:r>
          <w:rPr>
            <w:color w:val="2878B8"/>
            <w:u w:val="single"/>
            <w:rFonts w:ascii="Arial" w:hAnsi="Arial"/>
            <w:sz w:val="19"/>
          </w:rPr>
          <w:t>vigia-backend-navy.vercel.app</w:t>
        </w:r>
      </w:hyperlink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8F2F9"/>
            <w:tcMar>
              <w:top w:w="130" w:type="dxa"/>
              <w:start w:w="180" w:type="dxa"/>
              <w:bottom w:w="130" w:type="dxa"/>
              <w:end w:w="180" w:type="dxa"/>
            </w:tcMar>
            <w:tcBorders>
              <w:start w:val="single" w:sz="18" w:color="2878B8"/>
              <w:top w:val="nil"/>
              <w:bottom w:val="nil"/>
              <w:end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eastAsia="Arial"/>
                <w:b/>
                <w:i w:val="0"/>
                <w:color w:val="173650"/>
                <w:sz w:val="19"/>
              </w:rPr>
              <w:t xml:space="preserve">Versão deste relatório. </w:t>
            </w:r>
            <w:r>
              <w:rPr>
                <w:rFonts w:ascii="Arial" w:hAnsi="Arial" w:eastAsia="Arial"/>
                <w:b w:val="0"/>
                <w:i w:val="0"/>
                <w:color w:val="202428"/>
                <w:sz w:val="18"/>
              </w:rPr>
              <w:t>Consolidado em 15 de setembro de 2026 a partir do desafio, da Etapa 1 e da implementação disponível na branch main do repositório.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12"/>
      <w:headerReference w:type="default" r:id="rId13"/>
      <w:headerReference w:type="even" r:id="rId14"/>
      <w:pgSz w:w="11906" w:h="16838"/>
      <w:pgMar w:top="1276" w:right="1247" w:bottom="1077" w:left="1247" w:header="408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66727D"/>
        <w:sz w:val="16"/>
      </w:rPr>
      <w:t>VigiaApp · InsurMinds · Desafio 5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drawing>
        <wp:inline xmlns:a="http://schemas.openxmlformats.org/drawingml/2006/main" xmlns:pic="http://schemas.openxmlformats.org/drawingml/2006/picture">
          <wp:extent cx="882000" cy="83722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00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2000" cy="837228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drawing>
        <wp:inline xmlns:a="http://schemas.openxmlformats.org/drawingml/2006/main" xmlns:pic="http://schemas.openxmlformats.org/drawingml/2006/picture">
          <wp:extent cx="882000" cy="83722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00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2000" cy="837228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drawing>
        <wp:inline xmlns:a="http://schemas.openxmlformats.org/drawingml/2006/main" xmlns:pic="http://schemas.openxmlformats.org/drawingml/2006/picture">
          <wp:extent cx="882000" cy="83722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00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2000" cy="837228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drawing>
        <wp:inline xmlns:a="http://schemas.openxmlformats.org/drawingml/2006/main" xmlns:pic="http://schemas.openxmlformats.org/drawingml/2006/picture">
          <wp:extent cx="882000" cy="83722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00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2000" cy="83722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 w:eastAsia="Arial"/>
      <w:color w:val="20242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header" Target="header4.xml"/><Relationship Id="rId15" Type="http://schemas.openxmlformats.org/officeDocument/2006/relationships/hyperlink" Target="https://apiprevmet3.inmet.gov.br/avisos/ativos" TargetMode="External"/><Relationship Id="rId16" Type="http://schemas.openxmlformats.org/officeDocument/2006/relationships/hyperlink" Target="https://servicodados.ibge.gov.br/api/docs/localidades" TargetMode="External"/><Relationship Id="rId17" Type="http://schemas.openxmlformats.org/officeDocument/2006/relationships/hyperlink" Target="https://aistudio.google.com/" TargetMode="External"/><Relationship Id="rId18" Type="http://schemas.openxmlformats.org/officeDocument/2006/relationships/hyperlink" Target="https://console.groq.com/docs/api-reference" TargetMode="External"/><Relationship Id="rId19" Type="http://schemas.openxmlformats.org/officeDocument/2006/relationships/hyperlink" Target="https://github.com/SantanaYure/vigiaApp" TargetMode="External"/><Relationship Id="rId20" Type="http://schemas.openxmlformats.org/officeDocument/2006/relationships/hyperlink" Target="https://vigia-front-self.vercel.app" TargetMode="External"/><Relationship Id="rId21" Type="http://schemas.openxmlformats.org/officeDocument/2006/relationships/hyperlink" Target="https://vigia-backend-navy.vercel.app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InsurMinds — Desafio 5 | Relatório Técnico do VigiaApp</dc:title>
  <dc:subject>Ferramenta Inteligente para Comunicação Proativa com o Segurado</dc:subject>
  <dc:creator>VIL — Visionary Insurance Lab</dc:creator>
  <cp:keywords>InsurMinds, VigiaApp, riscos climáticos, seguros, inteligência artificial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