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 </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 xml:space="preserve">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widowControl w:val="fals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1"/>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before="0" w:after="0" w:line="240"/>
        <w:ind w:right="0" w:left="19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spacing w:before="0" w:after="0" w:line="240"/>
        <w:ind w:right="0" w:left="19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8"/>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Construção de um site para uma Loja de carros de luxo e esportivos.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spacing w:before="0" w:after="0" w:line="240"/>
        <w:ind w:right="0" w:left="2127"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tab/>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PHP:</w:t>
        <w:tab/>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 Cada pedido deve ser associado a um identificador único, o qual o usuário pode copiar para a área de armazenamento permanente da conta.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não funcionais definem propriedades e restrições do sistema, exemplos:</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5.1.1.1 Requisitos</w:t>
      </w:r>
      <w:r>
        <w:rPr>
          <w:rFonts w:ascii="Arial" w:hAnsi="Arial" w:cs="Arial" w:eastAsia="Arial"/>
          <w:color w:val="auto"/>
          <w:spacing w:val="0"/>
          <w:position w:val="0"/>
          <w:sz w:val="24"/>
          <w:shd w:fill="auto" w:val="clear"/>
        </w:rPr>
        <w:t xml:space="preserve"> O sistema terá: cadastro, login, carrinho de compras, página inicial, produtos (Seleções, Mais Vendidos, Promoções da Semana)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5.1.1.2 Cadastro</w:t>
      </w:r>
      <w:r>
        <w:rPr>
          <w:rFonts w:ascii="Arial" w:hAnsi="Arial" w:cs="Arial" w:eastAsia="Arial"/>
          <w:color w:val="auto"/>
          <w:spacing w:val="0"/>
          <w:position w:val="0"/>
          <w:sz w:val="24"/>
          <w:shd w:fill="auto" w:val="clear"/>
        </w:rPr>
        <w:t xml:space="preserve"> O cliente deverá se cadastrar obrigatoriamente caso ele quiser fazer alguma compra. Deverá inserir seus dados como: Nome, CPF, E-mail, Senha e Confirmar senha.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5.1.1.3 Login</w:t>
      </w:r>
      <w:r>
        <w:rPr>
          <w:rFonts w:ascii="Arial" w:hAnsi="Arial" w:cs="Arial" w:eastAsia="Arial"/>
          <w:color w:val="auto"/>
          <w:spacing w:val="0"/>
          <w:position w:val="0"/>
          <w:sz w:val="24"/>
          <w:shd w:fill="auto" w:val="clear"/>
        </w:rPr>
        <w:t xml:space="preserve"> Se o cliente já estiver cadastrado, irá fazer o login, utilizando: E-</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mail e senha já cadastrado.</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5.1.1.4 Compra</w:t>
      </w:r>
      <w:r>
        <w:rPr>
          <w:rFonts w:ascii="Arial" w:hAnsi="Arial" w:cs="Arial" w:eastAsia="Arial"/>
          <w:color w:val="auto"/>
          <w:spacing w:val="0"/>
          <w:position w:val="0"/>
          <w:sz w:val="24"/>
          <w:shd w:fill="auto" w:val="clear"/>
        </w:rPr>
        <w:t xml:space="preserve"> Efetuar pagamento pessoalmente</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5.1.1.5 Carrinho de Compras</w:t>
      </w:r>
      <w:r>
        <w:rPr>
          <w:rFonts w:ascii="Arial" w:hAnsi="Arial" w:cs="Arial" w:eastAsia="Arial"/>
          <w:color w:val="auto"/>
          <w:spacing w:val="0"/>
          <w:position w:val="0"/>
          <w:sz w:val="24"/>
          <w:shd w:fill="auto" w:val="clear"/>
        </w:rPr>
        <w:t xml:space="preserve"> Serve para armazenar produtos não pagos pelo cliente, podendo selecionar quantos produtos quiser, e retirar a hora que quiser, até realizar a compra.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5.1.2.1</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Página Inicial </w:t>
      </w:r>
      <w:r>
        <w:rPr>
          <w:rFonts w:ascii="Arial" w:hAnsi="Arial" w:cs="Arial" w:eastAsia="Arial"/>
          <w:color w:val="auto"/>
          <w:spacing w:val="0"/>
          <w:position w:val="0"/>
          <w:sz w:val="24"/>
          <w:shd w:fill="auto" w:val="clear"/>
        </w:rPr>
        <w:t xml:space="preserve">É onde o cliente ao entrar no site, tem a primeira visão do site, na página inicial terá (Cabeçalho, Centro, Rodapé)</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Cabeçalho: Logo, Login, Cadastro.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Centro: Irá ter os produtos e a opção de escolher entre (Seleções, Promoções da Semana).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Rodapé: Terá as Redes Sociais, Fale Conosco.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5.1.2.2</w:t>
      </w:r>
      <w:r>
        <w:rPr>
          <w:rFonts w:ascii="Arial" w:hAnsi="Arial" w:cs="Arial" w:eastAsia="Arial"/>
          <w:color w:val="auto"/>
          <w:spacing w:val="0"/>
          <w:position w:val="0"/>
          <w:sz w:val="24"/>
          <w:shd w:fill="auto" w:val="clear"/>
        </w:rPr>
        <w:t xml:space="preserve"> Seleções Página específica para Seleções.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5.1.2.3</w:t>
      </w:r>
      <w:r>
        <w:rPr>
          <w:rFonts w:ascii="Arial" w:hAnsi="Arial" w:cs="Arial" w:eastAsia="Arial"/>
          <w:color w:val="auto"/>
          <w:spacing w:val="0"/>
          <w:position w:val="0"/>
          <w:sz w:val="24"/>
          <w:shd w:fill="auto" w:val="clear"/>
        </w:rPr>
        <w:t xml:space="preserve"> Promoções da Semana Página específica para Promoções.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5.1.2.4</w:t>
      </w:r>
      <w:r>
        <w:rPr>
          <w:rFonts w:ascii="Arial" w:hAnsi="Arial" w:cs="Arial" w:eastAsia="Arial"/>
          <w:color w:val="auto"/>
          <w:spacing w:val="0"/>
          <w:position w:val="0"/>
          <w:sz w:val="24"/>
          <w:shd w:fill="auto" w:val="clear"/>
        </w:rPr>
        <w:t xml:space="preserve"> Banco de dados será onde ficará armazenados todas as informações do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Fonte: O autor, 2022</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82"/>
        </w:numPr>
        <w:tabs>
          <w:tab w:val="left" w:pos="0" w:leader="none"/>
        </w:tabs>
        <w:spacing w:before="0" w:after="0" w:line="360"/>
        <w:ind w:right="0" w:left="360" w:hanging="360"/>
        <w:jc w:val="both"/>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keepNext w:val="true"/>
        <w:tabs>
          <w:tab w:val="left" w:pos="0" w:leader="none"/>
        </w:tabs>
        <w:spacing w:before="0" w:after="0" w:line="360"/>
        <w:ind w:right="0" w:left="578" w:hanging="578"/>
        <w:jc w:val="both"/>
        <w:rPr>
          <w:rFonts w:ascii="Arial" w:hAnsi="Arial" w:cs="Arial" w:eastAsia="Arial"/>
          <w:b/>
          <w:color w:val="000000"/>
          <w:spacing w:val="0"/>
          <w:position w:val="0"/>
          <w:sz w:val="24"/>
          <w:shd w:fill="auto" w:val="clear"/>
        </w:rPr>
      </w:pPr>
      <w:r>
        <w:object w:dxaOrig="10856" w:dyaOrig="7121">
          <v:rect xmlns:o="urn:schemas-microsoft-com:office:office" xmlns:v="urn:schemas-microsoft-com:vml" id="rectole0000000000" style="width:542.800000pt;height:35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88"/>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480"/>
        <w:ind w:right="0" w:left="0" w:firstLine="0"/>
        <w:jc w:val="both"/>
        <w:rPr>
          <w:rFonts w:ascii="Arial" w:hAnsi="Arial" w:cs="Arial" w:eastAsia="Arial"/>
          <w:color w:val="auto"/>
          <w:spacing w:val="0"/>
          <w:position w:val="0"/>
          <w:sz w:val="24"/>
          <w:shd w:fill="auto" w:val="clear"/>
        </w:rPr>
      </w:pPr>
      <w:r>
        <w:object w:dxaOrig="13037" w:dyaOrig="8208">
          <v:rect xmlns:o="urn:schemas-microsoft-com:office:office" xmlns:v="urn:schemas-microsoft-com:vml" id="rectole0000000001" style="width:651.850000pt;height:41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pacing w:before="0" w:after="0" w:line="240"/>
        <w:ind w:right="0" w:left="0" w:firstLine="0"/>
        <w:jc w:val="both"/>
        <w:rPr>
          <w:rFonts w:ascii="Arial" w:hAnsi="Arial" w:cs="Arial" w:eastAsia="Arial"/>
          <w:color w:val="auto"/>
          <w:spacing w:val="0"/>
          <w:position w:val="0"/>
          <w:sz w:val="24"/>
          <w:shd w:fill="auto" w:val="clear"/>
        </w:rPr>
      </w:pPr>
      <w:r>
        <w:object w:dxaOrig="8310" w:dyaOrig="6660">
          <v:rect xmlns:o="urn:schemas-microsoft-com:office:office" xmlns:v="urn:schemas-microsoft-com:vml" id="rectole0000000002" style="width:415.500000pt;height:33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5"/>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8"/>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keepNext w:val="true"/>
        <w:tabs>
          <w:tab w:val="left" w:pos="0" w:leader="none"/>
        </w:tabs>
        <w:spacing w:before="120" w:after="120" w:line="240"/>
        <w:ind w:right="0" w:left="0" w:firstLine="0"/>
        <w:jc w:val="both"/>
        <w:rPr>
          <w:rFonts w:ascii="Arial" w:hAnsi="Arial" w:cs="Arial" w:eastAsia="Arial"/>
          <w:b/>
          <w:color w:val="auto"/>
          <w:spacing w:val="0"/>
          <w:position w:val="0"/>
          <w:sz w:val="24"/>
          <w:shd w:fill="auto" w:val="clear"/>
        </w:rPr>
      </w:pPr>
      <w:r>
        <w:object w:dxaOrig="8310" w:dyaOrig="4330">
          <v:rect xmlns:o="urn:schemas-microsoft-com:office:office" xmlns:v="urn:schemas-microsoft-com:vml" id="rectole0000000003" style="width:415.500000pt;height:21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0" w:leader="none"/>
        </w:tabs>
        <w:spacing w:before="120" w:after="120" w:line="360"/>
        <w:ind w:right="0" w:left="0" w:firstLine="0"/>
        <w:jc w:val="both"/>
        <w:rPr>
          <w:rFonts w:ascii="Arial" w:hAnsi="Arial" w:cs="Arial" w:eastAsia="Arial"/>
          <w:b/>
          <w:color w:val="auto"/>
          <w:spacing w:val="0"/>
          <w:position w:val="0"/>
          <w:sz w:val="24"/>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04"/>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6"/>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8"/>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0"/>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3"/>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18"/>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26"/>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28"/>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1"/>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uppressAutoHyphens w:val="true"/>
        <w:spacing w:before="0" w:after="0" w:line="36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MILETTO, Evandro Manara; DE CASTRO BERTAGNOLLI, Silvia. Desenvolvimento de Software II: Introdução ao Desenvolvimento Web com HTML, CSS, JavaScript e PHP-Eixo: Informação e Comunicação-Série Tekne. Bookman Editora, 2014.</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FLANAGAN, David. JavaScript: o guia definitivo. Bookman Editora, 2004.</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BOECHAT, Gláucya Carreiro. Apostila de Linguagem de Programação I e II PHP.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MILANI, André. MySQL-guia do programador. Novatec Editora, 2007.</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BARSOTTI, Roberto et al. A informática na biblioteconomia e na documentação. In: A INFORMATICA NA BIBLIOTECONOMIA E NA DOCUMENTACAO. 1990. p. 125-125.</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FREGA, José Roberto. O MERCADO DE LUXO: como o supérfluo movimenta a economia?. Revista Expressão, v. 11, n. 1, p. 18-20, 2022.</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MARINHO, João Filipe de Ávila. O desempenho do mercado automotivo de luxo após a pandemia. 2022.</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IBGE. Tabela 7060 - IPCA - Variação mensal, acumulada no ano, acumulada em 12 meses e peso mensal, para o índice geral, grupos, subgrupos, itens e subitens de produtos e serviços (a partir de janeiro/2020). Ibge.gov.br. Disponível em: . Acesso em: 7 maio. 2022.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PEREIRA, Adriana Soares et al. Metodologia da pesquisa científica. 2018.</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RAUPP, Fabiano Maury; BEUREN, Ilse Maria. Metodologia da pesquisa aplicável às ciências. Como elaborar trabalhos monográficos em contabilidade: teoria e prática. São Paulo: Atlas, p. 76-97, 2006.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1">
    <w:abstractNumId w:val="102"/>
  </w:num>
  <w:num w:numId="58">
    <w:abstractNumId w:val="96"/>
  </w:num>
  <w:num w:numId="82">
    <w:abstractNumId w:val="90"/>
  </w:num>
  <w:num w:numId="88">
    <w:abstractNumId w:val="84"/>
  </w:num>
  <w:num w:numId="91">
    <w:abstractNumId w:val="78"/>
  </w:num>
  <w:num w:numId="95">
    <w:abstractNumId w:val="72"/>
  </w:num>
  <w:num w:numId="98">
    <w:abstractNumId w:val="66"/>
  </w:num>
  <w:num w:numId="104">
    <w:abstractNumId w:val="60"/>
  </w:num>
  <w:num w:numId="106">
    <w:abstractNumId w:val="54"/>
  </w:num>
  <w:num w:numId="108">
    <w:abstractNumId w:val="48"/>
  </w:num>
  <w:num w:numId="110">
    <w:abstractNumId w:val="42"/>
  </w:num>
  <w:num w:numId="113">
    <w:abstractNumId w:val="36"/>
  </w:num>
  <w:num w:numId="116">
    <w:abstractNumId w:val="30"/>
  </w:num>
  <w:num w:numId="118">
    <w:abstractNumId w:val="24"/>
  </w:num>
  <w:num w:numId="123">
    <w:abstractNumId w:val="18"/>
  </w:num>
  <w:num w:numId="126">
    <w:abstractNumId w:val="12"/>
  </w:num>
  <w:num w:numId="128">
    <w:abstractNumId w:val="6"/>
  </w:num>
  <w:num w:numId="1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