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Gabriel Santos Duarte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João Victor Brizola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(45)9 9826-2919     (45)9 9949-6161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"mailto:duarte.gabriel07@escola.pr.gov.br"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duarte.gabriel07@escola.pr.gov.br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  joao.troczinski@escola.pr.gov.br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4-A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 </w:t>
            </w:r>
            <w:r>
              <w:rPr>
                <w:rFonts w:hint="default"/>
                <w:vertAlign w:val="baseline"/>
                <w:lang w:val="pt-PT"/>
              </w:rPr>
              <w:t>BrS Premium Cars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Uma loja de carros, para um público com mais poder aquisitivo (explicar melhor)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Uma loja de carros comuns tem em todo lugar, e para pessoas que tem e querem um carro com mais valor, seja esportivo ou luxoso, normalmente tem que importar de outro país e para isso há muita taxa e e muita complicação para isso estamos criando essa loja, para melhorar a acessibilidade a carros de luxo.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Uma Loja de carros de luxo e esportivos.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Página de inicio, Automóveis, Contato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F75FF4A3"/>
    <w:rsid w:val="FDD5D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11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2023-03-07T10:31:31Z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