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lxwz49cs9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Migrating a Complex C++ Insurance Core Application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Feasibility</w:t>
      </w:r>
      <w:r w:rsidDel="00000000" w:rsidR="00000000" w:rsidRPr="00000000">
        <w:rPr>
          <w:rtl w:val="0"/>
        </w:rPr>
        <w:t xml:space="preserve">: Yes, it can be containerized with Docker and orchestrated via Kubernetes.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the app and dependencies into a Docker image.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multi‑stage builds to keep images lean.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Externalize configs and state (no local DBs or caches inside the container).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 Portability, scalability, resilience, and easier CI/CD integration.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 Legacy dependencies, performance benchmarking, compliance/security requirements.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 Start with pilot deployments, validate performance, then expand gradually.</w:t>
        <w:br w:type="textWrapping"/>
      </w:r>
      <w:r w:rsidDel="00000000" w:rsidR="00000000" w:rsidRPr="00000000">
        <w:rPr>
          <w:b w:val="1"/>
          <w:bCs w:val="1"/>
          <w:color w:val="a64d79"/>
          <w:u w:val="single"/>
          <w:rtl w:val="0"/>
        </w:rPr>
        <w:t xml:space="preserve">Note </w:t>
        <w:br w:type="textWrapping"/>
      </w:r>
      <w:r w:rsidDel="00000000" w:rsidR="00000000" w:rsidRPr="00000000">
        <w:rPr>
          <w:rtl w:val="0"/>
        </w:rPr>
        <w:t xml:space="preserve">C++ insurance core app containers should: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Kubernetes Secrets</w:t>
      </w:r>
      <w:r w:rsidDel="00000000" w:rsidR="00000000" w:rsidRPr="00000000">
        <w:rPr>
          <w:rtl w:val="0"/>
        </w:rPr>
        <w:t xml:space="preserve"> for DB credentials (username, password, wallet files if using Oracle Wallet).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ConfigMaps or environment variables</w:t>
      </w:r>
      <w:r w:rsidDel="00000000" w:rsidR="00000000" w:rsidRPr="00000000">
        <w:rPr>
          <w:rtl w:val="0"/>
        </w:rPr>
        <w:t xml:space="preserve"> for DB connection strings (host, port, SID/ServiceName).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over the network</w:t>
      </w:r>
      <w:r w:rsidDel="00000000" w:rsidR="00000000" w:rsidRPr="00000000">
        <w:rPr>
          <w:rtl w:val="0"/>
        </w:rPr>
        <w:t xml:space="preserve"> to the existing Oracle DB cluster/servers.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network policies</w:t>
      </w:r>
      <w:r w:rsidDel="00000000" w:rsidR="00000000" w:rsidRPr="00000000">
        <w:rPr>
          <w:rtl w:val="0"/>
        </w:rPr>
        <w:t xml:space="preserve"> in Kubernetes allow pods to reach the DB securely (via service endpoints, VPN, or private network).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if3739a4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Database and DB Connection Strategy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Concern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Database will not be containerized.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DB external (VM, bare‑metal, or managed service).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containerized app to DB via secure networking.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DB credentials in Kubernetes Secrets.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ConfigMaps for non‑sensitive configs.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TLS connections.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latency between pods and DB.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connection pooling or sidecars (e.g., PgBouncer).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remains managed independently with its own HA/DR setup.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Application modernization without forcing DB migration.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1ht0yia4f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Running Windows Server as a Container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You cannot run the </w:t>
      </w: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entire Windows Server OS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 as a container.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Possible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Microsoft provides Windows Server base images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ltsc2022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ltsc2025</w:t>
      </w:r>
      <w:r w:rsidDel="00000000" w:rsidR="00000000" w:rsidRPr="00000000">
        <w:rPr>
          <w:rtl w:val="0"/>
        </w:rPr>
        <w:t xml:space="preserve">) for running Windows applications inside containers.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Containers share the host kernel, so host OS must be Windows.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 Modes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isolation (lightweight, shares kernel).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Hyper‑V isolation (runs container in a lightweight VM for compatibility).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 Legacy Windows apps, .NET Framework, COM‑based services.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: Larger images, less mature ecosystem compared to Linux.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: Supports mixed clusters (Linux + Windows nodes). Scheduler places workloads on appropriate nodes.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csdxncxnm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Host OS Requirements for Windows Containers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 Host OS must be Windows if you want to run Windows containers.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Compatibility</w:t>
      </w:r>
      <w:r w:rsidDel="00000000" w:rsidR="00000000" w:rsidRPr="00000000">
        <w:rPr>
          <w:rtl w:val="0"/>
        </w:rPr>
        <w:t xml:space="preserve">: Host OS version must match container base image version.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Workaround</w:t>
      </w:r>
      <w:r w:rsidDel="00000000" w:rsidR="00000000" w:rsidRPr="00000000">
        <w:rPr>
          <w:rtl w:val="0"/>
        </w:rPr>
        <w:t xml:space="preserve">: Hyper‑V isolation allows mismatched versions.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nodes → Linux containers.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nodes → Windows containers.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</w:t>
      </w:r>
      <w:r w:rsidDel="00000000" w:rsidR="00000000" w:rsidRPr="00000000">
        <w:rPr>
          <w:rtl w:val="0"/>
        </w:rPr>
        <w:t xml:space="preserve">: Choice depends on whether your app is Linux‑based (C++/Payara) or Windows‑dependent.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jpvk61fwb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Blue‑Green Deployment in Kubernetes (Payara Context)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Undeploy app → deploy new app → restart Payara → downtime occurs.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Blue‑Green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= current production pods.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= new version pods deployed in parallel.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continues serving traffic; green is isolated for testing.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testers can be routed to green only (via service mesh or ingress rules).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users remain on blue until validation is complete.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downtime (blue keeps running).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 rollback (just stop routing to green).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Controlled cutover (switch traffic instantly once green is validated).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Feasibility</w:t>
      </w:r>
      <w:r w:rsidDel="00000000" w:rsidR="00000000" w:rsidRPr="00000000">
        <w:rPr>
          <w:rtl w:val="0"/>
        </w:rPr>
        <w:t xml:space="preserve">: Yes, it’s a textbook Kubernetes use case. Service mesh (Istio, Linkerd) or ingress controllers enable selective routing for testers vs. production.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