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10532" w14:textId="77777777" w:rsidR="00955DC1" w:rsidRDefault="00955DC1" w:rsidP="00955DC1">
      <w:pPr>
        <w:ind w:left="3478"/>
        <w:rPr>
          <w:sz w:val="20"/>
        </w:rPr>
      </w:pPr>
      <w:r>
        <w:rPr>
          <w:noProof/>
          <w:sz w:val="20"/>
        </w:rPr>
        <w:drawing>
          <wp:anchor distT="0" distB="0" distL="114300" distR="114300" simplePos="0" relativeHeight="251664399" behindDoc="1" locked="0" layoutInCell="1" allowOverlap="1" wp14:anchorId="73184DAA" wp14:editId="0668566B">
            <wp:simplePos x="0" y="0"/>
            <wp:positionH relativeFrom="margin">
              <wp:align>center</wp:align>
            </wp:positionH>
            <wp:positionV relativeFrom="paragraph">
              <wp:posOffset>50800</wp:posOffset>
            </wp:positionV>
            <wp:extent cx="1337945" cy="1414145"/>
            <wp:effectExtent l="0" t="0" r="0" b="0"/>
            <wp:wrapSquare wrapText="bothSides"/>
            <wp:docPr id="202270153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7945" cy="1414145"/>
                    </a:xfrm>
                    <a:prstGeom prst="rect">
                      <a:avLst/>
                    </a:prstGeom>
                  </pic:spPr>
                </pic:pic>
              </a:graphicData>
            </a:graphic>
          </wp:anchor>
        </w:drawing>
      </w:r>
    </w:p>
    <w:p w14:paraId="50E1561C" w14:textId="77777777" w:rsidR="00955DC1" w:rsidRDefault="00955DC1" w:rsidP="00955DC1">
      <w:pPr>
        <w:pStyle w:val="TableParagraph"/>
        <w:jc w:val="center"/>
        <w:rPr>
          <w:sz w:val="40"/>
          <w:szCs w:val="40"/>
        </w:rPr>
      </w:pPr>
    </w:p>
    <w:p w14:paraId="6FB14F41" w14:textId="77777777" w:rsidR="00955DC1" w:rsidRDefault="00955DC1" w:rsidP="00955DC1">
      <w:pPr>
        <w:spacing w:before="102"/>
        <w:ind w:left="9" w:right="242"/>
        <w:jc w:val="center"/>
        <w:rPr>
          <w:rFonts w:ascii="Times New Roman" w:hAnsi="Times New Roman" w:cs="Times New Roman"/>
          <w:b/>
          <w:sz w:val="32"/>
          <w:szCs w:val="32"/>
        </w:rPr>
      </w:pPr>
    </w:p>
    <w:p w14:paraId="003A5DB7" w14:textId="77777777" w:rsidR="00955DC1" w:rsidRDefault="00955DC1" w:rsidP="00955DC1">
      <w:pPr>
        <w:spacing w:before="102"/>
        <w:ind w:left="9" w:right="242"/>
        <w:jc w:val="center"/>
        <w:rPr>
          <w:rFonts w:ascii="Times New Roman" w:hAnsi="Times New Roman" w:cs="Times New Roman"/>
          <w:b/>
          <w:sz w:val="32"/>
          <w:szCs w:val="32"/>
        </w:rPr>
      </w:pPr>
    </w:p>
    <w:p w14:paraId="5A29D493" w14:textId="77777777" w:rsidR="00955DC1" w:rsidRDefault="00955DC1" w:rsidP="00955DC1">
      <w:pPr>
        <w:spacing w:before="102"/>
        <w:ind w:left="9" w:right="242"/>
        <w:jc w:val="center"/>
        <w:rPr>
          <w:rFonts w:ascii="Times New Roman" w:hAnsi="Times New Roman" w:cs="Times New Roman"/>
          <w:b/>
          <w:sz w:val="32"/>
          <w:szCs w:val="32"/>
        </w:rPr>
      </w:pPr>
    </w:p>
    <w:p w14:paraId="11CCF3DB" w14:textId="77777777" w:rsidR="00955DC1" w:rsidRPr="00C42C1D" w:rsidRDefault="00955DC1" w:rsidP="00955DC1">
      <w:pPr>
        <w:spacing w:before="102"/>
        <w:ind w:left="9" w:right="242"/>
        <w:jc w:val="center"/>
        <w:rPr>
          <w:rFonts w:ascii="Times New Roman" w:hAnsi="Times New Roman" w:cs="Times New Roman"/>
          <w:b/>
          <w:sz w:val="32"/>
          <w:szCs w:val="32"/>
        </w:rPr>
      </w:pPr>
      <w:r w:rsidRPr="00C42C1D">
        <w:rPr>
          <w:rFonts w:ascii="Times New Roman" w:hAnsi="Times New Roman" w:cs="Times New Roman"/>
          <w:b/>
          <w:sz w:val="32"/>
          <w:szCs w:val="32"/>
        </w:rPr>
        <w:t>University of Barishal</w:t>
      </w:r>
      <w:r w:rsidRPr="00C42C1D">
        <w:rPr>
          <w:rFonts w:ascii="Times New Roman" w:hAnsi="Times New Roman" w:cs="Times New Roman"/>
          <w:noProof/>
          <w:sz w:val="28"/>
          <w:szCs w:val="28"/>
        </w:rPr>
        <mc:AlternateContent>
          <mc:Choice Requires="wps">
            <w:drawing>
              <wp:anchor distT="0" distB="0" distL="0" distR="0" simplePos="0" relativeHeight="251663375" behindDoc="1" locked="0" layoutInCell="1" allowOverlap="1" wp14:anchorId="6BC7EA76" wp14:editId="6F7A956B">
                <wp:simplePos x="0" y="0"/>
                <wp:positionH relativeFrom="page">
                  <wp:posOffset>781050</wp:posOffset>
                </wp:positionH>
                <wp:positionV relativeFrom="paragraph">
                  <wp:posOffset>401320</wp:posOffset>
                </wp:positionV>
                <wp:extent cx="5994400" cy="114300"/>
                <wp:effectExtent l="0" t="0" r="0" b="0"/>
                <wp:wrapTopAndBottom/>
                <wp:docPr id="51641040"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994400" cy="114300"/>
                        </a:xfrm>
                        <a:custGeom>
                          <a:avLst/>
                          <a:gdLst/>
                          <a:ahLst/>
                          <a:cxnLst/>
                          <a:rect l="l" t="t" r="r" b="b"/>
                          <a:pathLst>
                            <a:path w="5517515">
                              <a:moveTo>
                                <a:pt x="0" y="0"/>
                              </a:moveTo>
                              <a:lnTo>
                                <a:pt x="5516930" y="0"/>
                              </a:lnTo>
                            </a:path>
                          </a:pathLst>
                        </a:custGeom>
                        <a:ln w="11481">
                          <a:solidFill>
                            <a:srgbClr val="EB7B2F"/>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1907" id="Graphic 4" o:spid="_x0000_s1026" style="position:absolute;margin-left:61.5pt;margin-top:31.6pt;width:472pt;height:9pt;flip:y;z-index:-25165310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517515,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" path="m,l5516930,e" filled="f" strokecolor="#eb7b2f" strokeweight=".31892mm">
                <v:path arrowok="t"/>
                <w10:wrap type="topAndBottom" anchorx="page"/>
              </v:shape>
            </w:pict>
          </mc:Fallback>
        </mc:AlternateContent>
      </w:r>
      <w:r w:rsidRPr="00C42C1D">
        <w:rPr>
          <w:rFonts w:ascii="Times New Roman" w:hAnsi="Times New Roman" w:cs="Times New Roman"/>
          <w:noProof/>
          <w:sz w:val="28"/>
          <w:szCs w:val="28"/>
        </w:rPr>
        <mc:AlternateContent>
          <mc:Choice Requires="wps">
            <w:drawing>
              <wp:anchor distT="0" distB="0" distL="0" distR="0" simplePos="0" relativeHeight="251662351" behindDoc="1" locked="0" layoutInCell="1" allowOverlap="1" wp14:anchorId="4CC32115" wp14:editId="74D8FC2A">
                <wp:simplePos x="0" y="0"/>
                <wp:positionH relativeFrom="page">
                  <wp:posOffset>781050</wp:posOffset>
                </wp:positionH>
                <wp:positionV relativeFrom="paragraph">
                  <wp:posOffset>311150</wp:posOffset>
                </wp:positionV>
                <wp:extent cx="5994400" cy="45085"/>
                <wp:effectExtent l="0" t="0" r="0" b="0"/>
                <wp:wrapTight wrapText="bothSides">
                  <wp:wrapPolygon edited="0">
                    <wp:start x="0" y="0"/>
                    <wp:lineTo x="0" y="21600"/>
                    <wp:lineTo x="21600" y="21600"/>
                    <wp:lineTo x="21600" y="0"/>
                  </wp:wrapPolygon>
                </wp:wrapTight>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994400" cy="45085"/>
                        </a:xfrm>
                        <a:custGeom>
                          <a:avLst/>
                          <a:gdLst/>
                          <a:ahLst/>
                          <a:cxnLst/>
                          <a:rect l="l" t="t" r="r" b="b"/>
                          <a:pathLst>
                            <a:path w="5517515">
                              <a:moveTo>
                                <a:pt x="0" y="0"/>
                              </a:moveTo>
                              <a:lnTo>
                                <a:pt x="5516930" y="0"/>
                              </a:lnTo>
                            </a:path>
                          </a:pathLst>
                        </a:custGeom>
                        <a:ln w="11481">
                          <a:solidFill>
                            <a:srgbClr val="EB7B2F"/>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B0E96" id="Graphic 3" o:spid="_x0000_s1026" style="position:absolute;margin-left:61.5pt;margin-top:24.5pt;width:472pt;height:3.55pt;flip:y;z-index:-25165412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51751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" path="m,l5516930,e" filled="f" strokecolor="#eb7b2f" strokeweight=".31892mm">
                <v:path arrowok="t"/>
                <w10:wrap type="tight" anchorx="page"/>
              </v:shape>
            </w:pict>
          </mc:Fallback>
        </mc:AlternateContent>
      </w:r>
    </w:p>
    <w:p w14:paraId="7EB3E25C" w14:textId="77777777" w:rsidR="00955DC1" w:rsidRDefault="00955DC1" w:rsidP="00955DC1">
      <w:pPr>
        <w:ind w:right="403"/>
        <w:rPr>
          <w:b/>
          <w:spacing w:val="-2"/>
          <w:sz w:val="37"/>
        </w:rPr>
      </w:pPr>
    </w:p>
    <w:p w14:paraId="55FFE067" w14:textId="77777777" w:rsidR="00955DC1" w:rsidRPr="00C42C1D" w:rsidRDefault="00955DC1" w:rsidP="00955DC1">
      <w:pPr>
        <w:ind w:right="403"/>
        <w:jc w:val="center"/>
        <w:rPr>
          <w:rFonts w:ascii="Times New Roman" w:hAnsi="Times New Roman" w:cs="Times New Roman"/>
          <w:b/>
          <w:sz w:val="28"/>
          <w:szCs w:val="28"/>
        </w:rPr>
      </w:pPr>
      <w:r w:rsidRPr="00C42C1D">
        <w:rPr>
          <w:rFonts w:ascii="Times New Roman" w:hAnsi="Times New Roman" w:cs="Times New Roman"/>
          <w:b/>
          <w:sz w:val="28"/>
          <w:szCs w:val="28"/>
        </w:rPr>
        <w:t>Project</w:t>
      </w:r>
      <w:r w:rsidRPr="00C42C1D">
        <w:rPr>
          <w:rFonts w:ascii="Times New Roman" w:hAnsi="Times New Roman" w:cs="Times New Roman"/>
          <w:b/>
          <w:spacing w:val="-9"/>
          <w:sz w:val="28"/>
          <w:szCs w:val="28"/>
        </w:rPr>
        <w:t xml:space="preserve"> </w:t>
      </w:r>
      <w:r w:rsidRPr="00C42C1D">
        <w:rPr>
          <w:rFonts w:ascii="Times New Roman" w:hAnsi="Times New Roman" w:cs="Times New Roman"/>
          <w:b/>
          <w:sz w:val="28"/>
          <w:szCs w:val="28"/>
        </w:rPr>
        <w:t>Report</w:t>
      </w:r>
      <w:r w:rsidRPr="00C42C1D">
        <w:rPr>
          <w:rFonts w:ascii="Times New Roman" w:hAnsi="Times New Roman" w:cs="Times New Roman"/>
          <w:b/>
          <w:spacing w:val="-11"/>
          <w:sz w:val="28"/>
          <w:szCs w:val="28"/>
        </w:rPr>
        <w:t xml:space="preserve"> </w:t>
      </w:r>
      <w:r w:rsidRPr="00C42C1D">
        <w:rPr>
          <w:rFonts w:ascii="Times New Roman" w:hAnsi="Times New Roman" w:cs="Times New Roman"/>
          <w:b/>
          <w:spacing w:val="-5"/>
          <w:sz w:val="28"/>
          <w:szCs w:val="28"/>
        </w:rPr>
        <w:t>on</w:t>
      </w:r>
    </w:p>
    <w:p w14:paraId="5450A85B" w14:textId="6601BEE4" w:rsidR="00955DC1" w:rsidRPr="00C42C1D" w:rsidRDefault="00955DC1" w:rsidP="00955DC1">
      <w:pPr>
        <w:spacing w:before="237"/>
        <w:ind w:left="290" w:right="671"/>
        <w:jc w:val="center"/>
        <w:rPr>
          <w:rFonts w:ascii="Times New Roman" w:hAnsi="Times New Roman" w:cs="Times New Roman"/>
          <w:b/>
          <w:sz w:val="28"/>
          <w:szCs w:val="28"/>
        </w:rPr>
      </w:pPr>
      <w:r w:rsidRPr="00C42C1D">
        <w:rPr>
          <w:rFonts w:ascii="Times New Roman" w:hAnsi="Times New Roman" w:cs="Times New Roman"/>
          <w:b/>
          <w:sz w:val="28"/>
          <w:szCs w:val="28"/>
        </w:rPr>
        <w:t>“</w:t>
      </w:r>
      <w:r>
        <w:rPr>
          <w:rFonts w:ascii="Times New Roman" w:hAnsi="Times New Roman" w:cs="Times New Roman"/>
          <w:b/>
          <w:sz w:val="28"/>
          <w:szCs w:val="28"/>
        </w:rPr>
        <w:t xml:space="preserve">Insurance </w:t>
      </w:r>
      <w:r w:rsidRPr="00C42C1D">
        <w:rPr>
          <w:rFonts w:ascii="Times New Roman" w:hAnsi="Times New Roman" w:cs="Times New Roman"/>
          <w:b/>
          <w:sz w:val="28"/>
          <w:szCs w:val="28"/>
        </w:rPr>
        <w:t>Company</w:t>
      </w:r>
      <w:r>
        <w:rPr>
          <w:rFonts w:ascii="Times New Roman" w:hAnsi="Times New Roman" w:cs="Times New Roman"/>
          <w:b/>
          <w:sz w:val="28"/>
          <w:szCs w:val="28"/>
        </w:rPr>
        <w:t xml:space="preserve"> Information Analysis</w:t>
      </w:r>
      <w:r w:rsidRPr="00C42C1D">
        <w:rPr>
          <w:rFonts w:ascii="Times New Roman" w:hAnsi="Times New Roman" w:cs="Times New Roman"/>
          <w:b/>
          <w:sz w:val="28"/>
          <w:szCs w:val="28"/>
        </w:rPr>
        <w:t>”</w:t>
      </w:r>
    </w:p>
    <w:p w14:paraId="35579C34" w14:textId="77777777" w:rsidR="00955DC1" w:rsidRDefault="00955DC1" w:rsidP="00955DC1">
      <w:pPr>
        <w:spacing w:before="271"/>
        <w:rPr>
          <w:b/>
          <w:sz w:val="30"/>
        </w:rPr>
      </w:pPr>
    </w:p>
    <w:p w14:paraId="1DD3C2DD" w14:textId="11503461" w:rsidR="006F6917" w:rsidRDefault="006F6917" w:rsidP="00955DC1">
      <w:pPr>
        <w:pStyle w:val="BodyText"/>
        <w:spacing w:before="190"/>
        <w:ind w:left="105"/>
        <w:rPr>
          <w:rFonts w:eastAsiaTheme="minorEastAsia"/>
          <w:b/>
          <w:bCs/>
          <w:kern w:val="2"/>
          <w14:ligatures w14:val="standardContextual"/>
        </w:rPr>
      </w:pPr>
      <w:r>
        <w:rPr>
          <w:rFonts w:eastAsiaTheme="minorEastAsia"/>
          <w:b/>
          <w:bCs/>
          <w:kern w:val="2"/>
          <w14:ligatures w14:val="standardContextual"/>
        </w:rPr>
        <w:t>Submitted To:</w:t>
      </w:r>
    </w:p>
    <w:p w14:paraId="0F063188" w14:textId="666723C2" w:rsidR="00D44A82" w:rsidRPr="00D44A82" w:rsidRDefault="00D44A82" w:rsidP="00955DC1">
      <w:pPr>
        <w:pStyle w:val="BodyText"/>
        <w:spacing w:before="190"/>
        <w:ind w:left="105"/>
        <w:rPr>
          <w:rFonts w:eastAsiaTheme="minorEastAsia"/>
          <w:b/>
          <w:bCs/>
          <w:kern w:val="2"/>
          <w14:ligatures w14:val="standardContextual"/>
        </w:rPr>
      </w:pPr>
      <w:r w:rsidRPr="00D44A82">
        <w:rPr>
          <w:rFonts w:eastAsiaTheme="minorEastAsia"/>
          <w:b/>
          <w:bCs/>
          <w:kern w:val="2"/>
          <w14:ligatures w14:val="standardContextual"/>
        </w:rPr>
        <w:t xml:space="preserve">Md. Erfan </w:t>
      </w:r>
    </w:p>
    <w:p w14:paraId="13FDF328" w14:textId="5E62CAAD" w:rsidR="00955DC1" w:rsidRPr="00C42C1D" w:rsidRDefault="00955DC1" w:rsidP="00955DC1">
      <w:pPr>
        <w:pStyle w:val="BodyText"/>
        <w:spacing w:before="190"/>
        <w:ind w:left="105"/>
      </w:pPr>
      <w:r>
        <w:t>Assistant</w:t>
      </w:r>
      <w:r>
        <w:rPr>
          <w:spacing w:val="12"/>
        </w:rPr>
        <w:t xml:space="preserve"> </w:t>
      </w:r>
      <w:r>
        <w:rPr>
          <w:spacing w:val="-2"/>
        </w:rPr>
        <w:t>Professor</w:t>
      </w:r>
    </w:p>
    <w:p w14:paraId="1065FC4F" w14:textId="77777777" w:rsidR="00955DC1" w:rsidRPr="00C42C1D" w:rsidRDefault="00955DC1" w:rsidP="00955DC1">
      <w:pPr>
        <w:rPr>
          <w:rFonts w:ascii="Times New Roman" w:eastAsia="Times New Roman" w:hAnsi="Times New Roman" w:cs="Times New Roman"/>
          <w:kern w:val="0"/>
          <w14:ligatures w14:val="none"/>
        </w:rPr>
      </w:pPr>
      <w:r w:rsidRPr="00C42C1D">
        <w:rPr>
          <w:rFonts w:ascii="Times New Roman" w:eastAsia="Times New Roman" w:hAnsi="Times New Roman" w:cs="Times New Roman"/>
          <w:kern w:val="0"/>
          <w14:ligatures w14:val="none"/>
        </w:rPr>
        <w:t xml:space="preserve"> Department of Computer Science and Engineering</w:t>
      </w:r>
      <w:r>
        <w:rPr>
          <w:rFonts w:ascii="Times New Roman" w:eastAsia="Times New Roman" w:hAnsi="Times New Roman" w:cs="Times New Roman"/>
          <w:kern w:val="0"/>
          <w14:ligatures w14:val="none"/>
        </w:rPr>
        <w:t xml:space="preserve">, </w:t>
      </w:r>
      <w:r w:rsidRPr="00C42C1D">
        <w:rPr>
          <w:rFonts w:ascii="Times New Roman" w:eastAsia="Times New Roman" w:hAnsi="Times New Roman" w:cs="Times New Roman"/>
          <w:kern w:val="0"/>
          <w14:ligatures w14:val="none"/>
        </w:rPr>
        <w:t>University of Barishal.</w:t>
      </w:r>
    </w:p>
    <w:p w14:paraId="338D0DB6" w14:textId="77777777" w:rsidR="00955DC1" w:rsidRDefault="00955DC1" w:rsidP="00955DC1"/>
    <w:p w14:paraId="4553BCA2" w14:textId="77777777" w:rsidR="00955DC1" w:rsidRDefault="00955DC1" w:rsidP="00955DC1">
      <w:pPr>
        <w:spacing w:before="163"/>
      </w:pPr>
    </w:p>
    <w:p w14:paraId="183DEA92" w14:textId="711907B2" w:rsidR="006F6917" w:rsidRPr="006F6917" w:rsidRDefault="006F6917" w:rsidP="00955DC1">
      <w:pPr>
        <w:spacing w:before="163"/>
        <w:rPr>
          <w:rFonts w:ascii="Times New Roman" w:hAnsi="Times New Roman" w:cs="Times New Roman"/>
          <w:b/>
          <w:bCs/>
        </w:rPr>
      </w:pPr>
      <w:r w:rsidRPr="006F6917">
        <w:rPr>
          <w:rFonts w:ascii="Times New Roman" w:hAnsi="Times New Roman" w:cs="Times New Roman"/>
          <w:b/>
          <w:bCs/>
        </w:rPr>
        <w:t>Submitted By:</w:t>
      </w:r>
    </w:p>
    <w:p w14:paraId="186FFDBD" w14:textId="1099692F" w:rsidR="00955DC1" w:rsidRDefault="00955DC1" w:rsidP="00955DC1">
      <w:pPr>
        <w:pStyle w:val="BodyText"/>
        <w:spacing w:before="136"/>
        <w:ind w:left="105"/>
      </w:pPr>
      <w:r>
        <w:t>Sanjeda Islam Santa</w:t>
      </w:r>
    </w:p>
    <w:p w14:paraId="219073BE" w14:textId="5B0B39E9" w:rsidR="00955DC1" w:rsidRPr="00C42C1D" w:rsidRDefault="00955DC1" w:rsidP="00955DC1">
      <w:pPr>
        <w:pStyle w:val="BodyText"/>
        <w:spacing w:before="136"/>
        <w:ind w:left="105"/>
      </w:pPr>
      <w:r>
        <w:t>Batch: 6</w:t>
      </w:r>
      <w:r w:rsidR="00D44A82">
        <w:t>3</w:t>
      </w:r>
      <w:r>
        <w:t xml:space="preserve">; Roll: </w:t>
      </w:r>
      <w:r w:rsidR="0056415D">
        <w:t>03</w:t>
      </w:r>
    </w:p>
    <w:p w14:paraId="3DB50063" w14:textId="77777777" w:rsidR="00955DC1" w:rsidRPr="00C42C1D" w:rsidRDefault="00955DC1" w:rsidP="00955DC1">
      <w:pPr>
        <w:spacing w:before="138"/>
        <w:rPr>
          <w:rFonts w:ascii="Times New Roman" w:eastAsia="Times New Roman" w:hAnsi="Times New Roman" w:cs="Times New Roman"/>
          <w:kern w:val="0"/>
          <w14:ligatures w14:val="none"/>
        </w:rPr>
      </w:pPr>
      <w:r w:rsidRPr="00C42C1D">
        <w:rPr>
          <w:rFonts w:ascii="Times New Roman" w:eastAsia="Times New Roman" w:hAnsi="Times New Roman" w:cs="Times New Roman"/>
          <w:kern w:val="0"/>
          <w14:ligatures w14:val="none"/>
        </w:rPr>
        <w:t xml:space="preserve"> EDGE: BU-CSE Digital Skills Training </w:t>
      </w:r>
    </w:p>
    <w:p w14:paraId="63DCB0ED" w14:textId="77777777" w:rsidR="00955DC1" w:rsidRDefault="00955DC1" w:rsidP="00955DC1">
      <w:pPr>
        <w:spacing w:before="138"/>
      </w:pPr>
      <w:r>
        <w:rPr>
          <w:rFonts w:ascii="Times New Roman" w:eastAsia="Times New Roman" w:hAnsi="Times New Roman" w:cs="Times New Roman"/>
          <w:kern w:val="0"/>
          <w14:ligatures w14:val="none"/>
        </w:rPr>
        <w:t xml:space="preserve"> </w:t>
      </w:r>
      <w:r w:rsidRPr="00C42C1D">
        <w:rPr>
          <w:rFonts w:ascii="Times New Roman" w:eastAsia="Times New Roman" w:hAnsi="Times New Roman" w:cs="Times New Roman"/>
          <w:kern w:val="0"/>
          <w14:ligatures w14:val="none"/>
        </w:rPr>
        <w:t>Computer Fundamentals &amp; Office Application</w:t>
      </w:r>
    </w:p>
    <w:p w14:paraId="247C6192" w14:textId="77777777" w:rsidR="00955DC1" w:rsidRDefault="00955DC1" w:rsidP="00955DC1">
      <w:pPr>
        <w:spacing w:before="1"/>
        <w:rPr>
          <w:b/>
        </w:rPr>
      </w:pPr>
    </w:p>
    <w:p w14:paraId="52B7DFFA" w14:textId="205CFEFB" w:rsidR="00955DC1" w:rsidRDefault="00955DC1" w:rsidP="00955DC1">
      <w:pPr>
        <w:spacing w:before="1"/>
      </w:pPr>
      <w:r>
        <w:rPr>
          <w:b/>
        </w:rPr>
        <w:t>Date</w:t>
      </w:r>
      <w:r>
        <w:rPr>
          <w:b/>
          <w:spacing w:val="5"/>
        </w:rPr>
        <w:t xml:space="preserve"> </w:t>
      </w:r>
      <w:r>
        <w:rPr>
          <w:b/>
        </w:rPr>
        <w:t>of</w:t>
      </w:r>
      <w:r>
        <w:rPr>
          <w:b/>
          <w:spacing w:val="7"/>
        </w:rPr>
        <w:t xml:space="preserve"> </w:t>
      </w:r>
      <w:r>
        <w:rPr>
          <w:b/>
        </w:rPr>
        <w:t>Submission:</w:t>
      </w:r>
      <w:r>
        <w:rPr>
          <w:b/>
          <w:spacing w:val="-4"/>
        </w:rPr>
        <w:t xml:space="preserve"> </w:t>
      </w:r>
    </w:p>
    <w:p w14:paraId="3BF00972" w14:textId="77777777" w:rsidR="001D210F" w:rsidRDefault="001D210F">
      <w:pPr>
        <w:rPr>
          <w:rFonts w:ascii="Times New Roman" w:hAnsi="Times New Roman" w:cs="Times New Roman"/>
          <w:b/>
          <w:bCs/>
          <w:sz w:val="28"/>
          <w:szCs w:val="28"/>
        </w:rPr>
      </w:pPr>
    </w:p>
    <w:p w14:paraId="64080DB9" w14:textId="77777777" w:rsidR="001D210F" w:rsidRDefault="001D210F">
      <w:pPr>
        <w:rPr>
          <w:rFonts w:ascii="Times New Roman" w:hAnsi="Times New Roman" w:cs="Times New Roman"/>
          <w:b/>
          <w:bCs/>
          <w:sz w:val="28"/>
          <w:szCs w:val="28"/>
        </w:rPr>
      </w:pPr>
    </w:p>
    <w:p w14:paraId="2FA89898" w14:textId="77777777" w:rsidR="001D210F" w:rsidRDefault="001D210F">
      <w:pPr>
        <w:rPr>
          <w:rFonts w:ascii="Times New Roman" w:hAnsi="Times New Roman" w:cs="Times New Roman"/>
          <w:b/>
          <w:bCs/>
          <w:sz w:val="28"/>
          <w:szCs w:val="28"/>
        </w:rPr>
      </w:pPr>
    </w:p>
    <w:p w14:paraId="09534A98" w14:textId="77777777" w:rsidR="001D210F" w:rsidRDefault="001D210F">
      <w:pPr>
        <w:rPr>
          <w:rFonts w:ascii="Times New Roman" w:hAnsi="Times New Roman" w:cs="Times New Roman"/>
          <w:b/>
          <w:bCs/>
          <w:sz w:val="28"/>
          <w:szCs w:val="28"/>
        </w:rPr>
      </w:pPr>
    </w:p>
    <w:p w14:paraId="42CBD7B7" w14:textId="77777777" w:rsidR="001D210F" w:rsidRDefault="001D210F">
      <w:pPr>
        <w:rPr>
          <w:rFonts w:ascii="Times New Roman" w:hAnsi="Times New Roman" w:cs="Times New Roman"/>
          <w:b/>
          <w:bCs/>
          <w:sz w:val="28"/>
          <w:szCs w:val="28"/>
        </w:rPr>
      </w:pPr>
    </w:p>
    <w:p w14:paraId="49223846" w14:textId="77777777" w:rsidR="001D210F" w:rsidRDefault="001D210F">
      <w:pPr>
        <w:rPr>
          <w:rFonts w:ascii="Times New Roman" w:hAnsi="Times New Roman" w:cs="Times New Roman"/>
          <w:b/>
          <w:bCs/>
          <w:sz w:val="28"/>
          <w:szCs w:val="28"/>
        </w:rPr>
      </w:pPr>
    </w:p>
    <w:p w14:paraId="63132052" w14:textId="77777777" w:rsidR="001D210F" w:rsidRDefault="001D210F">
      <w:pPr>
        <w:rPr>
          <w:rFonts w:ascii="Times New Roman" w:hAnsi="Times New Roman" w:cs="Times New Roman"/>
          <w:b/>
          <w:bCs/>
          <w:sz w:val="28"/>
          <w:szCs w:val="28"/>
        </w:rPr>
      </w:pPr>
    </w:p>
    <w:p w14:paraId="7858FAEE" w14:textId="77777777" w:rsidR="001D210F" w:rsidRDefault="001D210F">
      <w:pPr>
        <w:rPr>
          <w:rFonts w:ascii="Times New Roman" w:hAnsi="Times New Roman" w:cs="Times New Roman"/>
          <w:b/>
          <w:bCs/>
          <w:sz w:val="28"/>
          <w:szCs w:val="28"/>
        </w:rPr>
      </w:pPr>
    </w:p>
    <w:p w14:paraId="6A7B4C1F" w14:textId="77777777" w:rsidR="001D210F" w:rsidRDefault="001D210F">
      <w:pPr>
        <w:rPr>
          <w:rFonts w:ascii="Times New Roman" w:hAnsi="Times New Roman" w:cs="Times New Roman"/>
          <w:b/>
          <w:bCs/>
          <w:sz w:val="28"/>
          <w:szCs w:val="28"/>
        </w:rPr>
      </w:pPr>
    </w:p>
    <w:p w14:paraId="634F76A7" w14:textId="77777777" w:rsidR="001D210F" w:rsidRDefault="001D210F">
      <w:pPr>
        <w:rPr>
          <w:rFonts w:ascii="Times New Roman" w:hAnsi="Times New Roman" w:cs="Times New Roman"/>
          <w:b/>
          <w:bCs/>
          <w:sz w:val="28"/>
          <w:szCs w:val="28"/>
        </w:rPr>
      </w:pPr>
    </w:p>
    <w:p w14:paraId="47E30D86" w14:textId="77777777" w:rsidR="001D210F" w:rsidRDefault="001D210F">
      <w:pPr>
        <w:rPr>
          <w:rFonts w:ascii="Times New Roman" w:hAnsi="Times New Roman" w:cs="Times New Roman"/>
          <w:b/>
          <w:bCs/>
          <w:sz w:val="28"/>
          <w:szCs w:val="28"/>
        </w:rPr>
      </w:pPr>
    </w:p>
    <w:p w14:paraId="41B553AD" w14:textId="71E6B082" w:rsidR="001D210F" w:rsidRPr="001D210F" w:rsidRDefault="001D210F">
      <w:pPr>
        <w:rPr>
          <w:rFonts w:ascii="Times New Roman" w:hAnsi="Times New Roman" w:cs="Times New Roman"/>
          <w:b/>
          <w:bCs/>
          <w:sz w:val="28"/>
          <w:szCs w:val="28"/>
        </w:rPr>
      </w:pPr>
      <w:r w:rsidRPr="001D210F">
        <w:rPr>
          <w:rFonts w:ascii="Times New Roman" w:hAnsi="Times New Roman" w:cs="Times New Roman"/>
          <w:b/>
          <w:bCs/>
          <w:sz w:val="28"/>
          <w:szCs w:val="28"/>
        </w:rPr>
        <w:t>Report Title</w:t>
      </w:r>
    </w:p>
    <w:p w14:paraId="65C5AEFD" w14:textId="23B05047" w:rsidR="001D210F" w:rsidRDefault="00955DC1" w:rsidP="001D210F">
      <w:pPr>
        <w:rPr>
          <w:rFonts w:ascii="Times New Roman" w:hAnsi="Times New Roman" w:cs="Times New Roman"/>
          <w:b/>
          <w:bCs/>
          <w:iCs/>
          <w:sz w:val="28"/>
          <w:szCs w:val="28"/>
        </w:rPr>
      </w:pPr>
      <w:r>
        <w:rPr>
          <w:rFonts w:ascii="Times New Roman" w:hAnsi="Times New Roman" w:cs="Times New Roman"/>
          <w:b/>
          <w:sz w:val="28"/>
          <w:szCs w:val="28"/>
        </w:rPr>
        <w:t xml:space="preserve">Insurance </w:t>
      </w:r>
      <w:r w:rsidRPr="00C42C1D">
        <w:rPr>
          <w:rFonts w:ascii="Times New Roman" w:hAnsi="Times New Roman" w:cs="Times New Roman"/>
          <w:b/>
          <w:sz w:val="28"/>
          <w:szCs w:val="28"/>
        </w:rPr>
        <w:t>Company</w:t>
      </w:r>
      <w:r>
        <w:rPr>
          <w:rFonts w:ascii="Times New Roman" w:hAnsi="Times New Roman" w:cs="Times New Roman"/>
          <w:b/>
          <w:sz w:val="28"/>
          <w:szCs w:val="28"/>
        </w:rPr>
        <w:t xml:space="preserve"> Information Analysis</w:t>
      </w:r>
    </w:p>
    <w:p w14:paraId="78D1BF7D" w14:textId="77777777" w:rsidR="00994053" w:rsidRDefault="00994053" w:rsidP="001D210F">
      <w:pPr>
        <w:rPr>
          <w:rFonts w:ascii="Times New Roman" w:hAnsi="Times New Roman" w:cs="Times New Roman"/>
          <w:b/>
          <w:bCs/>
          <w:iCs/>
          <w:sz w:val="28"/>
          <w:szCs w:val="28"/>
        </w:rPr>
      </w:pPr>
    </w:p>
    <w:p w14:paraId="6244C89C" w14:textId="77777777" w:rsidR="00994053" w:rsidRDefault="00994053" w:rsidP="001D210F">
      <w:pPr>
        <w:rPr>
          <w:rFonts w:ascii="Times New Roman" w:hAnsi="Times New Roman" w:cs="Times New Roman"/>
          <w:b/>
          <w:bCs/>
          <w:iCs/>
          <w:sz w:val="28"/>
          <w:szCs w:val="28"/>
        </w:rPr>
      </w:pPr>
    </w:p>
    <w:p w14:paraId="017A1727" w14:textId="77777777" w:rsidR="00994053" w:rsidRDefault="00994053" w:rsidP="001D210F">
      <w:pPr>
        <w:rPr>
          <w:rFonts w:ascii="Times New Roman" w:hAnsi="Times New Roman" w:cs="Times New Roman"/>
          <w:b/>
          <w:bCs/>
          <w:iCs/>
          <w:sz w:val="28"/>
          <w:szCs w:val="28"/>
        </w:rPr>
      </w:pPr>
    </w:p>
    <w:p w14:paraId="242A92D6" w14:textId="77777777" w:rsidR="00994053" w:rsidRDefault="00994053" w:rsidP="001D210F">
      <w:pPr>
        <w:rPr>
          <w:rFonts w:ascii="Times New Roman" w:hAnsi="Times New Roman" w:cs="Times New Roman"/>
          <w:b/>
          <w:bCs/>
          <w:iCs/>
          <w:sz w:val="28"/>
          <w:szCs w:val="28"/>
        </w:rPr>
      </w:pPr>
    </w:p>
    <w:p w14:paraId="6226597F" w14:textId="77777777" w:rsidR="00994053" w:rsidRDefault="00994053" w:rsidP="001D210F">
      <w:pPr>
        <w:rPr>
          <w:rFonts w:ascii="Times New Roman" w:hAnsi="Times New Roman" w:cs="Times New Roman"/>
          <w:b/>
          <w:bCs/>
          <w:iCs/>
          <w:sz w:val="28"/>
          <w:szCs w:val="28"/>
        </w:rPr>
      </w:pPr>
    </w:p>
    <w:p w14:paraId="788DA006" w14:textId="77777777" w:rsidR="00994053" w:rsidRDefault="00994053" w:rsidP="001D210F">
      <w:pPr>
        <w:rPr>
          <w:rFonts w:ascii="Times New Roman" w:hAnsi="Times New Roman" w:cs="Times New Roman"/>
          <w:b/>
          <w:bCs/>
          <w:iCs/>
          <w:sz w:val="28"/>
          <w:szCs w:val="28"/>
        </w:rPr>
      </w:pPr>
    </w:p>
    <w:p w14:paraId="136B48B3" w14:textId="77777777" w:rsidR="00994053" w:rsidRDefault="00994053" w:rsidP="001D210F">
      <w:pPr>
        <w:rPr>
          <w:rFonts w:ascii="Times New Roman" w:hAnsi="Times New Roman" w:cs="Times New Roman"/>
          <w:b/>
          <w:bCs/>
          <w:iCs/>
          <w:sz w:val="28"/>
          <w:szCs w:val="28"/>
        </w:rPr>
      </w:pPr>
    </w:p>
    <w:p w14:paraId="0310CD8A" w14:textId="77777777" w:rsidR="00994053" w:rsidRDefault="00994053" w:rsidP="001D210F">
      <w:pPr>
        <w:rPr>
          <w:rFonts w:ascii="Times New Roman" w:hAnsi="Times New Roman" w:cs="Times New Roman"/>
          <w:b/>
          <w:bCs/>
          <w:iCs/>
          <w:sz w:val="28"/>
          <w:szCs w:val="28"/>
        </w:rPr>
      </w:pPr>
    </w:p>
    <w:p w14:paraId="2A7CC3A5" w14:textId="77777777" w:rsidR="00994053" w:rsidRDefault="00994053" w:rsidP="001D210F">
      <w:pPr>
        <w:rPr>
          <w:rFonts w:ascii="Times New Roman" w:hAnsi="Times New Roman" w:cs="Times New Roman"/>
          <w:b/>
          <w:bCs/>
          <w:iCs/>
          <w:sz w:val="28"/>
          <w:szCs w:val="28"/>
        </w:rPr>
      </w:pPr>
    </w:p>
    <w:p w14:paraId="7E2B07DF" w14:textId="77777777" w:rsidR="00994053" w:rsidRDefault="00994053" w:rsidP="001D210F">
      <w:pPr>
        <w:rPr>
          <w:rFonts w:ascii="Times New Roman" w:hAnsi="Times New Roman" w:cs="Times New Roman"/>
          <w:b/>
          <w:bCs/>
          <w:iCs/>
          <w:sz w:val="28"/>
          <w:szCs w:val="28"/>
        </w:rPr>
      </w:pPr>
    </w:p>
    <w:p w14:paraId="515B0D84" w14:textId="77777777" w:rsidR="006F6917" w:rsidRDefault="006F6917" w:rsidP="001D210F">
      <w:pPr>
        <w:rPr>
          <w:rFonts w:ascii="Times New Roman" w:hAnsi="Times New Roman" w:cs="Times New Roman"/>
          <w:b/>
          <w:bCs/>
          <w:iCs/>
          <w:sz w:val="28"/>
          <w:szCs w:val="28"/>
        </w:rPr>
      </w:pPr>
    </w:p>
    <w:p w14:paraId="4920A95C" w14:textId="77777777" w:rsidR="00994053" w:rsidRDefault="00994053" w:rsidP="001D210F">
      <w:pPr>
        <w:rPr>
          <w:rFonts w:ascii="Times New Roman" w:hAnsi="Times New Roman" w:cs="Times New Roman"/>
          <w:b/>
          <w:bCs/>
          <w:iCs/>
          <w:sz w:val="28"/>
          <w:szCs w:val="28"/>
        </w:rPr>
      </w:pPr>
    </w:p>
    <w:sdt>
      <w:sdtPr>
        <w:rPr>
          <w:rFonts w:asciiTheme="minorHAnsi" w:eastAsiaTheme="minorEastAsia" w:hAnsiTheme="minorHAnsi" w:cstheme="minorBidi"/>
          <w:color w:val="auto"/>
          <w:kern w:val="2"/>
          <w:sz w:val="24"/>
          <w:szCs w:val="24"/>
          <w14:ligatures w14:val="standardContextual"/>
        </w:rPr>
        <w:id w:val="-1016526952"/>
        <w:docPartObj>
          <w:docPartGallery w:val="Table of Contents"/>
          <w:docPartUnique/>
        </w:docPartObj>
      </w:sdtPr>
      <w:sdtEndPr>
        <w:rPr>
          <w:b/>
          <w:bCs/>
          <w:noProof/>
        </w:rPr>
      </w:sdtEndPr>
      <w:sdtContent>
        <w:p w14:paraId="41F71EC4" w14:textId="7C6FA261" w:rsidR="00994053" w:rsidRDefault="00994053">
          <w:pPr>
            <w:pStyle w:val="TOCHeading"/>
          </w:pPr>
          <w:r>
            <w:t>Table of Contents</w:t>
          </w:r>
        </w:p>
        <w:p w14:paraId="30F568A4" w14:textId="42019700" w:rsidR="005E1585" w:rsidRDefault="00994053">
          <w:pPr>
            <w:pStyle w:val="TOC1"/>
            <w:tabs>
              <w:tab w:val="right" w:leader="dot" w:pos="10110"/>
            </w:tabs>
            <w:rPr>
              <w:noProof/>
            </w:rPr>
          </w:pPr>
          <w:r>
            <w:fldChar w:fldCharType="begin"/>
          </w:r>
          <w:r>
            <w:instrText xml:space="preserve"> TOC \o "1-3" \h \z \u </w:instrText>
          </w:r>
          <w:r>
            <w:fldChar w:fldCharType="separate"/>
          </w:r>
          <w:hyperlink w:anchor="_Toc188056423" w:history="1">
            <w:r w:rsidR="005E1585" w:rsidRPr="00A43D14">
              <w:rPr>
                <w:rStyle w:val="Hyperlink"/>
                <w:noProof/>
              </w:rPr>
              <w:t>Chapter 01: Introduction</w:t>
            </w:r>
            <w:r w:rsidR="005E1585">
              <w:rPr>
                <w:noProof/>
                <w:webHidden/>
              </w:rPr>
              <w:tab/>
            </w:r>
            <w:r w:rsidR="005E1585">
              <w:rPr>
                <w:noProof/>
                <w:webHidden/>
              </w:rPr>
              <w:fldChar w:fldCharType="begin"/>
            </w:r>
            <w:r w:rsidR="005E1585">
              <w:rPr>
                <w:noProof/>
                <w:webHidden/>
              </w:rPr>
              <w:instrText xml:space="preserve"> PAGEREF _Toc188056423 \h </w:instrText>
            </w:r>
            <w:r w:rsidR="005E1585">
              <w:rPr>
                <w:noProof/>
                <w:webHidden/>
              </w:rPr>
            </w:r>
            <w:r w:rsidR="005E1585">
              <w:rPr>
                <w:noProof/>
                <w:webHidden/>
              </w:rPr>
              <w:fldChar w:fldCharType="separate"/>
            </w:r>
            <w:r w:rsidR="00F16325">
              <w:rPr>
                <w:noProof/>
                <w:webHidden/>
              </w:rPr>
              <w:t>4</w:t>
            </w:r>
            <w:r w:rsidR="005E1585">
              <w:rPr>
                <w:noProof/>
                <w:webHidden/>
              </w:rPr>
              <w:fldChar w:fldCharType="end"/>
            </w:r>
          </w:hyperlink>
        </w:p>
        <w:p w14:paraId="51BC1CB1" w14:textId="7DF6C2BA" w:rsidR="005E1585" w:rsidRDefault="005E1585">
          <w:pPr>
            <w:pStyle w:val="TOC2"/>
            <w:tabs>
              <w:tab w:val="left" w:pos="720"/>
              <w:tab w:val="right" w:leader="dot" w:pos="10110"/>
            </w:tabs>
            <w:rPr>
              <w:noProof/>
            </w:rPr>
          </w:pPr>
          <w:hyperlink w:anchor="_Toc188056424" w:history="1">
            <w:r w:rsidRPr="00A43D14">
              <w:rPr>
                <w:rStyle w:val="Hyperlink"/>
                <w:noProof/>
              </w:rPr>
              <w:t>1.</w:t>
            </w:r>
            <w:r>
              <w:rPr>
                <w:noProof/>
              </w:rPr>
              <w:tab/>
            </w:r>
            <w:r w:rsidRPr="00A43D14">
              <w:rPr>
                <w:rStyle w:val="Hyperlink"/>
                <w:noProof/>
              </w:rPr>
              <w:t>Introduction</w:t>
            </w:r>
            <w:r>
              <w:rPr>
                <w:noProof/>
                <w:webHidden/>
              </w:rPr>
              <w:tab/>
            </w:r>
            <w:r>
              <w:rPr>
                <w:noProof/>
                <w:webHidden/>
              </w:rPr>
              <w:fldChar w:fldCharType="begin"/>
            </w:r>
            <w:r>
              <w:rPr>
                <w:noProof/>
                <w:webHidden/>
              </w:rPr>
              <w:instrText xml:space="preserve"> PAGEREF _Toc188056424 \h </w:instrText>
            </w:r>
            <w:r>
              <w:rPr>
                <w:noProof/>
                <w:webHidden/>
              </w:rPr>
            </w:r>
            <w:r>
              <w:rPr>
                <w:noProof/>
                <w:webHidden/>
              </w:rPr>
              <w:fldChar w:fldCharType="separate"/>
            </w:r>
            <w:r w:rsidR="00F16325">
              <w:rPr>
                <w:noProof/>
                <w:webHidden/>
              </w:rPr>
              <w:t>4</w:t>
            </w:r>
            <w:r>
              <w:rPr>
                <w:noProof/>
                <w:webHidden/>
              </w:rPr>
              <w:fldChar w:fldCharType="end"/>
            </w:r>
          </w:hyperlink>
        </w:p>
        <w:p w14:paraId="38A58639" w14:textId="5894FB06" w:rsidR="005E1585" w:rsidRDefault="005E1585">
          <w:pPr>
            <w:pStyle w:val="TOC2"/>
            <w:tabs>
              <w:tab w:val="right" w:leader="dot" w:pos="10110"/>
            </w:tabs>
            <w:rPr>
              <w:noProof/>
            </w:rPr>
          </w:pPr>
          <w:hyperlink w:anchor="_Toc188056425" w:history="1">
            <w:r w:rsidRPr="00A43D14">
              <w:rPr>
                <w:rStyle w:val="Hyperlink"/>
                <w:noProof/>
              </w:rPr>
              <w:t>1.1 Rationale of the Study</w:t>
            </w:r>
            <w:r>
              <w:rPr>
                <w:noProof/>
                <w:webHidden/>
              </w:rPr>
              <w:tab/>
            </w:r>
            <w:r>
              <w:rPr>
                <w:noProof/>
                <w:webHidden/>
              </w:rPr>
              <w:fldChar w:fldCharType="begin"/>
            </w:r>
            <w:r>
              <w:rPr>
                <w:noProof/>
                <w:webHidden/>
              </w:rPr>
              <w:instrText xml:space="preserve"> PAGEREF _Toc188056425 \h </w:instrText>
            </w:r>
            <w:r>
              <w:rPr>
                <w:noProof/>
                <w:webHidden/>
              </w:rPr>
            </w:r>
            <w:r>
              <w:rPr>
                <w:noProof/>
                <w:webHidden/>
              </w:rPr>
              <w:fldChar w:fldCharType="separate"/>
            </w:r>
            <w:r w:rsidR="00F16325">
              <w:rPr>
                <w:noProof/>
                <w:webHidden/>
              </w:rPr>
              <w:t>4</w:t>
            </w:r>
            <w:r>
              <w:rPr>
                <w:noProof/>
                <w:webHidden/>
              </w:rPr>
              <w:fldChar w:fldCharType="end"/>
            </w:r>
          </w:hyperlink>
        </w:p>
        <w:p w14:paraId="411AFCF8" w14:textId="4CC836F7" w:rsidR="005E1585" w:rsidRDefault="005E1585">
          <w:pPr>
            <w:pStyle w:val="TOC2"/>
            <w:tabs>
              <w:tab w:val="right" w:leader="dot" w:pos="10110"/>
            </w:tabs>
            <w:rPr>
              <w:noProof/>
            </w:rPr>
          </w:pPr>
          <w:hyperlink w:anchor="_Toc188056426" w:history="1">
            <w:r w:rsidRPr="00A43D14">
              <w:rPr>
                <w:rStyle w:val="Hyperlink"/>
                <w:noProof/>
              </w:rPr>
              <w:t>1.3 Limitations of the Study:</w:t>
            </w:r>
            <w:r>
              <w:rPr>
                <w:noProof/>
                <w:webHidden/>
              </w:rPr>
              <w:tab/>
            </w:r>
            <w:r>
              <w:rPr>
                <w:noProof/>
                <w:webHidden/>
              </w:rPr>
              <w:fldChar w:fldCharType="begin"/>
            </w:r>
            <w:r>
              <w:rPr>
                <w:noProof/>
                <w:webHidden/>
              </w:rPr>
              <w:instrText xml:space="preserve"> PAGEREF _Toc188056426 \h </w:instrText>
            </w:r>
            <w:r>
              <w:rPr>
                <w:noProof/>
                <w:webHidden/>
              </w:rPr>
            </w:r>
            <w:r>
              <w:rPr>
                <w:noProof/>
                <w:webHidden/>
              </w:rPr>
              <w:fldChar w:fldCharType="separate"/>
            </w:r>
            <w:r w:rsidR="00F16325">
              <w:rPr>
                <w:noProof/>
                <w:webHidden/>
              </w:rPr>
              <w:t>5</w:t>
            </w:r>
            <w:r>
              <w:rPr>
                <w:noProof/>
                <w:webHidden/>
              </w:rPr>
              <w:fldChar w:fldCharType="end"/>
            </w:r>
          </w:hyperlink>
        </w:p>
        <w:p w14:paraId="43677BC7" w14:textId="47211612" w:rsidR="005E1585" w:rsidRDefault="005E1585">
          <w:pPr>
            <w:pStyle w:val="TOC1"/>
            <w:tabs>
              <w:tab w:val="right" w:leader="dot" w:pos="10110"/>
            </w:tabs>
            <w:rPr>
              <w:noProof/>
            </w:rPr>
          </w:pPr>
          <w:hyperlink w:anchor="_Toc188056427" w:history="1">
            <w:r w:rsidRPr="00A43D14">
              <w:rPr>
                <w:rStyle w:val="Hyperlink"/>
                <w:bCs/>
                <w:noProof/>
              </w:rPr>
              <w:t>Chapter 02: Methodology</w:t>
            </w:r>
            <w:r w:rsidRPr="00A43D14">
              <w:rPr>
                <w:rStyle w:val="Hyperlink"/>
                <w:rFonts w:cs="Times New Roman"/>
                <w:bCs/>
                <w:noProof/>
              </w:rPr>
              <w:t xml:space="preserve"> of the Study</w:t>
            </w:r>
            <w:r>
              <w:rPr>
                <w:noProof/>
                <w:webHidden/>
              </w:rPr>
              <w:tab/>
            </w:r>
            <w:r>
              <w:rPr>
                <w:noProof/>
                <w:webHidden/>
              </w:rPr>
              <w:fldChar w:fldCharType="begin"/>
            </w:r>
            <w:r>
              <w:rPr>
                <w:noProof/>
                <w:webHidden/>
              </w:rPr>
              <w:instrText xml:space="preserve"> PAGEREF _Toc188056427 \h </w:instrText>
            </w:r>
            <w:r>
              <w:rPr>
                <w:noProof/>
                <w:webHidden/>
              </w:rPr>
            </w:r>
            <w:r>
              <w:rPr>
                <w:noProof/>
                <w:webHidden/>
              </w:rPr>
              <w:fldChar w:fldCharType="separate"/>
            </w:r>
            <w:r w:rsidR="00F16325">
              <w:rPr>
                <w:noProof/>
                <w:webHidden/>
              </w:rPr>
              <w:t>6</w:t>
            </w:r>
            <w:r>
              <w:rPr>
                <w:noProof/>
                <w:webHidden/>
              </w:rPr>
              <w:fldChar w:fldCharType="end"/>
            </w:r>
          </w:hyperlink>
        </w:p>
        <w:p w14:paraId="74045848" w14:textId="7098E7B3" w:rsidR="005E1585" w:rsidRDefault="005E1585">
          <w:pPr>
            <w:pStyle w:val="TOC2"/>
            <w:tabs>
              <w:tab w:val="left" w:pos="720"/>
              <w:tab w:val="right" w:leader="dot" w:pos="10110"/>
            </w:tabs>
            <w:rPr>
              <w:noProof/>
            </w:rPr>
          </w:pPr>
          <w:hyperlink w:anchor="_Toc188056428" w:history="1">
            <w:r w:rsidRPr="00A43D14">
              <w:rPr>
                <w:rStyle w:val="Hyperlink"/>
                <w:noProof/>
              </w:rPr>
              <w:t>2.</w:t>
            </w:r>
            <w:r>
              <w:rPr>
                <w:noProof/>
              </w:rPr>
              <w:tab/>
            </w:r>
            <w:r w:rsidRPr="00A43D14">
              <w:rPr>
                <w:rStyle w:val="Hyperlink"/>
                <w:noProof/>
              </w:rPr>
              <w:t>Overview</w:t>
            </w:r>
            <w:r>
              <w:rPr>
                <w:noProof/>
                <w:webHidden/>
              </w:rPr>
              <w:tab/>
            </w:r>
            <w:r>
              <w:rPr>
                <w:noProof/>
                <w:webHidden/>
              </w:rPr>
              <w:fldChar w:fldCharType="begin"/>
            </w:r>
            <w:r>
              <w:rPr>
                <w:noProof/>
                <w:webHidden/>
              </w:rPr>
              <w:instrText xml:space="preserve"> PAGEREF _Toc188056428 \h </w:instrText>
            </w:r>
            <w:r>
              <w:rPr>
                <w:noProof/>
                <w:webHidden/>
              </w:rPr>
            </w:r>
            <w:r>
              <w:rPr>
                <w:noProof/>
                <w:webHidden/>
              </w:rPr>
              <w:fldChar w:fldCharType="separate"/>
            </w:r>
            <w:r w:rsidR="00F16325">
              <w:rPr>
                <w:noProof/>
                <w:webHidden/>
              </w:rPr>
              <w:t>6</w:t>
            </w:r>
            <w:r>
              <w:rPr>
                <w:noProof/>
                <w:webHidden/>
              </w:rPr>
              <w:fldChar w:fldCharType="end"/>
            </w:r>
          </w:hyperlink>
        </w:p>
        <w:p w14:paraId="65BBBDF0" w14:textId="01DA18D4" w:rsidR="005E1585" w:rsidRDefault="005E1585">
          <w:pPr>
            <w:pStyle w:val="TOC2"/>
            <w:tabs>
              <w:tab w:val="right" w:leader="dot" w:pos="10110"/>
            </w:tabs>
            <w:rPr>
              <w:noProof/>
            </w:rPr>
          </w:pPr>
          <w:hyperlink w:anchor="_Toc188056429" w:history="1">
            <w:r w:rsidRPr="00A43D14">
              <w:rPr>
                <w:rStyle w:val="Hyperlink"/>
                <w:noProof/>
              </w:rPr>
              <w:t>2.1 Data Collection</w:t>
            </w:r>
            <w:r>
              <w:rPr>
                <w:noProof/>
                <w:webHidden/>
              </w:rPr>
              <w:tab/>
            </w:r>
            <w:r>
              <w:rPr>
                <w:noProof/>
                <w:webHidden/>
              </w:rPr>
              <w:fldChar w:fldCharType="begin"/>
            </w:r>
            <w:r>
              <w:rPr>
                <w:noProof/>
                <w:webHidden/>
              </w:rPr>
              <w:instrText xml:space="preserve"> PAGEREF _Toc188056429 \h </w:instrText>
            </w:r>
            <w:r>
              <w:rPr>
                <w:noProof/>
                <w:webHidden/>
              </w:rPr>
            </w:r>
            <w:r>
              <w:rPr>
                <w:noProof/>
                <w:webHidden/>
              </w:rPr>
              <w:fldChar w:fldCharType="separate"/>
            </w:r>
            <w:r w:rsidR="00F16325">
              <w:rPr>
                <w:noProof/>
                <w:webHidden/>
              </w:rPr>
              <w:t>6</w:t>
            </w:r>
            <w:r>
              <w:rPr>
                <w:noProof/>
                <w:webHidden/>
              </w:rPr>
              <w:fldChar w:fldCharType="end"/>
            </w:r>
          </w:hyperlink>
        </w:p>
        <w:p w14:paraId="6E727CB9" w14:textId="72AA935A" w:rsidR="005E1585" w:rsidRDefault="005E1585">
          <w:pPr>
            <w:pStyle w:val="TOC2"/>
            <w:tabs>
              <w:tab w:val="right" w:leader="dot" w:pos="10110"/>
            </w:tabs>
            <w:rPr>
              <w:noProof/>
            </w:rPr>
          </w:pPr>
          <w:hyperlink w:anchor="_Toc188056430" w:history="1">
            <w:r w:rsidRPr="00A43D14">
              <w:rPr>
                <w:rStyle w:val="Hyperlink"/>
                <w:noProof/>
              </w:rPr>
              <w:t>2.2 Report Design</w:t>
            </w:r>
            <w:r>
              <w:rPr>
                <w:noProof/>
                <w:webHidden/>
              </w:rPr>
              <w:tab/>
            </w:r>
            <w:r>
              <w:rPr>
                <w:noProof/>
                <w:webHidden/>
              </w:rPr>
              <w:fldChar w:fldCharType="begin"/>
            </w:r>
            <w:r>
              <w:rPr>
                <w:noProof/>
                <w:webHidden/>
              </w:rPr>
              <w:instrText xml:space="preserve"> PAGEREF _Toc188056430 \h </w:instrText>
            </w:r>
            <w:r>
              <w:rPr>
                <w:noProof/>
                <w:webHidden/>
              </w:rPr>
            </w:r>
            <w:r>
              <w:rPr>
                <w:noProof/>
                <w:webHidden/>
              </w:rPr>
              <w:fldChar w:fldCharType="separate"/>
            </w:r>
            <w:r w:rsidR="00F16325">
              <w:rPr>
                <w:noProof/>
                <w:webHidden/>
              </w:rPr>
              <w:t>6</w:t>
            </w:r>
            <w:r>
              <w:rPr>
                <w:noProof/>
                <w:webHidden/>
              </w:rPr>
              <w:fldChar w:fldCharType="end"/>
            </w:r>
          </w:hyperlink>
        </w:p>
        <w:p w14:paraId="3927AB8F" w14:textId="04858D7F" w:rsidR="005E1585" w:rsidRDefault="005E1585">
          <w:pPr>
            <w:pStyle w:val="TOC2"/>
            <w:tabs>
              <w:tab w:val="right" w:leader="dot" w:pos="10110"/>
            </w:tabs>
            <w:rPr>
              <w:noProof/>
            </w:rPr>
          </w:pPr>
          <w:hyperlink w:anchor="_Toc188056431" w:history="1">
            <w:r w:rsidRPr="00A43D14">
              <w:rPr>
                <w:rStyle w:val="Hyperlink"/>
                <w:noProof/>
              </w:rPr>
              <w:t>2.3 Data Analysis Techniques Used</w:t>
            </w:r>
            <w:r>
              <w:rPr>
                <w:noProof/>
                <w:webHidden/>
              </w:rPr>
              <w:tab/>
            </w:r>
            <w:r>
              <w:rPr>
                <w:noProof/>
                <w:webHidden/>
              </w:rPr>
              <w:fldChar w:fldCharType="begin"/>
            </w:r>
            <w:r>
              <w:rPr>
                <w:noProof/>
                <w:webHidden/>
              </w:rPr>
              <w:instrText xml:space="preserve"> PAGEREF _Toc188056431 \h </w:instrText>
            </w:r>
            <w:r>
              <w:rPr>
                <w:noProof/>
                <w:webHidden/>
              </w:rPr>
            </w:r>
            <w:r>
              <w:rPr>
                <w:noProof/>
                <w:webHidden/>
              </w:rPr>
              <w:fldChar w:fldCharType="separate"/>
            </w:r>
            <w:r w:rsidR="00F16325">
              <w:rPr>
                <w:noProof/>
                <w:webHidden/>
              </w:rPr>
              <w:t>6</w:t>
            </w:r>
            <w:r>
              <w:rPr>
                <w:noProof/>
                <w:webHidden/>
              </w:rPr>
              <w:fldChar w:fldCharType="end"/>
            </w:r>
          </w:hyperlink>
        </w:p>
        <w:p w14:paraId="41ED6B95" w14:textId="051CD44E" w:rsidR="005E1585" w:rsidRDefault="005E1585">
          <w:pPr>
            <w:pStyle w:val="TOC1"/>
            <w:tabs>
              <w:tab w:val="right" w:leader="dot" w:pos="10110"/>
            </w:tabs>
            <w:rPr>
              <w:noProof/>
            </w:rPr>
          </w:pPr>
          <w:hyperlink w:anchor="_Toc188056432" w:history="1">
            <w:r w:rsidRPr="00A43D14">
              <w:rPr>
                <w:rStyle w:val="Hyperlink"/>
                <w:noProof/>
              </w:rPr>
              <w:t>Chapter 03: Organizational Profile of NLI</w:t>
            </w:r>
            <w:r>
              <w:rPr>
                <w:noProof/>
                <w:webHidden/>
              </w:rPr>
              <w:tab/>
            </w:r>
            <w:r>
              <w:rPr>
                <w:noProof/>
                <w:webHidden/>
              </w:rPr>
              <w:fldChar w:fldCharType="begin"/>
            </w:r>
            <w:r>
              <w:rPr>
                <w:noProof/>
                <w:webHidden/>
              </w:rPr>
              <w:instrText xml:space="preserve"> PAGEREF _Toc188056432 \h </w:instrText>
            </w:r>
            <w:r>
              <w:rPr>
                <w:noProof/>
                <w:webHidden/>
              </w:rPr>
            </w:r>
            <w:r>
              <w:rPr>
                <w:noProof/>
                <w:webHidden/>
              </w:rPr>
              <w:fldChar w:fldCharType="separate"/>
            </w:r>
            <w:r w:rsidR="00F16325">
              <w:rPr>
                <w:noProof/>
                <w:webHidden/>
              </w:rPr>
              <w:t>7</w:t>
            </w:r>
            <w:r>
              <w:rPr>
                <w:noProof/>
                <w:webHidden/>
              </w:rPr>
              <w:fldChar w:fldCharType="end"/>
            </w:r>
          </w:hyperlink>
        </w:p>
        <w:p w14:paraId="4C451CC7" w14:textId="09E907DA" w:rsidR="005E1585" w:rsidRDefault="005E1585">
          <w:pPr>
            <w:pStyle w:val="TOC2"/>
            <w:tabs>
              <w:tab w:val="left" w:pos="720"/>
              <w:tab w:val="right" w:leader="dot" w:pos="10110"/>
            </w:tabs>
            <w:rPr>
              <w:noProof/>
            </w:rPr>
          </w:pPr>
          <w:hyperlink w:anchor="_Toc188056433" w:history="1">
            <w:r w:rsidRPr="00A43D14">
              <w:rPr>
                <w:rStyle w:val="Hyperlink"/>
                <w:noProof/>
              </w:rPr>
              <w:t>3.</w:t>
            </w:r>
            <w:r>
              <w:rPr>
                <w:noProof/>
              </w:rPr>
              <w:tab/>
            </w:r>
            <w:r w:rsidRPr="00A43D14">
              <w:rPr>
                <w:rStyle w:val="Hyperlink"/>
                <w:noProof/>
              </w:rPr>
              <w:t>Brief History</w:t>
            </w:r>
            <w:r>
              <w:rPr>
                <w:noProof/>
                <w:webHidden/>
              </w:rPr>
              <w:tab/>
            </w:r>
            <w:r>
              <w:rPr>
                <w:noProof/>
                <w:webHidden/>
              </w:rPr>
              <w:fldChar w:fldCharType="begin"/>
            </w:r>
            <w:r>
              <w:rPr>
                <w:noProof/>
                <w:webHidden/>
              </w:rPr>
              <w:instrText xml:space="preserve"> PAGEREF _Toc188056433 \h </w:instrText>
            </w:r>
            <w:r>
              <w:rPr>
                <w:noProof/>
                <w:webHidden/>
              </w:rPr>
            </w:r>
            <w:r>
              <w:rPr>
                <w:noProof/>
                <w:webHidden/>
              </w:rPr>
              <w:fldChar w:fldCharType="separate"/>
            </w:r>
            <w:r w:rsidR="00F16325">
              <w:rPr>
                <w:noProof/>
                <w:webHidden/>
              </w:rPr>
              <w:t>7</w:t>
            </w:r>
            <w:r>
              <w:rPr>
                <w:noProof/>
                <w:webHidden/>
              </w:rPr>
              <w:fldChar w:fldCharType="end"/>
            </w:r>
          </w:hyperlink>
        </w:p>
        <w:p w14:paraId="126DDC7B" w14:textId="3FCBB345" w:rsidR="005E1585" w:rsidRDefault="005E1585">
          <w:pPr>
            <w:pStyle w:val="TOC2"/>
            <w:tabs>
              <w:tab w:val="right" w:leader="dot" w:pos="10110"/>
            </w:tabs>
            <w:rPr>
              <w:noProof/>
            </w:rPr>
          </w:pPr>
          <w:hyperlink w:anchor="_Toc188056434" w:history="1">
            <w:r w:rsidRPr="00A43D14">
              <w:rPr>
                <w:rStyle w:val="Hyperlink"/>
                <w:noProof/>
              </w:rPr>
              <w:t>3.1 Introduction of NLI</w:t>
            </w:r>
            <w:r>
              <w:rPr>
                <w:noProof/>
                <w:webHidden/>
              </w:rPr>
              <w:tab/>
            </w:r>
            <w:r>
              <w:rPr>
                <w:noProof/>
                <w:webHidden/>
              </w:rPr>
              <w:fldChar w:fldCharType="begin"/>
            </w:r>
            <w:r>
              <w:rPr>
                <w:noProof/>
                <w:webHidden/>
              </w:rPr>
              <w:instrText xml:space="preserve"> PAGEREF _Toc188056434 \h </w:instrText>
            </w:r>
            <w:r>
              <w:rPr>
                <w:noProof/>
                <w:webHidden/>
              </w:rPr>
            </w:r>
            <w:r>
              <w:rPr>
                <w:noProof/>
                <w:webHidden/>
              </w:rPr>
              <w:fldChar w:fldCharType="separate"/>
            </w:r>
            <w:r w:rsidR="00F16325">
              <w:rPr>
                <w:noProof/>
                <w:webHidden/>
              </w:rPr>
              <w:t>7</w:t>
            </w:r>
            <w:r>
              <w:rPr>
                <w:noProof/>
                <w:webHidden/>
              </w:rPr>
              <w:fldChar w:fldCharType="end"/>
            </w:r>
          </w:hyperlink>
        </w:p>
        <w:p w14:paraId="1BB01A86" w14:textId="6CE09949" w:rsidR="005E1585" w:rsidRDefault="005E1585">
          <w:pPr>
            <w:pStyle w:val="TOC2"/>
            <w:tabs>
              <w:tab w:val="right" w:leader="dot" w:pos="10110"/>
            </w:tabs>
            <w:rPr>
              <w:noProof/>
            </w:rPr>
          </w:pPr>
          <w:hyperlink w:anchor="_Toc188056435" w:history="1">
            <w:r w:rsidRPr="00A43D14">
              <w:rPr>
                <w:rStyle w:val="Hyperlink"/>
                <w:bCs/>
                <w:noProof/>
              </w:rPr>
              <w:t>3.2 Corporate Information</w:t>
            </w:r>
            <w:r w:rsidRPr="00A43D14">
              <w:rPr>
                <w:rStyle w:val="Hyperlink"/>
                <w:rFonts w:cs="Times New Roman"/>
                <w:bCs/>
                <w:noProof/>
              </w:rPr>
              <w:t>:</w:t>
            </w:r>
            <w:r>
              <w:rPr>
                <w:noProof/>
                <w:webHidden/>
              </w:rPr>
              <w:tab/>
            </w:r>
            <w:r>
              <w:rPr>
                <w:noProof/>
                <w:webHidden/>
              </w:rPr>
              <w:fldChar w:fldCharType="begin"/>
            </w:r>
            <w:r>
              <w:rPr>
                <w:noProof/>
                <w:webHidden/>
              </w:rPr>
              <w:instrText xml:space="preserve"> PAGEREF _Toc188056435 \h </w:instrText>
            </w:r>
            <w:r>
              <w:rPr>
                <w:noProof/>
                <w:webHidden/>
              </w:rPr>
            </w:r>
            <w:r>
              <w:rPr>
                <w:noProof/>
                <w:webHidden/>
              </w:rPr>
              <w:fldChar w:fldCharType="separate"/>
            </w:r>
            <w:r w:rsidR="00F16325">
              <w:rPr>
                <w:noProof/>
                <w:webHidden/>
              </w:rPr>
              <w:t>8</w:t>
            </w:r>
            <w:r>
              <w:rPr>
                <w:noProof/>
                <w:webHidden/>
              </w:rPr>
              <w:fldChar w:fldCharType="end"/>
            </w:r>
          </w:hyperlink>
        </w:p>
        <w:p w14:paraId="4DF6573A" w14:textId="70EDE83C" w:rsidR="005E1585" w:rsidRDefault="005E1585">
          <w:pPr>
            <w:pStyle w:val="TOC1"/>
            <w:tabs>
              <w:tab w:val="right" w:leader="dot" w:pos="10110"/>
            </w:tabs>
            <w:rPr>
              <w:noProof/>
            </w:rPr>
          </w:pPr>
          <w:hyperlink w:anchor="_Toc188056436" w:history="1">
            <w:r w:rsidRPr="00A43D14">
              <w:rPr>
                <w:rStyle w:val="Hyperlink"/>
                <w:noProof/>
              </w:rPr>
              <w:t>Chapter 04: Analysis, Interpretation and Result of the Study</w:t>
            </w:r>
            <w:r>
              <w:rPr>
                <w:noProof/>
                <w:webHidden/>
              </w:rPr>
              <w:tab/>
            </w:r>
            <w:r>
              <w:rPr>
                <w:noProof/>
                <w:webHidden/>
              </w:rPr>
              <w:fldChar w:fldCharType="begin"/>
            </w:r>
            <w:r>
              <w:rPr>
                <w:noProof/>
                <w:webHidden/>
              </w:rPr>
              <w:instrText xml:space="preserve"> PAGEREF _Toc188056436 \h </w:instrText>
            </w:r>
            <w:r>
              <w:rPr>
                <w:noProof/>
                <w:webHidden/>
              </w:rPr>
            </w:r>
            <w:r>
              <w:rPr>
                <w:noProof/>
                <w:webHidden/>
              </w:rPr>
              <w:fldChar w:fldCharType="separate"/>
            </w:r>
            <w:r w:rsidR="00F16325">
              <w:rPr>
                <w:noProof/>
                <w:webHidden/>
              </w:rPr>
              <w:t>9</w:t>
            </w:r>
            <w:r>
              <w:rPr>
                <w:noProof/>
                <w:webHidden/>
              </w:rPr>
              <w:fldChar w:fldCharType="end"/>
            </w:r>
          </w:hyperlink>
        </w:p>
        <w:p w14:paraId="7E7D3005" w14:textId="1BDFCA9D" w:rsidR="005E1585" w:rsidRDefault="005E1585">
          <w:pPr>
            <w:pStyle w:val="TOC2"/>
            <w:tabs>
              <w:tab w:val="right" w:leader="dot" w:pos="10110"/>
            </w:tabs>
            <w:rPr>
              <w:noProof/>
            </w:rPr>
          </w:pPr>
          <w:hyperlink w:anchor="_Toc188056437" w:history="1">
            <w:r w:rsidRPr="00A43D14">
              <w:rPr>
                <w:rStyle w:val="Hyperlink"/>
                <w:noProof/>
              </w:rPr>
              <w:t>4. Expenditure to Premium (%): Management Expenses:</w:t>
            </w:r>
            <w:r>
              <w:rPr>
                <w:noProof/>
                <w:webHidden/>
              </w:rPr>
              <w:tab/>
            </w:r>
            <w:r>
              <w:rPr>
                <w:noProof/>
                <w:webHidden/>
              </w:rPr>
              <w:fldChar w:fldCharType="begin"/>
            </w:r>
            <w:r>
              <w:rPr>
                <w:noProof/>
                <w:webHidden/>
              </w:rPr>
              <w:instrText xml:space="preserve"> PAGEREF _Toc188056437 \h </w:instrText>
            </w:r>
            <w:r>
              <w:rPr>
                <w:noProof/>
                <w:webHidden/>
              </w:rPr>
            </w:r>
            <w:r>
              <w:rPr>
                <w:noProof/>
                <w:webHidden/>
              </w:rPr>
              <w:fldChar w:fldCharType="separate"/>
            </w:r>
            <w:r w:rsidR="00F16325">
              <w:rPr>
                <w:noProof/>
                <w:webHidden/>
              </w:rPr>
              <w:t>9</w:t>
            </w:r>
            <w:r>
              <w:rPr>
                <w:noProof/>
                <w:webHidden/>
              </w:rPr>
              <w:fldChar w:fldCharType="end"/>
            </w:r>
          </w:hyperlink>
        </w:p>
        <w:p w14:paraId="23A83BDC" w14:textId="29DC9255" w:rsidR="005E1585" w:rsidRDefault="005E1585">
          <w:pPr>
            <w:pStyle w:val="TOC2"/>
            <w:tabs>
              <w:tab w:val="right" w:leader="dot" w:pos="10110"/>
            </w:tabs>
            <w:rPr>
              <w:noProof/>
            </w:rPr>
          </w:pPr>
          <w:hyperlink w:anchor="_Toc188056438" w:history="1">
            <w:r w:rsidRPr="00A43D14">
              <w:rPr>
                <w:rStyle w:val="Hyperlink"/>
                <w:noProof/>
              </w:rPr>
              <w:t>4.2 Economic Value-Added Statement:</w:t>
            </w:r>
            <w:r>
              <w:rPr>
                <w:noProof/>
                <w:webHidden/>
              </w:rPr>
              <w:tab/>
            </w:r>
            <w:r>
              <w:rPr>
                <w:noProof/>
                <w:webHidden/>
              </w:rPr>
              <w:fldChar w:fldCharType="begin"/>
            </w:r>
            <w:r>
              <w:rPr>
                <w:noProof/>
                <w:webHidden/>
              </w:rPr>
              <w:instrText xml:space="preserve"> PAGEREF _Toc188056438 \h </w:instrText>
            </w:r>
            <w:r>
              <w:rPr>
                <w:noProof/>
                <w:webHidden/>
              </w:rPr>
            </w:r>
            <w:r>
              <w:rPr>
                <w:noProof/>
                <w:webHidden/>
              </w:rPr>
              <w:fldChar w:fldCharType="separate"/>
            </w:r>
            <w:r w:rsidR="00F16325">
              <w:rPr>
                <w:noProof/>
                <w:webHidden/>
              </w:rPr>
              <w:t>10</w:t>
            </w:r>
            <w:r>
              <w:rPr>
                <w:noProof/>
                <w:webHidden/>
              </w:rPr>
              <w:fldChar w:fldCharType="end"/>
            </w:r>
          </w:hyperlink>
        </w:p>
        <w:p w14:paraId="080D2D22" w14:textId="5F60B62D" w:rsidR="005E1585" w:rsidRDefault="005E1585">
          <w:pPr>
            <w:pStyle w:val="TOC2"/>
            <w:tabs>
              <w:tab w:val="right" w:leader="dot" w:pos="10110"/>
            </w:tabs>
            <w:rPr>
              <w:noProof/>
            </w:rPr>
          </w:pPr>
          <w:hyperlink w:anchor="_Toc188056439" w:history="1">
            <w:r w:rsidRPr="00A43D14">
              <w:rPr>
                <w:rStyle w:val="Hyperlink"/>
                <w:noProof/>
              </w:rPr>
              <w:t>4.4 Graphical Presentation of Solvency Ratio</w:t>
            </w:r>
            <w:r>
              <w:rPr>
                <w:noProof/>
                <w:webHidden/>
              </w:rPr>
              <w:tab/>
            </w:r>
            <w:r>
              <w:rPr>
                <w:noProof/>
                <w:webHidden/>
              </w:rPr>
              <w:fldChar w:fldCharType="begin"/>
            </w:r>
            <w:r>
              <w:rPr>
                <w:noProof/>
                <w:webHidden/>
              </w:rPr>
              <w:instrText xml:space="preserve"> PAGEREF _Toc188056439 \h </w:instrText>
            </w:r>
            <w:r>
              <w:rPr>
                <w:noProof/>
                <w:webHidden/>
              </w:rPr>
            </w:r>
            <w:r>
              <w:rPr>
                <w:noProof/>
                <w:webHidden/>
              </w:rPr>
              <w:fldChar w:fldCharType="separate"/>
            </w:r>
            <w:r w:rsidR="00F16325">
              <w:rPr>
                <w:noProof/>
                <w:webHidden/>
              </w:rPr>
              <w:t>11</w:t>
            </w:r>
            <w:r>
              <w:rPr>
                <w:noProof/>
                <w:webHidden/>
              </w:rPr>
              <w:fldChar w:fldCharType="end"/>
            </w:r>
          </w:hyperlink>
        </w:p>
        <w:p w14:paraId="7C892C64" w14:textId="6E6DD154" w:rsidR="005E1585" w:rsidRDefault="005E1585">
          <w:pPr>
            <w:pStyle w:val="TOC2"/>
            <w:tabs>
              <w:tab w:val="right" w:leader="dot" w:pos="10110"/>
            </w:tabs>
            <w:rPr>
              <w:noProof/>
            </w:rPr>
          </w:pPr>
          <w:hyperlink w:anchor="_Toc188056440" w:history="1">
            <w:r w:rsidRPr="00A43D14">
              <w:rPr>
                <w:rStyle w:val="Hyperlink"/>
                <w:noProof/>
              </w:rPr>
              <w:t>4.5 Life</w:t>
            </w:r>
            <w:r w:rsidRPr="00A43D14">
              <w:rPr>
                <w:rStyle w:val="Hyperlink"/>
                <w:noProof/>
                <w:spacing w:val="-4"/>
              </w:rPr>
              <w:t xml:space="preserve"> </w:t>
            </w:r>
            <w:r w:rsidRPr="00A43D14">
              <w:rPr>
                <w:rStyle w:val="Hyperlink"/>
                <w:noProof/>
              </w:rPr>
              <w:t>Revenue</w:t>
            </w:r>
            <w:r w:rsidRPr="00A43D14">
              <w:rPr>
                <w:rStyle w:val="Hyperlink"/>
                <w:noProof/>
                <w:spacing w:val="-14"/>
              </w:rPr>
              <w:t xml:space="preserve"> </w:t>
            </w:r>
            <w:r w:rsidRPr="00A43D14">
              <w:rPr>
                <w:rStyle w:val="Hyperlink"/>
                <w:noProof/>
              </w:rPr>
              <w:t>Account</w:t>
            </w:r>
            <w:r w:rsidRPr="00A43D14">
              <w:rPr>
                <w:rStyle w:val="Hyperlink"/>
                <w:noProof/>
                <w:spacing w:val="-2"/>
              </w:rPr>
              <w:t xml:space="preserve"> </w:t>
            </w:r>
            <w:r w:rsidRPr="00A43D14">
              <w:rPr>
                <w:rStyle w:val="Hyperlink"/>
                <w:noProof/>
              </w:rPr>
              <w:t>(Statement</w:t>
            </w:r>
            <w:r w:rsidRPr="00A43D14">
              <w:rPr>
                <w:rStyle w:val="Hyperlink"/>
                <w:noProof/>
                <w:spacing w:val="-1"/>
              </w:rPr>
              <w:t xml:space="preserve"> </w:t>
            </w:r>
            <w:r w:rsidRPr="00A43D14">
              <w:rPr>
                <w:rStyle w:val="Hyperlink"/>
                <w:noProof/>
              </w:rPr>
              <w:t>of</w:t>
            </w:r>
            <w:r w:rsidRPr="00A43D14">
              <w:rPr>
                <w:rStyle w:val="Hyperlink"/>
                <w:noProof/>
                <w:spacing w:val="-3"/>
              </w:rPr>
              <w:t xml:space="preserve"> </w:t>
            </w:r>
            <w:r w:rsidRPr="00A43D14">
              <w:rPr>
                <w:rStyle w:val="Hyperlink"/>
                <w:noProof/>
              </w:rPr>
              <w:t>Profit</w:t>
            </w:r>
            <w:r w:rsidRPr="00A43D14">
              <w:rPr>
                <w:rStyle w:val="Hyperlink"/>
                <w:noProof/>
                <w:spacing w:val="-2"/>
              </w:rPr>
              <w:t xml:space="preserve"> </w:t>
            </w:r>
            <w:r w:rsidRPr="00A43D14">
              <w:rPr>
                <w:rStyle w:val="Hyperlink"/>
                <w:noProof/>
              </w:rPr>
              <w:t>or</w:t>
            </w:r>
            <w:r w:rsidRPr="00A43D14">
              <w:rPr>
                <w:rStyle w:val="Hyperlink"/>
                <w:noProof/>
                <w:spacing w:val="-1"/>
              </w:rPr>
              <w:t xml:space="preserve"> </w:t>
            </w:r>
            <w:r w:rsidRPr="00A43D14">
              <w:rPr>
                <w:rStyle w:val="Hyperlink"/>
                <w:noProof/>
              </w:rPr>
              <w:t>Loss</w:t>
            </w:r>
            <w:r w:rsidRPr="00A43D14">
              <w:rPr>
                <w:rStyle w:val="Hyperlink"/>
                <w:noProof/>
                <w:spacing w:val="-2"/>
              </w:rPr>
              <w:t xml:space="preserve"> </w:t>
            </w:r>
            <w:r w:rsidRPr="00A43D14">
              <w:rPr>
                <w:rStyle w:val="Hyperlink"/>
                <w:noProof/>
              </w:rPr>
              <w:t>and</w:t>
            </w:r>
            <w:r w:rsidRPr="00A43D14">
              <w:rPr>
                <w:rStyle w:val="Hyperlink"/>
                <w:noProof/>
                <w:spacing w:val="-1"/>
              </w:rPr>
              <w:t xml:space="preserve"> </w:t>
            </w:r>
            <w:r w:rsidRPr="00A43D14">
              <w:rPr>
                <w:rStyle w:val="Hyperlink"/>
                <w:noProof/>
              </w:rPr>
              <w:t>other</w:t>
            </w:r>
            <w:r w:rsidRPr="00A43D14">
              <w:rPr>
                <w:rStyle w:val="Hyperlink"/>
                <w:noProof/>
                <w:spacing w:val="-3"/>
              </w:rPr>
              <w:t xml:space="preserve"> </w:t>
            </w:r>
            <w:r w:rsidRPr="00A43D14">
              <w:rPr>
                <w:rStyle w:val="Hyperlink"/>
                <w:noProof/>
              </w:rPr>
              <w:t>Comprehensive</w:t>
            </w:r>
            <w:r w:rsidRPr="00A43D14">
              <w:rPr>
                <w:rStyle w:val="Hyperlink"/>
                <w:noProof/>
                <w:spacing w:val="-1"/>
              </w:rPr>
              <w:t xml:space="preserve"> </w:t>
            </w:r>
            <w:r w:rsidRPr="00A43D14">
              <w:rPr>
                <w:rStyle w:val="Hyperlink"/>
                <w:noProof/>
                <w:spacing w:val="-2"/>
              </w:rPr>
              <w:t>Income)</w:t>
            </w:r>
            <w:r>
              <w:rPr>
                <w:noProof/>
                <w:webHidden/>
              </w:rPr>
              <w:tab/>
            </w:r>
            <w:r>
              <w:rPr>
                <w:noProof/>
                <w:webHidden/>
              </w:rPr>
              <w:fldChar w:fldCharType="begin"/>
            </w:r>
            <w:r>
              <w:rPr>
                <w:noProof/>
                <w:webHidden/>
              </w:rPr>
              <w:instrText xml:space="preserve"> PAGEREF _Toc188056440 \h </w:instrText>
            </w:r>
            <w:r>
              <w:rPr>
                <w:noProof/>
                <w:webHidden/>
              </w:rPr>
            </w:r>
            <w:r>
              <w:rPr>
                <w:noProof/>
                <w:webHidden/>
              </w:rPr>
              <w:fldChar w:fldCharType="separate"/>
            </w:r>
            <w:r w:rsidR="00F16325">
              <w:rPr>
                <w:noProof/>
                <w:webHidden/>
              </w:rPr>
              <w:t>11</w:t>
            </w:r>
            <w:r>
              <w:rPr>
                <w:noProof/>
                <w:webHidden/>
              </w:rPr>
              <w:fldChar w:fldCharType="end"/>
            </w:r>
          </w:hyperlink>
        </w:p>
        <w:p w14:paraId="3578FDA0" w14:textId="75918359" w:rsidR="005E1585" w:rsidRDefault="005E1585">
          <w:pPr>
            <w:pStyle w:val="TOC1"/>
            <w:tabs>
              <w:tab w:val="right" w:leader="dot" w:pos="10110"/>
            </w:tabs>
            <w:rPr>
              <w:noProof/>
            </w:rPr>
          </w:pPr>
          <w:hyperlink w:anchor="_Toc188056441" w:history="1">
            <w:r w:rsidRPr="00A43D14">
              <w:rPr>
                <w:rStyle w:val="Hyperlink"/>
                <w:noProof/>
              </w:rPr>
              <w:t>Chapter-05: Findings and Conclusion</w:t>
            </w:r>
            <w:r>
              <w:rPr>
                <w:noProof/>
                <w:webHidden/>
              </w:rPr>
              <w:tab/>
            </w:r>
            <w:r>
              <w:rPr>
                <w:noProof/>
                <w:webHidden/>
              </w:rPr>
              <w:fldChar w:fldCharType="begin"/>
            </w:r>
            <w:r>
              <w:rPr>
                <w:noProof/>
                <w:webHidden/>
              </w:rPr>
              <w:instrText xml:space="preserve"> PAGEREF _Toc188056441 \h </w:instrText>
            </w:r>
            <w:r>
              <w:rPr>
                <w:noProof/>
                <w:webHidden/>
              </w:rPr>
            </w:r>
            <w:r>
              <w:rPr>
                <w:noProof/>
                <w:webHidden/>
              </w:rPr>
              <w:fldChar w:fldCharType="separate"/>
            </w:r>
            <w:r w:rsidR="00F16325">
              <w:rPr>
                <w:noProof/>
                <w:webHidden/>
              </w:rPr>
              <w:t>13</w:t>
            </w:r>
            <w:r>
              <w:rPr>
                <w:noProof/>
                <w:webHidden/>
              </w:rPr>
              <w:fldChar w:fldCharType="end"/>
            </w:r>
          </w:hyperlink>
        </w:p>
        <w:p w14:paraId="7DA6C25B" w14:textId="54372C11" w:rsidR="005E1585" w:rsidRDefault="005E1585">
          <w:pPr>
            <w:pStyle w:val="TOC2"/>
            <w:tabs>
              <w:tab w:val="left" w:pos="720"/>
              <w:tab w:val="right" w:leader="dot" w:pos="10110"/>
            </w:tabs>
            <w:rPr>
              <w:noProof/>
            </w:rPr>
          </w:pPr>
          <w:hyperlink w:anchor="_Toc188056442" w:history="1">
            <w:r w:rsidRPr="00A43D14">
              <w:rPr>
                <w:rStyle w:val="Hyperlink"/>
                <w:noProof/>
              </w:rPr>
              <w:t>5.</w:t>
            </w:r>
            <w:r>
              <w:rPr>
                <w:noProof/>
              </w:rPr>
              <w:tab/>
            </w:r>
            <w:r w:rsidRPr="00A43D14">
              <w:rPr>
                <w:rStyle w:val="Hyperlink"/>
                <w:noProof/>
              </w:rPr>
              <w:t>Findings</w:t>
            </w:r>
            <w:r>
              <w:rPr>
                <w:noProof/>
                <w:webHidden/>
              </w:rPr>
              <w:tab/>
            </w:r>
            <w:r>
              <w:rPr>
                <w:noProof/>
                <w:webHidden/>
              </w:rPr>
              <w:fldChar w:fldCharType="begin"/>
            </w:r>
            <w:r>
              <w:rPr>
                <w:noProof/>
                <w:webHidden/>
              </w:rPr>
              <w:instrText xml:space="preserve"> PAGEREF _Toc188056442 \h </w:instrText>
            </w:r>
            <w:r>
              <w:rPr>
                <w:noProof/>
                <w:webHidden/>
              </w:rPr>
            </w:r>
            <w:r>
              <w:rPr>
                <w:noProof/>
                <w:webHidden/>
              </w:rPr>
              <w:fldChar w:fldCharType="separate"/>
            </w:r>
            <w:r w:rsidR="00F16325">
              <w:rPr>
                <w:noProof/>
                <w:webHidden/>
              </w:rPr>
              <w:t>13</w:t>
            </w:r>
            <w:r>
              <w:rPr>
                <w:noProof/>
                <w:webHidden/>
              </w:rPr>
              <w:fldChar w:fldCharType="end"/>
            </w:r>
          </w:hyperlink>
        </w:p>
        <w:p w14:paraId="017B1818" w14:textId="6A8B031C" w:rsidR="005E1585" w:rsidRDefault="005E1585">
          <w:pPr>
            <w:pStyle w:val="TOC2"/>
            <w:tabs>
              <w:tab w:val="right" w:leader="dot" w:pos="10110"/>
            </w:tabs>
            <w:rPr>
              <w:noProof/>
            </w:rPr>
          </w:pPr>
          <w:hyperlink w:anchor="_Toc188056443" w:history="1">
            <w:r w:rsidRPr="00A43D14">
              <w:rPr>
                <w:rStyle w:val="Hyperlink"/>
                <w:noProof/>
              </w:rPr>
              <w:t>5.2 Conclusion</w:t>
            </w:r>
            <w:r>
              <w:rPr>
                <w:noProof/>
                <w:webHidden/>
              </w:rPr>
              <w:tab/>
            </w:r>
            <w:r>
              <w:rPr>
                <w:noProof/>
                <w:webHidden/>
              </w:rPr>
              <w:fldChar w:fldCharType="begin"/>
            </w:r>
            <w:r>
              <w:rPr>
                <w:noProof/>
                <w:webHidden/>
              </w:rPr>
              <w:instrText xml:space="preserve"> PAGEREF _Toc188056443 \h </w:instrText>
            </w:r>
            <w:r>
              <w:rPr>
                <w:noProof/>
                <w:webHidden/>
              </w:rPr>
            </w:r>
            <w:r>
              <w:rPr>
                <w:noProof/>
                <w:webHidden/>
              </w:rPr>
              <w:fldChar w:fldCharType="separate"/>
            </w:r>
            <w:r w:rsidR="00F16325">
              <w:rPr>
                <w:noProof/>
                <w:webHidden/>
              </w:rPr>
              <w:t>14</w:t>
            </w:r>
            <w:r>
              <w:rPr>
                <w:noProof/>
                <w:webHidden/>
              </w:rPr>
              <w:fldChar w:fldCharType="end"/>
            </w:r>
          </w:hyperlink>
        </w:p>
        <w:p w14:paraId="6A580E15" w14:textId="019EAB03" w:rsidR="005E1585" w:rsidRDefault="005E1585">
          <w:pPr>
            <w:pStyle w:val="TOC2"/>
            <w:tabs>
              <w:tab w:val="right" w:leader="dot" w:pos="10110"/>
            </w:tabs>
            <w:rPr>
              <w:noProof/>
            </w:rPr>
          </w:pPr>
          <w:hyperlink w:anchor="_Toc188056444" w:history="1">
            <w:r w:rsidRPr="00A43D14">
              <w:rPr>
                <w:rStyle w:val="Hyperlink"/>
                <w:noProof/>
              </w:rPr>
              <w:t>Reference</w:t>
            </w:r>
            <w:r>
              <w:rPr>
                <w:noProof/>
                <w:webHidden/>
              </w:rPr>
              <w:tab/>
            </w:r>
            <w:r>
              <w:rPr>
                <w:noProof/>
                <w:webHidden/>
              </w:rPr>
              <w:fldChar w:fldCharType="begin"/>
            </w:r>
            <w:r>
              <w:rPr>
                <w:noProof/>
                <w:webHidden/>
              </w:rPr>
              <w:instrText xml:space="preserve"> PAGEREF _Toc188056444 \h </w:instrText>
            </w:r>
            <w:r>
              <w:rPr>
                <w:noProof/>
                <w:webHidden/>
              </w:rPr>
            </w:r>
            <w:r>
              <w:rPr>
                <w:noProof/>
                <w:webHidden/>
              </w:rPr>
              <w:fldChar w:fldCharType="separate"/>
            </w:r>
            <w:r w:rsidR="00F16325">
              <w:rPr>
                <w:noProof/>
                <w:webHidden/>
              </w:rPr>
              <w:t>15</w:t>
            </w:r>
            <w:r>
              <w:rPr>
                <w:noProof/>
                <w:webHidden/>
              </w:rPr>
              <w:fldChar w:fldCharType="end"/>
            </w:r>
          </w:hyperlink>
        </w:p>
        <w:p w14:paraId="406417D9" w14:textId="4F2132C4" w:rsidR="00994053" w:rsidRDefault="00994053">
          <w:r>
            <w:rPr>
              <w:b/>
              <w:bCs/>
              <w:noProof/>
            </w:rPr>
            <w:fldChar w:fldCharType="end"/>
          </w:r>
        </w:p>
      </w:sdtContent>
    </w:sdt>
    <w:p w14:paraId="054330D2" w14:textId="77777777" w:rsidR="00994053" w:rsidRDefault="00994053" w:rsidP="001D210F">
      <w:pPr>
        <w:rPr>
          <w:rFonts w:ascii="Times New Roman" w:hAnsi="Times New Roman" w:cs="Times New Roman"/>
          <w:b/>
          <w:bCs/>
          <w:iCs/>
          <w:sz w:val="28"/>
          <w:szCs w:val="28"/>
        </w:rPr>
      </w:pPr>
    </w:p>
    <w:p w14:paraId="349C255E" w14:textId="77777777" w:rsidR="001D210F" w:rsidRDefault="001D210F" w:rsidP="001D210F">
      <w:pPr>
        <w:rPr>
          <w:rFonts w:ascii="Times New Roman" w:hAnsi="Times New Roman" w:cs="Times New Roman"/>
          <w:b/>
          <w:bCs/>
        </w:rPr>
      </w:pPr>
    </w:p>
    <w:p w14:paraId="21C4B996" w14:textId="77777777" w:rsidR="001D210F" w:rsidRDefault="001D210F" w:rsidP="001D210F">
      <w:pPr>
        <w:rPr>
          <w:rFonts w:ascii="Times New Roman" w:hAnsi="Times New Roman" w:cs="Times New Roman"/>
          <w:b/>
          <w:bCs/>
        </w:rPr>
      </w:pPr>
    </w:p>
    <w:p w14:paraId="7BED197F" w14:textId="77777777" w:rsidR="001D210F" w:rsidRDefault="001D210F" w:rsidP="001D210F">
      <w:pPr>
        <w:rPr>
          <w:rFonts w:ascii="Times New Roman" w:hAnsi="Times New Roman" w:cs="Times New Roman"/>
          <w:b/>
          <w:bCs/>
        </w:rPr>
      </w:pPr>
    </w:p>
    <w:p w14:paraId="3622E902" w14:textId="77777777" w:rsidR="001D210F" w:rsidRDefault="001D210F" w:rsidP="001D210F">
      <w:pPr>
        <w:rPr>
          <w:rFonts w:ascii="Times New Roman" w:hAnsi="Times New Roman" w:cs="Times New Roman"/>
          <w:b/>
          <w:bCs/>
        </w:rPr>
      </w:pPr>
    </w:p>
    <w:p w14:paraId="6F3EE0F4" w14:textId="77777777" w:rsidR="001D210F" w:rsidRDefault="001D210F" w:rsidP="001D210F">
      <w:pPr>
        <w:rPr>
          <w:rFonts w:ascii="Times New Roman" w:hAnsi="Times New Roman" w:cs="Times New Roman"/>
          <w:b/>
          <w:bCs/>
        </w:rPr>
      </w:pPr>
    </w:p>
    <w:p w14:paraId="73312968" w14:textId="50913F86" w:rsidR="001E3E7A" w:rsidRPr="001D210F" w:rsidRDefault="001E3E7A" w:rsidP="006C5C84">
      <w:pPr>
        <w:pStyle w:val="Heading1"/>
        <w:rPr>
          <w:iCs/>
          <w:sz w:val="28"/>
          <w:szCs w:val="28"/>
        </w:rPr>
      </w:pPr>
      <w:bookmarkStart w:id="0" w:name="_Toc188056423"/>
      <w:r w:rsidRPr="00321DEC">
        <w:t>Chapter 01: Introduction</w:t>
      </w:r>
      <w:bookmarkEnd w:id="0"/>
    </w:p>
    <w:p w14:paraId="74203BCA" w14:textId="78B4668D" w:rsidR="00693379" w:rsidRPr="008A75F2" w:rsidRDefault="00693379" w:rsidP="006C5C84">
      <w:pPr>
        <w:pStyle w:val="Heading2"/>
        <w:numPr>
          <w:ilvl w:val="0"/>
          <w:numId w:val="30"/>
        </w:numPr>
      </w:pPr>
      <w:bookmarkStart w:id="1" w:name="_Toc188056424"/>
      <w:r w:rsidRPr="00321DEC">
        <w:t>Introduction</w:t>
      </w:r>
      <w:bookmarkEnd w:id="1"/>
      <w:r w:rsidRPr="00321DEC">
        <w:t xml:space="preserve"> </w:t>
      </w:r>
    </w:p>
    <w:p w14:paraId="13A2B556" w14:textId="3F22104A" w:rsidR="00A2327D" w:rsidRPr="00321DEC" w:rsidRDefault="00C9671C" w:rsidP="00321DEC">
      <w:pPr>
        <w:spacing w:line="360" w:lineRule="auto"/>
        <w:jc w:val="both"/>
        <w:rPr>
          <w:rFonts w:ascii="Times New Roman" w:hAnsi="Times New Roman" w:cs="Times New Roman"/>
        </w:rPr>
      </w:pPr>
      <w:r w:rsidRPr="00321DEC">
        <w:rPr>
          <w:rFonts w:ascii="Times New Roman" w:hAnsi="Times New Roman" w:cs="Times New Roman"/>
        </w:rPr>
        <w:tab/>
        <w:t xml:space="preserve">This report presents a comprehensive analysis of the financial trends and growth strategies of National Life Insurance Company Ltd. Over an eight-year period, from 2015 to 2022. As a leading player in the life insurance sector, understanding the financial dynamics and strategic positioning of such companies is crucial for stakeholders, including investors, policymakers, and industry </w:t>
      </w:r>
      <w:r w:rsidR="00A663B6" w:rsidRPr="00321DEC">
        <w:rPr>
          <w:rFonts w:ascii="Times New Roman" w:hAnsi="Times New Roman" w:cs="Times New Roman"/>
        </w:rPr>
        <w:t>analysts. National</w:t>
      </w:r>
      <w:r w:rsidRPr="00321DEC">
        <w:rPr>
          <w:rFonts w:ascii="Times New Roman" w:hAnsi="Times New Roman" w:cs="Times New Roman"/>
        </w:rPr>
        <w:t xml:space="preserve"> Life Insurance Company Ltd. </w:t>
      </w:r>
    </w:p>
    <w:p w14:paraId="5894176C" w14:textId="1AFA8D19" w:rsidR="00A06B04" w:rsidRPr="00321DEC" w:rsidRDefault="00693379" w:rsidP="00321DEC">
      <w:pPr>
        <w:spacing w:line="360" w:lineRule="auto"/>
        <w:jc w:val="both"/>
        <w:rPr>
          <w:rFonts w:ascii="Times New Roman" w:hAnsi="Times New Roman" w:cs="Times New Roman"/>
        </w:rPr>
      </w:pPr>
      <w:r w:rsidRPr="00321DEC">
        <w:rPr>
          <w:rFonts w:ascii="Times New Roman" w:hAnsi="Times New Roman" w:cs="Times New Roman"/>
        </w:rPr>
        <w:tab/>
      </w:r>
      <w:r w:rsidR="00A2327D" w:rsidRPr="00321DEC">
        <w:rPr>
          <w:rFonts w:ascii="Times New Roman" w:hAnsi="Times New Roman" w:cs="Times New Roman"/>
        </w:rPr>
        <w:t>This internship provided an opportunity to apply academic learnings in a real-world context, allowing for a deeper understanding of financial analysis, strategic decision-making, and industry-specific challenges. The findings and insights from this report are intended to contribute to strategic discussions and future planning for National Life Insurance Company Ltd</w:t>
      </w:r>
      <w:r w:rsidR="002A2389">
        <w:rPr>
          <w:rFonts w:ascii="Times New Roman" w:hAnsi="Times New Roman" w:cs="Times New Roman"/>
        </w:rPr>
        <w:t>.</w:t>
      </w:r>
    </w:p>
    <w:p w14:paraId="44537E73" w14:textId="39460A33" w:rsidR="00062D9F" w:rsidRPr="00321DEC" w:rsidRDefault="006C5C84" w:rsidP="006C5C84">
      <w:pPr>
        <w:pStyle w:val="Heading2"/>
      </w:pPr>
      <w:bookmarkStart w:id="2" w:name="_Toc188056425"/>
      <w:r>
        <w:t xml:space="preserve">1.1 </w:t>
      </w:r>
      <w:r w:rsidR="00062D9F" w:rsidRPr="00321DEC">
        <w:t>Rationale of the Study</w:t>
      </w:r>
      <w:bookmarkEnd w:id="2"/>
      <w:r w:rsidR="00062D9F" w:rsidRPr="00321DEC">
        <w:t xml:space="preserve"> </w:t>
      </w:r>
    </w:p>
    <w:p w14:paraId="5226D10D" w14:textId="18D7BC01" w:rsidR="00E65119" w:rsidRPr="00321DEC" w:rsidRDefault="00062D9F" w:rsidP="00321DEC">
      <w:pPr>
        <w:spacing w:line="360" w:lineRule="auto"/>
        <w:jc w:val="both"/>
        <w:rPr>
          <w:rFonts w:ascii="Times New Roman" w:hAnsi="Times New Roman" w:cs="Times New Roman"/>
        </w:rPr>
      </w:pPr>
      <w:r w:rsidRPr="00321DEC">
        <w:rPr>
          <w:rFonts w:ascii="Times New Roman" w:hAnsi="Times New Roman" w:cs="Times New Roman"/>
        </w:rPr>
        <w:tab/>
      </w:r>
      <w:r w:rsidR="00EF0178" w:rsidRPr="00321DEC">
        <w:rPr>
          <w:rFonts w:ascii="Times New Roman" w:hAnsi="Times New Roman" w:cs="Times New Roman"/>
        </w:rPr>
        <w:t>As the financial environment becomes increasingly volatile and competitive, it is essential to continuously evaluate the financial health and strategic direction of leading companies within the industry.</w:t>
      </w:r>
      <w:r w:rsidR="002B2EA8" w:rsidRPr="00321DEC">
        <w:rPr>
          <w:rFonts w:ascii="Times New Roman" w:hAnsi="Times New Roman" w:cs="Times New Roman"/>
        </w:rPr>
        <w:t xml:space="preserve"> </w:t>
      </w:r>
      <w:r w:rsidR="00EF0178" w:rsidRPr="00321DEC">
        <w:rPr>
          <w:rFonts w:ascii="Times New Roman" w:hAnsi="Times New Roman" w:cs="Times New Roman"/>
        </w:rPr>
        <w:t xml:space="preserve">This study is driven by several key </w:t>
      </w:r>
      <w:r w:rsidR="00082C02" w:rsidRPr="00321DEC">
        <w:rPr>
          <w:rFonts w:ascii="Times New Roman" w:hAnsi="Times New Roman" w:cs="Times New Roman"/>
        </w:rPr>
        <w:t>rationales</w:t>
      </w:r>
      <w:r w:rsidR="00E65119" w:rsidRPr="00321DEC">
        <w:rPr>
          <w:rFonts w:ascii="Times New Roman" w:hAnsi="Times New Roman" w:cs="Times New Roman"/>
        </w:rPr>
        <w:t>:</w:t>
      </w:r>
    </w:p>
    <w:p w14:paraId="40938DA9" w14:textId="22B57E15" w:rsidR="00696091" w:rsidRPr="00321DEC" w:rsidRDefault="00EF0178" w:rsidP="00786588">
      <w:pPr>
        <w:pStyle w:val="ListParagraph"/>
        <w:numPr>
          <w:ilvl w:val="0"/>
          <w:numId w:val="2"/>
        </w:numPr>
        <w:spacing w:line="360" w:lineRule="auto"/>
        <w:jc w:val="both"/>
        <w:rPr>
          <w:rFonts w:ascii="Times New Roman" w:hAnsi="Times New Roman" w:cs="Times New Roman"/>
        </w:rPr>
      </w:pPr>
      <w:r w:rsidRPr="00321DEC">
        <w:rPr>
          <w:rFonts w:ascii="Times New Roman" w:hAnsi="Times New Roman" w:cs="Times New Roman"/>
          <w:b/>
          <w:bCs/>
        </w:rPr>
        <w:t xml:space="preserve">Evaluating Growth Strategies: </w:t>
      </w:r>
      <w:r w:rsidRPr="00321DEC">
        <w:rPr>
          <w:rFonts w:ascii="Times New Roman" w:hAnsi="Times New Roman" w:cs="Times New Roman"/>
        </w:rPr>
        <w:t>The analysis includes an evaluation of the strategic initiatives taken by the company to drive growth and expand its market presence. This involves looking into new product developments, market expansion strategies, mergers and acquisitions, and partnerships.</w:t>
      </w:r>
    </w:p>
    <w:p w14:paraId="3DC6CA95" w14:textId="0991AEA1" w:rsidR="006C5C84" w:rsidRDefault="00EF0178" w:rsidP="006C5C84">
      <w:pPr>
        <w:pStyle w:val="ListParagraph"/>
        <w:numPr>
          <w:ilvl w:val="0"/>
          <w:numId w:val="2"/>
        </w:numPr>
        <w:spacing w:line="360" w:lineRule="auto"/>
        <w:jc w:val="both"/>
        <w:rPr>
          <w:rFonts w:ascii="Times New Roman" w:hAnsi="Times New Roman" w:cs="Times New Roman"/>
        </w:rPr>
      </w:pPr>
      <w:r w:rsidRPr="00321DEC">
        <w:rPr>
          <w:rFonts w:ascii="Times New Roman" w:hAnsi="Times New Roman" w:cs="Times New Roman"/>
          <w:b/>
          <w:bCs/>
        </w:rPr>
        <w:t>Future Outlook:</w:t>
      </w:r>
      <w:r w:rsidR="00696091" w:rsidRPr="00321DEC">
        <w:rPr>
          <w:rFonts w:ascii="Times New Roman" w:hAnsi="Times New Roman" w:cs="Times New Roman"/>
        </w:rPr>
        <w:t xml:space="preserve"> T</w:t>
      </w:r>
      <w:r w:rsidRPr="00321DEC">
        <w:rPr>
          <w:rFonts w:ascii="Times New Roman" w:hAnsi="Times New Roman" w:cs="Times New Roman"/>
        </w:rPr>
        <w:t>his study also seeks to forecast the future trajectory of the company based on current and historical data. This will aid in identifying potential opportunities and challenges the company might face and propose strategic recommendations.</w:t>
      </w:r>
    </w:p>
    <w:p w14:paraId="517CDD3F" w14:textId="77777777" w:rsidR="006C5C84" w:rsidRPr="006C5C84" w:rsidRDefault="006C5C84" w:rsidP="006C5C84">
      <w:pPr>
        <w:pStyle w:val="ListParagraph"/>
        <w:spacing w:line="360" w:lineRule="auto"/>
        <w:jc w:val="both"/>
        <w:rPr>
          <w:rFonts w:ascii="Times New Roman" w:hAnsi="Times New Roman" w:cs="Times New Roman"/>
        </w:rPr>
      </w:pPr>
    </w:p>
    <w:p w14:paraId="1FD8BCD1" w14:textId="7F0E028E" w:rsidR="00DF33BA" w:rsidRPr="006C5C84" w:rsidRDefault="00DF33BA" w:rsidP="006C5C84">
      <w:pPr>
        <w:pStyle w:val="ListParagraph"/>
        <w:numPr>
          <w:ilvl w:val="1"/>
          <w:numId w:val="30"/>
        </w:numPr>
        <w:spacing w:line="360" w:lineRule="auto"/>
        <w:jc w:val="both"/>
        <w:rPr>
          <w:rFonts w:ascii="Times New Roman" w:hAnsi="Times New Roman" w:cs="Times New Roman"/>
          <w:b/>
          <w:bCs/>
        </w:rPr>
      </w:pPr>
      <w:r w:rsidRPr="006C5C84">
        <w:rPr>
          <w:rFonts w:ascii="Times New Roman" w:hAnsi="Times New Roman" w:cs="Times New Roman"/>
          <w:b/>
          <w:bCs/>
        </w:rPr>
        <w:t>Objectives of the Study:</w:t>
      </w:r>
      <w:r w:rsidR="00B10CD4" w:rsidRPr="006C5C84">
        <w:rPr>
          <w:rFonts w:ascii="Times New Roman" w:hAnsi="Times New Roman" w:cs="Times New Roman"/>
          <w:b/>
          <w:bCs/>
        </w:rPr>
        <w:t xml:space="preserve"> </w:t>
      </w:r>
    </w:p>
    <w:p w14:paraId="106F46B9" w14:textId="37F2EBF2" w:rsidR="00F63189" w:rsidRPr="008A75F2" w:rsidRDefault="00F63189" w:rsidP="008A75F2">
      <w:pPr>
        <w:pStyle w:val="ListParagraph"/>
        <w:numPr>
          <w:ilvl w:val="0"/>
          <w:numId w:val="29"/>
        </w:numPr>
        <w:spacing w:line="360" w:lineRule="auto"/>
        <w:jc w:val="both"/>
        <w:rPr>
          <w:rFonts w:ascii="Times New Roman" w:hAnsi="Times New Roman" w:cs="Times New Roman"/>
        </w:rPr>
      </w:pPr>
      <w:r w:rsidRPr="008A75F2">
        <w:rPr>
          <w:rFonts w:ascii="Times New Roman" w:hAnsi="Times New Roman" w:cs="Times New Roman"/>
          <w:b/>
          <w:bCs/>
        </w:rPr>
        <w:t>T</w:t>
      </w:r>
      <w:r w:rsidR="004B61DF" w:rsidRPr="008A75F2">
        <w:rPr>
          <w:rFonts w:ascii="Times New Roman" w:hAnsi="Times New Roman" w:cs="Times New Roman"/>
          <w:b/>
          <w:bCs/>
        </w:rPr>
        <w:t>o Evaluate Competitive Positioning</w:t>
      </w:r>
      <w:r w:rsidR="008B781A" w:rsidRPr="008A75F2">
        <w:rPr>
          <w:rFonts w:ascii="Times New Roman" w:hAnsi="Times New Roman" w:cs="Times New Roman"/>
          <w:b/>
          <w:bCs/>
        </w:rPr>
        <w:t>:</w:t>
      </w:r>
      <w:r w:rsidR="008B781A" w:rsidRPr="008A75F2">
        <w:rPr>
          <w:rFonts w:ascii="Times New Roman" w:hAnsi="Times New Roman" w:cs="Times New Roman"/>
        </w:rPr>
        <w:t xml:space="preserve"> </w:t>
      </w:r>
      <w:r w:rsidR="004B61DF" w:rsidRPr="008A75F2">
        <w:rPr>
          <w:rFonts w:ascii="Times New Roman" w:hAnsi="Times New Roman" w:cs="Times New Roman"/>
        </w:rPr>
        <w:t>Identify the company’s market share and analyze its position relative to competitors in the insurance industry</w:t>
      </w:r>
      <w:r w:rsidR="008B781A" w:rsidRPr="008A75F2">
        <w:rPr>
          <w:rFonts w:ascii="Times New Roman" w:hAnsi="Times New Roman" w:cs="Times New Roman"/>
        </w:rPr>
        <w:t xml:space="preserve">. </w:t>
      </w:r>
      <w:r w:rsidR="004B61DF" w:rsidRPr="008A75F2">
        <w:rPr>
          <w:rFonts w:ascii="Times New Roman" w:hAnsi="Times New Roman" w:cs="Times New Roman"/>
        </w:rPr>
        <w:t>Conduct a SWOT analysis to identify strengths, weaknesses, opportunities, and threats facing the company.</w:t>
      </w:r>
      <w:r w:rsidR="00DC1E08" w:rsidRPr="008A75F2">
        <w:rPr>
          <w:rFonts w:ascii="Times New Roman" w:hAnsi="Times New Roman" w:cs="Times New Roman"/>
        </w:rPr>
        <w:t xml:space="preserve"> C</w:t>
      </w:r>
      <w:r w:rsidRPr="008A75F2">
        <w:rPr>
          <w:rFonts w:ascii="Times New Roman" w:hAnsi="Times New Roman" w:cs="Times New Roman"/>
        </w:rPr>
        <w:t>o</w:t>
      </w:r>
      <w:r w:rsidR="004B61DF" w:rsidRPr="008A75F2">
        <w:rPr>
          <w:rFonts w:ascii="Times New Roman" w:hAnsi="Times New Roman" w:cs="Times New Roman"/>
        </w:rPr>
        <w:t>mpare the company’s performance against industry benchmarks to gauge its competitive advantage.</w:t>
      </w:r>
    </w:p>
    <w:p w14:paraId="729466E6" w14:textId="7F618B0C" w:rsidR="002A2389" w:rsidRPr="006C5C84" w:rsidRDefault="004B61DF" w:rsidP="00321DEC">
      <w:pPr>
        <w:pStyle w:val="ListParagraph"/>
        <w:numPr>
          <w:ilvl w:val="0"/>
          <w:numId w:val="3"/>
        </w:numPr>
        <w:spacing w:line="360" w:lineRule="auto"/>
        <w:jc w:val="both"/>
        <w:rPr>
          <w:rFonts w:ascii="Times New Roman" w:hAnsi="Times New Roman" w:cs="Times New Roman"/>
        </w:rPr>
      </w:pPr>
      <w:r w:rsidRPr="00321DEC">
        <w:rPr>
          <w:rFonts w:ascii="Times New Roman" w:hAnsi="Times New Roman" w:cs="Times New Roman"/>
          <w:b/>
          <w:bCs/>
        </w:rPr>
        <w:lastRenderedPageBreak/>
        <w:t>To Forecast Future Trends and Opportunities</w:t>
      </w:r>
      <w:r w:rsidR="00477390" w:rsidRPr="00321DEC">
        <w:rPr>
          <w:rFonts w:ascii="Times New Roman" w:hAnsi="Times New Roman" w:cs="Times New Roman"/>
          <w:b/>
          <w:bCs/>
        </w:rPr>
        <w:t>:</w:t>
      </w:r>
      <w:r w:rsidRPr="00321DEC">
        <w:rPr>
          <w:rFonts w:ascii="Times New Roman" w:hAnsi="Times New Roman" w:cs="Times New Roman"/>
          <w:b/>
          <w:bCs/>
        </w:rPr>
        <w:t xml:space="preserve"> </w:t>
      </w:r>
      <w:r w:rsidRPr="00321DEC">
        <w:rPr>
          <w:rFonts w:ascii="Times New Roman" w:hAnsi="Times New Roman" w:cs="Times New Roman"/>
        </w:rPr>
        <w:t>Predict future trends in the insurance industry and how they might impact National Life Insurance Company Ltd</w:t>
      </w:r>
      <w:r w:rsidR="00477390" w:rsidRPr="00321DEC">
        <w:rPr>
          <w:rFonts w:ascii="Times New Roman" w:hAnsi="Times New Roman" w:cs="Times New Roman"/>
        </w:rPr>
        <w:t>.</w:t>
      </w:r>
      <w:r w:rsidRPr="00321DEC">
        <w:rPr>
          <w:rFonts w:ascii="Times New Roman" w:hAnsi="Times New Roman" w:cs="Times New Roman"/>
        </w:rPr>
        <w:t xml:space="preserve"> Propose strategic recommendations based on the analysis that could help the company in sustaining growth and improving competitive advantage.</w:t>
      </w:r>
    </w:p>
    <w:p w14:paraId="6231CBD7" w14:textId="5FEB2BAC" w:rsidR="00767B21" w:rsidRPr="006C5C84" w:rsidRDefault="006C5C84" w:rsidP="006C5C84">
      <w:pPr>
        <w:pStyle w:val="Heading2"/>
      </w:pPr>
      <w:bookmarkStart w:id="3" w:name="_Toc188056426"/>
      <w:r>
        <w:t xml:space="preserve">1.3 </w:t>
      </w:r>
      <w:r w:rsidR="00BF1891" w:rsidRPr="006C5C84">
        <w:t>Limitations of the</w:t>
      </w:r>
      <w:r w:rsidR="00D13779" w:rsidRPr="006C5C84">
        <w:t xml:space="preserve"> Study:</w:t>
      </w:r>
      <w:bookmarkEnd w:id="3"/>
    </w:p>
    <w:p w14:paraId="4FC43156" w14:textId="77777777" w:rsidR="003142D9" w:rsidRPr="00321DEC" w:rsidRDefault="003142D9" w:rsidP="00321DEC">
      <w:pPr>
        <w:spacing w:line="360" w:lineRule="auto"/>
        <w:jc w:val="both"/>
        <w:rPr>
          <w:rFonts w:ascii="Times New Roman" w:hAnsi="Times New Roman" w:cs="Times New Roman"/>
        </w:rPr>
      </w:pPr>
      <w:r w:rsidRPr="00321DEC">
        <w:rPr>
          <w:rFonts w:ascii="Times New Roman" w:hAnsi="Times New Roman" w:cs="Times New Roman"/>
        </w:rPr>
        <w:t>The scope and accuracy of this study are subject to several limitations that stem from practical constraints and the nature of the data available. These limitations are important to acknowledge as they impact the conclusions and the overall comprehensiveness of the analysis:</w:t>
      </w:r>
    </w:p>
    <w:p w14:paraId="0DE1EE9E" w14:textId="1209826C" w:rsidR="00EE26E6" w:rsidRPr="00321DEC" w:rsidRDefault="00D13779" w:rsidP="00786588">
      <w:pPr>
        <w:pStyle w:val="ListParagraph"/>
        <w:numPr>
          <w:ilvl w:val="0"/>
          <w:numId w:val="18"/>
        </w:numPr>
        <w:spacing w:line="360" w:lineRule="auto"/>
        <w:jc w:val="both"/>
        <w:rPr>
          <w:rFonts w:ascii="Times New Roman" w:hAnsi="Times New Roman" w:cs="Times New Roman"/>
        </w:rPr>
      </w:pPr>
      <w:r w:rsidRPr="00321DEC">
        <w:rPr>
          <w:rFonts w:ascii="Times New Roman" w:hAnsi="Times New Roman" w:cs="Times New Roman"/>
          <w:b/>
          <w:bCs/>
        </w:rPr>
        <w:t>T</w:t>
      </w:r>
      <w:r w:rsidR="003142D9" w:rsidRPr="00321DEC">
        <w:rPr>
          <w:rFonts w:ascii="Times New Roman" w:hAnsi="Times New Roman" w:cs="Times New Roman"/>
          <w:b/>
          <w:bCs/>
        </w:rPr>
        <w:t>ime Limitation:</w:t>
      </w:r>
      <w:r w:rsidR="003142D9" w:rsidRPr="00321DEC">
        <w:rPr>
          <w:rFonts w:ascii="Times New Roman" w:hAnsi="Times New Roman" w:cs="Times New Roman"/>
        </w:rPr>
        <w:t xml:space="preserve"> The duration of the internship was only three months, which significantly limited the depth of analysis that could be conducted. This time constraint impacted the ability to perform longitudinal studies or deeper, more comprehensive analyses that might require extended periods of observation and data collection.</w:t>
      </w:r>
    </w:p>
    <w:p w14:paraId="13CFEAD0" w14:textId="1AD2AE6C" w:rsidR="003142D9" w:rsidRPr="00321DEC" w:rsidRDefault="003142D9" w:rsidP="00786588">
      <w:pPr>
        <w:pStyle w:val="ListParagraph"/>
        <w:numPr>
          <w:ilvl w:val="0"/>
          <w:numId w:val="18"/>
        </w:numPr>
        <w:spacing w:line="360" w:lineRule="auto"/>
        <w:jc w:val="both"/>
        <w:rPr>
          <w:rFonts w:ascii="Times New Roman" w:hAnsi="Times New Roman" w:cs="Times New Roman"/>
        </w:rPr>
      </w:pPr>
      <w:r w:rsidRPr="00321DEC">
        <w:rPr>
          <w:rFonts w:ascii="Times New Roman" w:hAnsi="Times New Roman" w:cs="Times New Roman"/>
          <w:b/>
          <w:bCs/>
        </w:rPr>
        <w:t>Rapidly Changing Market Conditions:</w:t>
      </w:r>
      <w:r w:rsidR="00D13779" w:rsidRPr="00321DEC">
        <w:rPr>
          <w:rFonts w:ascii="Times New Roman" w:hAnsi="Times New Roman" w:cs="Times New Roman"/>
        </w:rPr>
        <w:t xml:space="preserve"> </w:t>
      </w:r>
      <w:r w:rsidRPr="00321DEC">
        <w:rPr>
          <w:rFonts w:ascii="Times New Roman" w:hAnsi="Times New Roman" w:cs="Times New Roman"/>
        </w:rPr>
        <w:t xml:space="preserve">The insurance market is influenced by rapidly changing regulatory, and technological factors. Since the data collection is </w:t>
      </w:r>
      <w:r w:rsidR="00E61C76" w:rsidRPr="00321DEC">
        <w:rPr>
          <w:rFonts w:ascii="Times New Roman" w:hAnsi="Times New Roman" w:cs="Times New Roman"/>
        </w:rPr>
        <w:t>li</w:t>
      </w:r>
      <w:r w:rsidRPr="00321DEC">
        <w:rPr>
          <w:rFonts w:ascii="Times New Roman" w:hAnsi="Times New Roman" w:cs="Times New Roman"/>
        </w:rPr>
        <w:t>mited to the past and the analysis period spans only three months, some recent developments may not be fully captured, which could affect the relevance and accuracy of the analysis.</w:t>
      </w:r>
    </w:p>
    <w:p w14:paraId="269EA06B" w14:textId="631B420A" w:rsidR="006D4541" w:rsidRPr="008A75F2" w:rsidRDefault="003142D9" w:rsidP="00321DEC">
      <w:pPr>
        <w:pStyle w:val="ListParagraph"/>
        <w:numPr>
          <w:ilvl w:val="0"/>
          <w:numId w:val="18"/>
        </w:numPr>
        <w:spacing w:line="360" w:lineRule="auto"/>
        <w:jc w:val="both"/>
        <w:rPr>
          <w:rFonts w:ascii="Times New Roman" w:hAnsi="Times New Roman" w:cs="Times New Roman"/>
        </w:rPr>
      </w:pPr>
      <w:r w:rsidRPr="00321DEC">
        <w:rPr>
          <w:rFonts w:ascii="Times New Roman" w:hAnsi="Times New Roman" w:cs="Times New Roman"/>
          <w:b/>
          <w:bCs/>
        </w:rPr>
        <w:t xml:space="preserve">Technological </w:t>
      </w:r>
      <w:r w:rsidR="00782757" w:rsidRPr="00321DEC">
        <w:rPr>
          <w:rFonts w:ascii="Times New Roman" w:hAnsi="Times New Roman" w:cs="Times New Roman"/>
          <w:b/>
          <w:bCs/>
        </w:rPr>
        <w:t>Limitations</w:t>
      </w:r>
      <w:r w:rsidR="00782757" w:rsidRPr="00321DEC">
        <w:rPr>
          <w:rFonts w:ascii="Times New Roman" w:hAnsi="Times New Roman" w:cs="Times New Roman"/>
        </w:rPr>
        <w:t>: The</w:t>
      </w:r>
      <w:r w:rsidRPr="00321DEC">
        <w:rPr>
          <w:rFonts w:ascii="Times New Roman" w:hAnsi="Times New Roman" w:cs="Times New Roman"/>
        </w:rPr>
        <w:t xml:space="preserve"> tools and technologies available for data analysis and interpretation during the internship might not encompass advanced analytical capabilities, potentially limiting the depth of insights that can be derived from the data</w:t>
      </w:r>
      <w:r w:rsidR="008A75F2">
        <w:rPr>
          <w:rFonts w:ascii="Times New Roman" w:hAnsi="Times New Roman" w:cs="Times New Roman"/>
        </w:rPr>
        <w:t>.</w:t>
      </w:r>
    </w:p>
    <w:p w14:paraId="3FDCCCEC" w14:textId="77777777" w:rsidR="008A75F2" w:rsidRDefault="008A75F2" w:rsidP="008A75F2">
      <w:pPr>
        <w:spacing w:line="360" w:lineRule="auto"/>
        <w:rPr>
          <w:rFonts w:ascii="Times New Roman" w:hAnsi="Times New Roman" w:cs="Times New Roman"/>
          <w:b/>
          <w:bCs/>
        </w:rPr>
      </w:pPr>
    </w:p>
    <w:p w14:paraId="7479281E" w14:textId="77777777" w:rsidR="00994053" w:rsidRDefault="00994053" w:rsidP="006C5C84">
      <w:pPr>
        <w:pStyle w:val="Heading1"/>
        <w:rPr>
          <w:rStyle w:val="Heading1Char"/>
          <w:b/>
          <w:bCs/>
        </w:rPr>
      </w:pPr>
    </w:p>
    <w:p w14:paraId="468F6689" w14:textId="77777777" w:rsidR="00994053" w:rsidRDefault="00994053" w:rsidP="006C5C84">
      <w:pPr>
        <w:pStyle w:val="Heading1"/>
        <w:rPr>
          <w:rStyle w:val="Heading1Char"/>
          <w:b/>
          <w:bCs/>
        </w:rPr>
      </w:pPr>
    </w:p>
    <w:p w14:paraId="48F72C33" w14:textId="77777777" w:rsidR="00994053" w:rsidRDefault="00994053" w:rsidP="006C5C84">
      <w:pPr>
        <w:pStyle w:val="Heading1"/>
        <w:rPr>
          <w:rStyle w:val="Heading1Char"/>
          <w:b/>
          <w:bCs/>
        </w:rPr>
      </w:pPr>
    </w:p>
    <w:p w14:paraId="42905FE1" w14:textId="77777777" w:rsidR="00994053" w:rsidRDefault="00994053" w:rsidP="006C5C84">
      <w:pPr>
        <w:pStyle w:val="Heading1"/>
        <w:rPr>
          <w:rStyle w:val="Heading1Char"/>
          <w:b/>
          <w:bCs/>
        </w:rPr>
      </w:pPr>
    </w:p>
    <w:p w14:paraId="1FD79A84" w14:textId="77777777" w:rsidR="00994053" w:rsidRPr="00994053" w:rsidRDefault="00994053" w:rsidP="00994053"/>
    <w:p w14:paraId="1BB531A5" w14:textId="5B896FBC" w:rsidR="00777392" w:rsidRPr="00D43E9F" w:rsidRDefault="00777392" w:rsidP="006C5C84">
      <w:pPr>
        <w:pStyle w:val="Heading1"/>
      </w:pPr>
      <w:bookmarkStart w:id="4" w:name="_Toc188056427"/>
      <w:r w:rsidRPr="00D43E9F">
        <w:lastRenderedPageBreak/>
        <w:t>Chapter 02: Methodology of the Study</w:t>
      </w:r>
      <w:bookmarkEnd w:id="4"/>
    </w:p>
    <w:p w14:paraId="2277A680" w14:textId="47F59773" w:rsidR="00E53C3E" w:rsidRPr="00321DEC" w:rsidRDefault="00F47987" w:rsidP="006C5C84">
      <w:pPr>
        <w:pStyle w:val="Heading2"/>
        <w:numPr>
          <w:ilvl w:val="0"/>
          <w:numId w:val="30"/>
        </w:numPr>
      </w:pPr>
      <w:bookmarkStart w:id="5" w:name="_Toc188056428"/>
      <w:r w:rsidRPr="00321DEC">
        <w:t>Overview</w:t>
      </w:r>
      <w:bookmarkEnd w:id="5"/>
    </w:p>
    <w:p w14:paraId="6CB714FE" w14:textId="14AE444A" w:rsidR="002A2389" w:rsidRPr="00321DEC" w:rsidRDefault="003A5BD1" w:rsidP="00321DEC">
      <w:pPr>
        <w:spacing w:line="360" w:lineRule="auto"/>
        <w:jc w:val="both"/>
        <w:rPr>
          <w:rFonts w:ascii="Times New Roman" w:hAnsi="Times New Roman" w:cs="Times New Roman"/>
        </w:rPr>
      </w:pPr>
      <w:r w:rsidRPr="00321DEC">
        <w:rPr>
          <w:rFonts w:ascii="Times New Roman" w:hAnsi="Times New Roman" w:cs="Times New Roman"/>
        </w:rPr>
        <w:tab/>
      </w:r>
      <w:r w:rsidR="00FB005F" w:rsidRPr="00321DEC">
        <w:rPr>
          <w:rFonts w:ascii="Times New Roman" w:hAnsi="Times New Roman" w:cs="Times New Roman"/>
        </w:rPr>
        <w:t>The growth calculations are based on the year-over-year change, using the prior year as a base to determine growth rates and trends in financial health and efficiency. Data sources include the company's annual reports, official website, discussions with senior employees, and industry comparisons to establish a market position.</w:t>
      </w:r>
    </w:p>
    <w:p w14:paraId="11ED41C8" w14:textId="420CB775" w:rsidR="00D43E9F" w:rsidRPr="00321DEC" w:rsidRDefault="006C5C84" w:rsidP="00D43E9F">
      <w:pPr>
        <w:pStyle w:val="Heading2"/>
        <w:rPr>
          <w:rFonts w:cs="Times New Roman"/>
        </w:rPr>
      </w:pPr>
      <w:bookmarkStart w:id="6" w:name="_Toc188056429"/>
      <w:r>
        <w:t xml:space="preserve">2.1 </w:t>
      </w:r>
      <w:bookmarkEnd w:id="6"/>
    </w:p>
    <w:p w14:paraId="09858BFF" w14:textId="7A291E7A" w:rsidR="002A2389" w:rsidRPr="00321DEC" w:rsidRDefault="006C5C84" w:rsidP="00321DEC">
      <w:pPr>
        <w:spacing w:line="360" w:lineRule="auto"/>
        <w:jc w:val="both"/>
        <w:rPr>
          <w:rFonts w:ascii="Times New Roman" w:hAnsi="Times New Roman" w:cs="Times New Roman"/>
        </w:rPr>
      </w:pPr>
      <w:r w:rsidRPr="00321DEC">
        <w:rPr>
          <w:rFonts w:ascii="Times New Roman" w:hAnsi="Times New Roman" w:cs="Times New Roman"/>
        </w:rPr>
        <w:t>The</w:t>
      </w:r>
      <w:r w:rsidR="00DD5BB5" w:rsidRPr="00321DEC">
        <w:rPr>
          <w:rFonts w:ascii="Times New Roman" w:hAnsi="Times New Roman" w:cs="Times New Roman"/>
        </w:rPr>
        <w:t xml:space="preserve"> company’s website served as a primary source for the corporate profile and historical background, while competitor information was collected from other life insurance companies’ websites to establish a market </w:t>
      </w:r>
      <w:r w:rsidR="00F47987" w:rsidRPr="00321DEC">
        <w:rPr>
          <w:rFonts w:ascii="Times New Roman" w:hAnsi="Times New Roman" w:cs="Times New Roman"/>
        </w:rPr>
        <w:t xml:space="preserve">comparison. </w:t>
      </w:r>
    </w:p>
    <w:p w14:paraId="511B0723" w14:textId="689298CB" w:rsidR="0046201E" w:rsidRPr="00321DEC" w:rsidRDefault="006C5C84" w:rsidP="006C5C84">
      <w:pPr>
        <w:pStyle w:val="Heading2"/>
      </w:pPr>
      <w:bookmarkStart w:id="7" w:name="_Toc188056430"/>
      <w:r>
        <w:t xml:space="preserve">2.2 </w:t>
      </w:r>
      <w:r w:rsidR="003D2680" w:rsidRPr="00321DEC">
        <w:t>R</w:t>
      </w:r>
      <w:r w:rsidR="00C33ADF" w:rsidRPr="00321DEC">
        <w:t xml:space="preserve">eport </w:t>
      </w:r>
      <w:r w:rsidR="000537D7" w:rsidRPr="00321DEC">
        <w:t>Design</w:t>
      </w:r>
      <w:bookmarkEnd w:id="7"/>
    </w:p>
    <w:p w14:paraId="2160983A" w14:textId="77777777" w:rsidR="000537D7" w:rsidRPr="00321DEC" w:rsidRDefault="000537D7" w:rsidP="00321DEC">
      <w:pPr>
        <w:spacing w:line="360" w:lineRule="auto"/>
        <w:jc w:val="both"/>
        <w:rPr>
          <w:rFonts w:ascii="Times New Roman" w:hAnsi="Times New Roman" w:cs="Times New Roman"/>
        </w:rPr>
      </w:pPr>
      <w:r w:rsidRPr="00321DEC">
        <w:rPr>
          <w:rFonts w:ascii="Times New Roman" w:hAnsi="Times New Roman" w:cs="Times New Roman"/>
          <w:b/>
          <w:bCs/>
        </w:rPr>
        <w:t>Capital</w:t>
      </w:r>
      <w:r w:rsidR="00C33ADF" w:rsidRPr="00321DEC">
        <w:rPr>
          <w:rFonts w:ascii="Times New Roman" w:hAnsi="Times New Roman" w:cs="Times New Roman"/>
          <w:b/>
          <w:bCs/>
        </w:rPr>
        <w:t xml:space="preserve"> Structure:</w:t>
      </w:r>
      <w:r w:rsidR="00C33ADF" w:rsidRPr="00321DEC">
        <w:rPr>
          <w:rFonts w:ascii="Times New Roman" w:hAnsi="Times New Roman" w:cs="Times New Roman"/>
        </w:rPr>
        <w:t xml:space="preserve"> Reviews paid-up capital and its proportion to total assets to evaluate financial structure </w:t>
      </w:r>
      <w:r w:rsidRPr="00321DEC">
        <w:rPr>
          <w:rFonts w:ascii="Times New Roman" w:hAnsi="Times New Roman" w:cs="Times New Roman"/>
        </w:rPr>
        <w:t xml:space="preserve">solidity. </w:t>
      </w:r>
    </w:p>
    <w:p w14:paraId="32FA5B13" w14:textId="77777777" w:rsidR="0082160F" w:rsidRPr="00321DEC" w:rsidRDefault="000537D7" w:rsidP="00321DEC">
      <w:pPr>
        <w:spacing w:line="360" w:lineRule="auto"/>
        <w:jc w:val="both"/>
        <w:rPr>
          <w:rFonts w:ascii="Times New Roman" w:hAnsi="Times New Roman" w:cs="Times New Roman"/>
        </w:rPr>
      </w:pPr>
      <w:r w:rsidRPr="00321DEC">
        <w:rPr>
          <w:rFonts w:ascii="Times New Roman" w:hAnsi="Times New Roman" w:cs="Times New Roman"/>
          <w:b/>
          <w:bCs/>
        </w:rPr>
        <w:t>Shareholder</w:t>
      </w:r>
      <w:r w:rsidR="00C33ADF" w:rsidRPr="00321DEC">
        <w:rPr>
          <w:rFonts w:ascii="Times New Roman" w:hAnsi="Times New Roman" w:cs="Times New Roman"/>
          <w:b/>
          <w:bCs/>
        </w:rPr>
        <w:t xml:space="preserve"> Analysis:</w:t>
      </w:r>
      <w:r w:rsidR="00C33ADF" w:rsidRPr="00321DEC">
        <w:rPr>
          <w:rFonts w:ascii="Times New Roman" w:hAnsi="Times New Roman" w:cs="Times New Roman"/>
        </w:rPr>
        <w:t xml:space="preserve"> Details the composition of shareholders to understand equity structure </w:t>
      </w:r>
      <w:r w:rsidR="0082160F" w:rsidRPr="00321DEC">
        <w:rPr>
          <w:rFonts w:ascii="Times New Roman" w:hAnsi="Times New Roman" w:cs="Times New Roman"/>
        </w:rPr>
        <w:t>dynamics.</w:t>
      </w:r>
    </w:p>
    <w:p w14:paraId="09B7BE01" w14:textId="77777777" w:rsidR="0082160F" w:rsidRPr="00321DEC" w:rsidRDefault="0082160F" w:rsidP="00321DEC">
      <w:pPr>
        <w:spacing w:line="360" w:lineRule="auto"/>
        <w:jc w:val="both"/>
        <w:rPr>
          <w:rFonts w:ascii="Times New Roman" w:hAnsi="Times New Roman" w:cs="Times New Roman"/>
        </w:rPr>
      </w:pPr>
      <w:r w:rsidRPr="00321DEC">
        <w:rPr>
          <w:rFonts w:ascii="Times New Roman" w:hAnsi="Times New Roman" w:cs="Times New Roman"/>
        </w:rPr>
        <w:t>Profitability</w:t>
      </w:r>
      <w:r w:rsidR="00C33ADF" w:rsidRPr="00321DEC">
        <w:rPr>
          <w:rFonts w:ascii="Times New Roman" w:hAnsi="Times New Roman" w:cs="Times New Roman"/>
        </w:rPr>
        <w:t xml:space="preserve"> Metrics: Investigates ROA and ROE from 2018 to 2022 to gauge the company’s </w:t>
      </w:r>
      <w:r w:rsidRPr="00321DEC">
        <w:rPr>
          <w:rFonts w:ascii="Times New Roman" w:hAnsi="Times New Roman" w:cs="Times New Roman"/>
        </w:rPr>
        <w:t xml:space="preserve">profitability. </w:t>
      </w:r>
    </w:p>
    <w:p w14:paraId="46BE8B39" w14:textId="77777777" w:rsidR="0082160F" w:rsidRPr="00321DEC" w:rsidRDefault="0082160F" w:rsidP="00321DEC">
      <w:pPr>
        <w:spacing w:line="360" w:lineRule="auto"/>
        <w:jc w:val="both"/>
        <w:rPr>
          <w:rFonts w:ascii="Times New Roman" w:hAnsi="Times New Roman" w:cs="Times New Roman"/>
        </w:rPr>
      </w:pPr>
      <w:r w:rsidRPr="00321DEC">
        <w:rPr>
          <w:rFonts w:ascii="Times New Roman" w:hAnsi="Times New Roman" w:cs="Times New Roman"/>
          <w:b/>
          <w:bCs/>
        </w:rPr>
        <w:t>Market</w:t>
      </w:r>
      <w:r w:rsidR="00C33ADF" w:rsidRPr="00321DEC">
        <w:rPr>
          <w:rFonts w:ascii="Times New Roman" w:hAnsi="Times New Roman" w:cs="Times New Roman"/>
          <w:b/>
          <w:bCs/>
        </w:rPr>
        <w:t xml:space="preserve"> Valuation: </w:t>
      </w:r>
      <w:r w:rsidR="00C33ADF" w:rsidRPr="00321DEC">
        <w:rPr>
          <w:rFonts w:ascii="Times New Roman" w:hAnsi="Times New Roman" w:cs="Times New Roman"/>
        </w:rPr>
        <w:t xml:space="preserve">Studies market value per share and EPS/dividend trends to discern market perceptions and shareholder </w:t>
      </w:r>
      <w:r w:rsidRPr="00321DEC">
        <w:rPr>
          <w:rFonts w:ascii="Times New Roman" w:hAnsi="Times New Roman" w:cs="Times New Roman"/>
        </w:rPr>
        <w:t xml:space="preserve">returns. </w:t>
      </w:r>
    </w:p>
    <w:p w14:paraId="0E6655C8" w14:textId="4252AF92" w:rsidR="006D4541" w:rsidRDefault="00472E8B" w:rsidP="00321DEC">
      <w:pPr>
        <w:spacing w:line="360" w:lineRule="auto"/>
        <w:jc w:val="both"/>
        <w:rPr>
          <w:rFonts w:ascii="Times New Roman" w:hAnsi="Times New Roman" w:cs="Times New Roman"/>
        </w:rPr>
      </w:pPr>
      <w:r w:rsidRPr="00321DEC">
        <w:rPr>
          <w:rFonts w:ascii="Times New Roman" w:hAnsi="Times New Roman" w:cs="Times New Roman"/>
          <w:b/>
          <w:bCs/>
        </w:rPr>
        <w:t xml:space="preserve">Horizontal and Vertical Analyses: </w:t>
      </w:r>
      <w:r w:rsidRPr="00321DEC">
        <w:rPr>
          <w:rFonts w:ascii="Times New Roman" w:hAnsi="Times New Roman" w:cs="Times New Roman"/>
        </w:rPr>
        <w:t xml:space="preserve">These are used to evaluate changes in financial statement items over time and to assess each item’s relative proportions </w:t>
      </w:r>
      <w:r w:rsidR="00DD2B32" w:rsidRPr="00321DEC">
        <w:rPr>
          <w:rFonts w:ascii="Times New Roman" w:hAnsi="Times New Roman" w:cs="Times New Roman"/>
        </w:rPr>
        <w:t>from 2018 to 2022.</w:t>
      </w:r>
    </w:p>
    <w:p w14:paraId="79264149" w14:textId="77777777" w:rsidR="002A2389" w:rsidRPr="00321DEC" w:rsidRDefault="002A2389" w:rsidP="00321DEC">
      <w:pPr>
        <w:spacing w:line="360" w:lineRule="auto"/>
        <w:jc w:val="both"/>
        <w:rPr>
          <w:rFonts w:ascii="Times New Roman" w:hAnsi="Times New Roman" w:cs="Times New Roman"/>
        </w:rPr>
      </w:pPr>
    </w:p>
    <w:p w14:paraId="041FDB04" w14:textId="6742DBF8" w:rsidR="0046201E" w:rsidRPr="00321DEC" w:rsidRDefault="006C5C84" w:rsidP="006C5C84">
      <w:pPr>
        <w:pStyle w:val="Heading2"/>
      </w:pPr>
      <w:bookmarkStart w:id="8" w:name="_Toc188056431"/>
      <w:r>
        <w:t xml:space="preserve">2.3 </w:t>
      </w:r>
      <w:r w:rsidR="0046201E" w:rsidRPr="00321DEC">
        <w:t>Data Analysis Techniques Used</w:t>
      </w:r>
      <w:bookmarkEnd w:id="8"/>
    </w:p>
    <w:p w14:paraId="62615157" w14:textId="77777777" w:rsidR="0046201E" w:rsidRPr="00321DEC" w:rsidRDefault="0046201E" w:rsidP="00321DEC">
      <w:pPr>
        <w:spacing w:line="360" w:lineRule="auto"/>
        <w:jc w:val="both"/>
        <w:rPr>
          <w:rFonts w:ascii="Times New Roman" w:hAnsi="Times New Roman" w:cs="Times New Roman"/>
          <w:b/>
          <w:bCs/>
        </w:rPr>
      </w:pPr>
      <w:r w:rsidRPr="00321DEC">
        <w:rPr>
          <w:rFonts w:ascii="Times New Roman" w:hAnsi="Times New Roman" w:cs="Times New Roman"/>
          <w:b/>
          <w:bCs/>
        </w:rPr>
        <w:t xml:space="preserve">Quantitative Analysis Techniques: </w:t>
      </w:r>
    </w:p>
    <w:p w14:paraId="2DE9CDFB" w14:textId="5D620AEE" w:rsidR="00D839B2" w:rsidRPr="00321DEC" w:rsidRDefault="00D839B2" w:rsidP="00321DEC">
      <w:pPr>
        <w:spacing w:line="360" w:lineRule="auto"/>
        <w:jc w:val="both"/>
        <w:rPr>
          <w:rFonts w:ascii="Times New Roman" w:hAnsi="Times New Roman" w:cs="Times New Roman"/>
        </w:rPr>
      </w:pPr>
      <w:r w:rsidRPr="00321DEC">
        <w:rPr>
          <w:rFonts w:ascii="Times New Roman" w:hAnsi="Times New Roman" w:cs="Times New Roman"/>
          <w:b/>
          <w:bCs/>
        </w:rPr>
        <w:t>Solvency</w:t>
      </w:r>
      <w:r w:rsidR="00041B9F" w:rsidRPr="00321DEC">
        <w:rPr>
          <w:rFonts w:ascii="Times New Roman" w:hAnsi="Times New Roman" w:cs="Times New Roman"/>
          <w:b/>
          <w:bCs/>
        </w:rPr>
        <w:t xml:space="preserve"> Ratio: </w:t>
      </w:r>
      <w:r w:rsidR="00041B9F" w:rsidRPr="00321DEC">
        <w:rPr>
          <w:rFonts w:ascii="Times New Roman" w:hAnsi="Times New Roman" w:cs="Times New Roman"/>
        </w:rPr>
        <w:t xml:space="preserve">The solvency ratio was specifically calculated for the years 2021 and 2022 to assess the company's ability to meet its long-term debt obligations and other financial </w:t>
      </w:r>
      <w:r w:rsidRPr="00321DEC">
        <w:rPr>
          <w:rFonts w:ascii="Times New Roman" w:hAnsi="Times New Roman" w:cs="Times New Roman"/>
        </w:rPr>
        <w:t xml:space="preserve">commitments. </w:t>
      </w:r>
    </w:p>
    <w:p w14:paraId="28018DCC" w14:textId="5C0B05C9" w:rsidR="002E3B6B" w:rsidRPr="00321DEC" w:rsidRDefault="00D839B2" w:rsidP="00321DEC">
      <w:pPr>
        <w:spacing w:line="360" w:lineRule="auto"/>
        <w:jc w:val="both"/>
        <w:rPr>
          <w:rFonts w:ascii="Times New Roman" w:hAnsi="Times New Roman" w:cs="Times New Roman"/>
        </w:rPr>
      </w:pPr>
      <w:r w:rsidRPr="00321DEC">
        <w:rPr>
          <w:rFonts w:ascii="Times New Roman" w:hAnsi="Times New Roman" w:cs="Times New Roman"/>
          <w:b/>
          <w:bCs/>
        </w:rPr>
        <w:t>Qualitative</w:t>
      </w:r>
      <w:r w:rsidR="006C1665" w:rsidRPr="00321DEC">
        <w:rPr>
          <w:rFonts w:ascii="Times New Roman" w:hAnsi="Times New Roman" w:cs="Times New Roman"/>
          <w:b/>
          <w:bCs/>
        </w:rPr>
        <w:t xml:space="preserve"> Insights:</w:t>
      </w:r>
      <w:r w:rsidR="006C1665" w:rsidRPr="00321DEC">
        <w:rPr>
          <w:rFonts w:ascii="Times New Roman" w:hAnsi="Times New Roman" w:cs="Times New Roman"/>
        </w:rPr>
        <w:t xml:space="preserve"> Integrates information gathered from discussions with company officials and secondary data from industry sources to provide context to the quantitative data and support the findings with industry benchmarks and narratives. </w:t>
      </w:r>
    </w:p>
    <w:p w14:paraId="559AAAF1" w14:textId="4BA39823" w:rsidR="00A51ECD" w:rsidRPr="00321DEC" w:rsidRDefault="002A2389" w:rsidP="00321DEC">
      <w:pPr>
        <w:spacing w:line="360" w:lineRule="auto"/>
        <w:jc w:val="both"/>
        <w:rPr>
          <w:rFonts w:ascii="Times New Roman" w:hAnsi="Times New Roman" w:cs="Times New Roman"/>
        </w:rPr>
      </w:pPr>
      <w:r>
        <w:rPr>
          <w:rFonts w:ascii="Times New Roman" w:hAnsi="Times New Roman" w:cs="Times New Roman"/>
        </w:rPr>
        <w:lastRenderedPageBreak/>
        <w:tab/>
      </w:r>
      <w:r w:rsidR="00A51ECD" w:rsidRPr="00321DEC">
        <w:rPr>
          <w:rFonts w:ascii="Times New Roman" w:hAnsi="Times New Roman" w:cs="Times New Roman"/>
        </w:rPr>
        <w:t>By applying these methodologies, the report aims to provide a detailed, systematic examination of National Life Insurance Company Ltd.’s financial operations, offering a robust foundation for understanding its financial trends, operational efficiency, and market position. This approach will enable informed conclusions and strategic recommendations based on empirical data and thorough analysis.</w:t>
      </w:r>
    </w:p>
    <w:p w14:paraId="3E539CFA" w14:textId="77777777" w:rsidR="006C5C84" w:rsidRDefault="006C5C84" w:rsidP="006C5C84">
      <w:pPr>
        <w:spacing w:line="360" w:lineRule="auto"/>
        <w:rPr>
          <w:rFonts w:ascii="Times New Roman" w:hAnsi="Times New Roman" w:cs="Times New Roman"/>
          <w:b/>
          <w:bCs/>
        </w:rPr>
      </w:pPr>
    </w:p>
    <w:p w14:paraId="02AE6A9B" w14:textId="77777777" w:rsidR="006C5C84" w:rsidRDefault="006C5C84" w:rsidP="006C5C84">
      <w:pPr>
        <w:spacing w:line="360" w:lineRule="auto"/>
        <w:rPr>
          <w:rFonts w:ascii="Times New Roman" w:hAnsi="Times New Roman" w:cs="Times New Roman"/>
          <w:b/>
          <w:bCs/>
        </w:rPr>
      </w:pPr>
    </w:p>
    <w:p w14:paraId="010D1D88" w14:textId="28BA0068" w:rsidR="00A70C86" w:rsidRPr="00321DEC" w:rsidRDefault="00A70C86" w:rsidP="006C5C84">
      <w:pPr>
        <w:pStyle w:val="Heading1"/>
      </w:pPr>
      <w:bookmarkStart w:id="9" w:name="_Toc188056432"/>
      <w:r w:rsidRPr="00321DEC">
        <w:t xml:space="preserve">Chapter 03: </w:t>
      </w:r>
      <w:r w:rsidR="00487613" w:rsidRPr="00321DEC">
        <w:t>Organizational Profile of NLI</w:t>
      </w:r>
      <w:bookmarkEnd w:id="9"/>
    </w:p>
    <w:p w14:paraId="66124281" w14:textId="17EB3794" w:rsidR="008A75F2" w:rsidRDefault="002C103D" w:rsidP="006C5C84">
      <w:pPr>
        <w:pStyle w:val="Heading2"/>
        <w:numPr>
          <w:ilvl w:val="0"/>
          <w:numId w:val="30"/>
        </w:numPr>
      </w:pPr>
      <w:bookmarkStart w:id="10" w:name="_Toc188056433"/>
      <w:r w:rsidRPr="00321DEC">
        <w:t>Brief History</w:t>
      </w:r>
      <w:bookmarkEnd w:id="10"/>
    </w:p>
    <w:p w14:paraId="29600802" w14:textId="29495477" w:rsidR="002A2389" w:rsidRPr="006C5C84" w:rsidRDefault="0007142D" w:rsidP="006C5C84">
      <w:pPr>
        <w:spacing w:line="360" w:lineRule="auto"/>
        <w:ind w:left="360" w:firstLine="360"/>
        <w:jc w:val="both"/>
        <w:rPr>
          <w:rFonts w:ascii="Times New Roman" w:hAnsi="Times New Roman" w:cs="Times New Roman"/>
          <w:b/>
          <w:bCs/>
        </w:rPr>
      </w:pPr>
      <w:r w:rsidRPr="008A75F2">
        <w:rPr>
          <w:rFonts w:ascii="Times New Roman" w:hAnsi="Times New Roman" w:cs="Times New Roman"/>
          <w:color w:val="000000"/>
        </w:rPr>
        <w:t xml:space="preserve">In brief, </w:t>
      </w:r>
      <w:r w:rsidRPr="008A75F2">
        <w:rPr>
          <w:rFonts w:ascii="Times New Roman" w:hAnsi="Times New Roman" w:cs="Times New Roman"/>
          <w:b/>
          <w:bCs/>
          <w:iCs/>
          <w:color w:val="000000"/>
        </w:rPr>
        <w:t>the first one</w:t>
      </w:r>
      <w:r w:rsidRPr="008A75F2">
        <w:rPr>
          <w:rFonts w:ascii="Times New Roman" w:hAnsi="Times New Roman" w:cs="Times New Roman"/>
          <w:color w:val="000000"/>
        </w:rPr>
        <w:t xml:space="preserve"> is to encourage &amp; induce saving of the high/mid income population and especially of the low income &amp; marginal group. The </w:t>
      </w:r>
      <w:r w:rsidR="00761944" w:rsidRPr="008A75F2">
        <w:rPr>
          <w:rFonts w:ascii="Times New Roman" w:hAnsi="Times New Roman" w:cs="Times New Roman"/>
          <w:color w:val="000000"/>
        </w:rPr>
        <w:t>low-income</w:t>
      </w:r>
      <w:r w:rsidRPr="008A75F2">
        <w:rPr>
          <w:rFonts w:ascii="Times New Roman" w:hAnsi="Times New Roman" w:cs="Times New Roman"/>
          <w:color w:val="000000"/>
        </w:rPr>
        <w:t xml:space="preserve"> people usually face economic hardship for household food security &amp; health problems at certain period of their life. Saving through insurance might provide them relief at odds &amp; calamities. </w:t>
      </w:r>
      <w:r w:rsidRPr="008A75F2">
        <w:rPr>
          <w:rFonts w:ascii="Times New Roman" w:hAnsi="Times New Roman" w:cs="Times New Roman"/>
          <w:b/>
          <w:bCs/>
          <w:iCs/>
          <w:color w:val="000000"/>
        </w:rPr>
        <w:t xml:space="preserve">The second one </w:t>
      </w:r>
      <w:r w:rsidRPr="008A75F2">
        <w:rPr>
          <w:rFonts w:ascii="Times New Roman" w:hAnsi="Times New Roman" w:cs="Times New Roman"/>
          <w:color w:val="000000"/>
        </w:rPr>
        <w:t xml:space="preserve">is to create &amp; provide employment opportunity for the illiterate/half literate/literate youth of the country.  </w:t>
      </w:r>
      <w:r w:rsidRPr="008A75F2">
        <w:rPr>
          <w:rFonts w:ascii="Times New Roman" w:hAnsi="Times New Roman" w:cs="Times New Roman"/>
          <w:b/>
          <w:bCs/>
          <w:iCs/>
          <w:color w:val="000000"/>
        </w:rPr>
        <w:t>The third one</w:t>
      </w:r>
      <w:r w:rsidRPr="008A75F2">
        <w:rPr>
          <w:rFonts w:ascii="Times New Roman" w:hAnsi="Times New Roman" w:cs="Times New Roman"/>
          <w:color w:val="000000"/>
        </w:rPr>
        <w:t xml:space="preserve"> is capital formation at national level for investment to develop dynamism at macro-economy. </w:t>
      </w:r>
    </w:p>
    <w:p w14:paraId="3996C6B2" w14:textId="3E844081" w:rsidR="00E56A85" w:rsidRPr="00321DEC" w:rsidRDefault="006C5C84" w:rsidP="006C5C84">
      <w:pPr>
        <w:pStyle w:val="Heading2"/>
      </w:pPr>
      <w:bookmarkStart w:id="11" w:name="_Toc188056434"/>
      <w:r>
        <w:t xml:space="preserve">3.1 </w:t>
      </w:r>
      <w:r w:rsidR="00523F19" w:rsidRPr="00321DEC">
        <w:t xml:space="preserve">Introduction </w:t>
      </w:r>
      <w:r w:rsidR="0041138A" w:rsidRPr="00321DEC">
        <w:t>of NLI</w:t>
      </w:r>
      <w:bookmarkEnd w:id="11"/>
    </w:p>
    <w:p w14:paraId="6F9902D0" w14:textId="65C2E78F" w:rsidR="00030A9F" w:rsidRDefault="0050640C" w:rsidP="00321DEC">
      <w:pPr>
        <w:spacing w:line="360" w:lineRule="auto"/>
        <w:jc w:val="both"/>
        <w:rPr>
          <w:rFonts w:ascii="Times New Roman" w:hAnsi="Times New Roman" w:cs="Times New Roman"/>
        </w:rPr>
      </w:pPr>
      <w:r w:rsidRPr="00321DEC">
        <w:rPr>
          <w:rFonts w:ascii="Times New Roman" w:hAnsi="Times New Roman" w:cs="Times New Roman"/>
        </w:rPr>
        <w:tab/>
      </w:r>
      <w:r w:rsidR="008D4BE3" w:rsidRPr="00321DEC">
        <w:rPr>
          <w:rFonts w:ascii="Times New Roman" w:hAnsi="Times New Roman" w:cs="Times New Roman"/>
        </w:rPr>
        <w:t xml:space="preserve">National Life Insurance Company Ltd. </w:t>
      </w:r>
      <w:r w:rsidR="00761944">
        <w:rPr>
          <w:rFonts w:ascii="Times New Roman" w:hAnsi="Times New Roman" w:cs="Times New Roman"/>
        </w:rPr>
        <w:t>i</w:t>
      </w:r>
      <w:r w:rsidR="008D4BE3" w:rsidRPr="00321DEC">
        <w:rPr>
          <w:rFonts w:ascii="Times New Roman" w:hAnsi="Times New Roman" w:cs="Times New Roman"/>
        </w:rPr>
        <w:t xml:space="preserve">s a leading life insurance provider in Bangladesh, established in 1985 with the goal of offering financial security and peace of mind to its customers. Operating under the stringent regulatory environment of the Insurance Act of 1938, as amended in 2010, the company has consistently upheld its mission to enhance the lives of individuals, families, and communities through a robust offering of insurance products. With a strong commitment to integrity, customer service, and community involvement, National Life Insurance Company Ltd. Remains a pillar in the Bangladeshi financial services sector. </w:t>
      </w:r>
    </w:p>
    <w:p w14:paraId="5E75E07B" w14:textId="77777777" w:rsidR="00994053" w:rsidRPr="00321DEC" w:rsidRDefault="00994053" w:rsidP="00321DEC">
      <w:pPr>
        <w:spacing w:line="360" w:lineRule="auto"/>
        <w:jc w:val="both"/>
        <w:rPr>
          <w:rFonts w:ascii="Times New Roman" w:hAnsi="Times New Roman" w:cs="Times New Roman"/>
        </w:rPr>
      </w:pPr>
    </w:p>
    <w:p w14:paraId="6332FC99" w14:textId="7C155E96" w:rsidR="00C84C7F" w:rsidRPr="002C0C4F" w:rsidRDefault="00071FFF" w:rsidP="002C0C4F">
      <w:pPr>
        <w:pStyle w:val="Heading2"/>
        <w:rPr>
          <w:rFonts w:cs="Times New Roman"/>
          <w:b w:val="0"/>
          <w:bCs/>
        </w:rPr>
      </w:pPr>
      <w:bookmarkStart w:id="12" w:name="_Toc188056435"/>
      <w:r w:rsidRPr="002C0C4F">
        <w:rPr>
          <w:rStyle w:val="Heading2Char"/>
          <w:b/>
          <w:bCs/>
        </w:rPr>
        <w:t>3.</w:t>
      </w:r>
      <w:r w:rsidR="002C0C4F" w:rsidRPr="002C0C4F">
        <w:rPr>
          <w:rStyle w:val="Heading2Char"/>
          <w:b/>
          <w:bCs/>
        </w:rPr>
        <w:t>2</w:t>
      </w:r>
      <w:r w:rsidRPr="002C0C4F">
        <w:rPr>
          <w:rStyle w:val="Heading2Char"/>
          <w:b/>
          <w:bCs/>
        </w:rPr>
        <w:t xml:space="preserve"> </w:t>
      </w:r>
      <w:r w:rsidR="0065347A" w:rsidRPr="002C0C4F">
        <w:rPr>
          <w:rStyle w:val="Heading2Char"/>
          <w:b/>
          <w:bCs/>
        </w:rPr>
        <w:t>Corporate Information</w:t>
      </w:r>
      <w:r w:rsidRPr="002C0C4F">
        <w:rPr>
          <w:rFonts w:cs="Times New Roman"/>
          <w:b w:val="0"/>
          <w:bCs/>
        </w:rPr>
        <w:t>:</w:t>
      </w:r>
      <w:bookmarkEnd w:id="12"/>
    </w:p>
    <w:tbl>
      <w:tblPr>
        <w:tblStyle w:val="TableGrid"/>
        <w:tblW w:w="9535" w:type="dxa"/>
        <w:tblLook w:val="04A0" w:firstRow="1" w:lastRow="0" w:firstColumn="1" w:lastColumn="0" w:noHBand="0" w:noVBand="1"/>
      </w:tblPr>
      <w:tblGrid>
        <w:gridCol w:w="3116"/>
        <w:gridCol w:w="6419"/>
      </w:tblGrid>
      <w:tr w:rsidR="0065347A" w:rsidRPr="00321DEC" w14:paraId="4A7DB3FC" w14:textId="77777777" w:rsidTr="002A2389">
        <w:tc>
          <w:tcPr>
            <w:tcW w:w="3116" w:type="dxa"/>
          </w:tcPr>
          <w:p w14:paraId="1CD83A82" w14:textId="77777777" w:rsidR="0065347A" w:rsidRPr="00321DEC" w:rsidRDefault="0065347A" w:rsidP="00321DEC">
            <w:pPr>
              <w:spacing w:line="360" w:lineRule="auto"/>
              <w:jc w:val="both"/>
              <w:rPr>
                <w:rFonts w:ascii="Times New Roman" w:hAnsi="Times New Roman" w:cs="Times New Roman"/>
                <w:b/>
                <w:bCs/>
              </w:rPr>
            </w:pPr>
            <w:r w:rsidRPr="00321DEC">
              <w:rPr>
                <w:rFonts w:ascii="Times New Roman" w:hAnsi="Times New Roman" w:cs="Times New Roman"/>
                <w:b/>
                <w:bCs/>
              </w:rPr>
              <w:t xml:space="preserve">Title </w:t>
            </w:r>
          </w:p>
        </w:tc>
        <w:tc>
          <w:tcPr>
            <w:tcW w:w="6419" w:type="dxa"/>
          </w:tcPr>
          <w:p w14:paraId="2E493B89" w14:textId="77777777" w:rsidR="0065347A" w:rsidRPr="00321DEC" w:rsidRDefault="0065347A" w:rsidP="00321DEC">
            <w:pPr>
              <w:spacing w:line="360" w:lineRule="auto"/>
              <w:jc w:val="both"/>
              <w:rPr>
                <w:rFonts w:ascii="Times New Roman" w:hAnsi="Times New Roman" w:cs="Times New Roman"/>
                <w:b/>
                <w:bCs/>
              </w:rPr>
            </w:pPr>
            <w:r w:rsidRPr="00321DEC">
              <w:rPr>
                <w:rFonts w:ascii="Times New Roman" w:hAnsi="Times New Roman" w:cs="Times New Roman"/>
                <w:b/>
                <w:bCs/>
              </w:rPr>
              <w:t xml:space="preserve">Details </w:t>
            </w:r>
          </w:p>
        </w:tc>
      </w:tr>
      <w:tr w:rsidR="0065347A" w:rsidRPr="00321DEC" w14:paraId="6A508130" w14:textId="77777777" w:rsidTr="002A2389">
        <w:tc>
          <w:tcPr>
            <w:tcW w:w="3116" w:type="dxa"/>
          </w:tcPr>
          <w:p w14:paraId="536EB3BF"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Entity Name </w:t>
            </w:r>
          </w:p>
        </w:tc>
        <w:tc>
          <w:tcPr>
            <w:tcW w:w="6419" w:type="dxa"/>
          </w:tcPr>
          <w:p w14:paraId="58F28120"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National Life Insurance Company Limited. </w:t>
            </w:r>
          </w:p>
        </w:tc>
      </w:tr>
      <w:tr w:rsidR="0065347A" w:rsidRPr="00321DEC" w14:paraId="123E6595" w14:textId="77777777" w:rsidTr="002A2389">
        <w:tc>
          <w:tcPr>
            <w:tcW w:w="3116" w:type="dxa"/>
          </w:tcPr>
          <w:p w14:paraId="2D79031A"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Business Address </w:t>
            </w:r>
          </w:p>
        </w:tc>
        <w:tc>
          <w:tcPr>
            <w:tcW w:w="6419" w:type="dxa"/>
          </w:tcPr>
          <w:p w14:paraId="1678CF2B"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NLI Tower, 54-55 Kazi Nazrul Islam Avenue,</w:t>
            </w:r>
          </w:p>
          <w:p w14:paraId="33B06C7A"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Karwan Bazar, Dhaka-1215. </w:t>
            </w:r>
          </w:p>
        </w:tc>
      </w:tr>
      <w:tr w:rsidR="0065347A" w:rsidRPr="00321DEC" w14:paraId="5EF4F6B3" w14:textId="77777777" w:rsidTr="002A2389">
        <w:tc>
          <w:tcPr>
            <w:tcW w:w="3116" w:type="dxa"/>
          </w:tcPr>
          <w:p w14:paraId="7ECBAFC2"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lastRenderedPageBreak/>
              <w:t xml:space="preserve">Contact </w:t>
            </w:r>
          </w:p>
        </w:tc>
        <w:tc>
          <w:tcPr>
            <w:tcW w:w="6419" w:type="dxa"/>
          </w:tcPr>
          <w:p w14:paraId="6722B33D"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Phone: 09666706050, 41010123-8,</w:t>
            </w:r>
          </w:p>
          <w:p w14:paraId="39431E7A" w14:textId="49E43408"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Call Centre-</w:t>
            </w:r>
            <w:r w:rsidR="002A2389" w:rsidRPr="00321DEC">
              <w:rPr>
                <w:rFonts w:ascii="Times New Roman" w:hAnsi="Times New Roman" w:cs="Times New Roman"/>
              </w:rPr>
              <w:t>16749 Fax</w:t>
            </w:r>
            <w:r w:rsidRPr="00321DEC">
              <w:rPr>
                <w:rFonts w:ascii="Times New Roman" w:hAnsi="Times New Roman" w:cs="Times New Roman"/>
              </w:rPr>
              <w:t xml:space="preserve">: 88-02-8144237 </w:t>
            </w:r>
          </w:p>
        </w:tc>
      </w:tr>
      <w:tr w:rsidR="0065347A" w:rsidRPr="00321DEC" w14:paraId="44AC6D28" w14:textId="77777777" w:rsidTr="002A2389">
        <w:tc>
          <w:tcPr>
            <w:tcW w:w="3116" w:type="dxa"/>
          </w:tcPr>
          <w:p w14:paraId="76A91CB2"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Current Website </w:t>
            </w:r>
          </w:p>
        </w:tc>
        <w:tc>
          <w:tcPr>
            <w:tcW w:w="6419" w:type="dxa"/>
          </w:tcPr>
          <w:p w14:paraId="50BED98A"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www.nlibd.com </w:t>
            </w:r>
          </w:p>
        </w:tc>
      </w:tr>
      <w:tr w:rsidR="0065347A" w:rsidRPr="00321DEC" w14:paraId="6BCC4042" w14:textId="77777777" w:rsidTr="002A2389">
        <w:tc>
          <w:tcPr>
            <w:tcW w:w="3116" w:type="dxa"/>
          </w:tcPr>
          <w:p w14:paraId="25E47232"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Email </w:t>
            </w:r>
          </w:p>
        </w:tc>
        <w:tc>
          <w:tcPr>
            <w:tcW w:w="6419" w:type="dxa"/>
          </w:tcPr>
          <w:p w14:paraId="47FDB9C3"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info@nlibd.com </w:t>
            </w:r>
          </w:p>
        </w:tc>
      </w:tr>
      <w:tr w:rsidR="0065347A" w:rsidRPr="00321DEC" w14:paraId="7F146DCB" w14:textId="77777777" w:rsidTr="002A2389">
        <w:tc>
          <w:tcPr>
            <w:tcW w:w="3116" w:type="dxa"/>
          </w:tcPr>
          <w:p w14:paraId="15CA1CB0"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Registration Number </w:t>
            </w:r>
          </w:p>
        </w:tc>
        <w:tc>
          <w:tcPr>
            <w:tcW w:w="6419" w:type="dxa"/>
          </w:tcPr>
          <w:p w14:paraId="05BB5765"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C-13734 </w:t>
            </w:r>
          </w:p>
        </w:tc>
      </w:tr>
      <w:tr w:rsidR="0065347A" w:rsidRPr="00321DEC" w14:paraId="0006D031" w14:textId="77777777" w:rsidTr="002A2389">
        <w:tc>
          <w:tcPr>
            <w:tcW w:w="3116" w:type="dxa"/>
          </w:tcPr>
          <w:p w14:paraId="4DC4F61D" w14:textId="6EAD26AB"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Trade </w:t>
            </w:r>
            <w:r w:rsidR="00761944" w:rsidRPr="00321DEC">
              <w:rPr>
                <w:rFonts w:ascii="Times New Roman" w:hAnsi="Times New Roman" w:cs="Times New Roman"/>
              </w:rPr>
              <w:t>License</w:t>
            </w:r>
            <w:r w:rsidRPr="00321DEC">
              <w:rPr>
                <w:rFonts w:ascii="Times New Roman" w:hAnsi="Times New Roman" w:cs="Times New Roman"/>
              </w:rPr>
              <w:t xml:space="preserve"> </w:t>
            </w:r>
          </w:p>
        </w:tc>
        <w:tc>
          <w:tcPr>
            <w:tcW w:w="6419" w:type="dxa"/>
          </w:tcPr>
          <w:p w14:paraId="182289A2"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TRAD/DNCC/035795/2022 </w:t>
            </w:r>
          </w:p>
        </w:tc>
      </w:tr>
      <w:tr w:rsidR="0065347A" w:rsidRPr="00321DEC" w14:paraId="24172381" w14:textId="77777777" w:rsidTr="002A2389">
        <w:tc>
          <w:tcPr>
            <w:tcW w:w="3116" w:type="dxa"/>
          </w:tcPr>
          <w:p w14:paraId="206D8E17"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TIN </w:t>
            </w:r>
          </w:p>
        </w:tc>
        <w:tc>
          <w:tcPr>
            <w:tcW w:w="6419" w:type="dxa"/>
          </w:tcPr>
          <w:p w14:paraId="25F0DB3B"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460810150961 </w:t>
            </w:r>
          </w:p>
        </w:tc>
      </w:tr>
      <w:tr w:rsidR="0065347A" w:rsidRPr="00321DEC" w14:paraId="0411DF1C" w14:textId="77777777" w:rsidTr="002A2389">
        <w:tc>
          <w:tcPr>
            <w:tcW w:w="3116" w:type="dxa"/>
          </w:tcPr>
          <w:p w14:paraId="26B9C0C4"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Commencing Date </w:t>
            </w:r>
          </w:p>
        </w:tc>
        <w:tc>
          <w:tcPr>
            <w:tcW w:w="6419" w:type="dxa"/>
          </w:tcPr>
          <w:p w14:paraId="3F24DBD2"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23</w:t>
            </w:r>
            <w:r w:rsidRPr="00321DEC">
              <w:rPr>
                <w:rFonts w:ascii="Times New Roman" w:hAnsi="Times New Roman" w:cs="Times New Roman"/>
                <w:vertAlign w:val="superscript"/>
              </w:rPr>
              <w:t>rd</w:t>
            </w:r>
            <w:r w:rsidRPr="00321DEC">
              <w:rPr>
                <w:rFonts w:ascii="Times New Roman" w:hAnsi="Times New Roman" w:cs="Times New Roman"/>
              </w:rPr>
              <w:t xml:space="preserve"> April 1985 </w:t>
            </w:r>
          </w:p>
        </w:tc>
      </w:tr>
      <w:tr w:rsidR="0065347A" w:rsidRPr="00321DEC" w14:paraId="238EF3C6" w14:textId="77777777" w:rsidTr="002A2389">
        <w:tc>
          <w:tcPr>
            <w:tcW w:w="3116" w:type="dxa"/>
          </w:tcPr>
          <w:p w14:paraId="3CA8E427"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Number of Branches </w:t>
            </w:r>
          </w:p>
        </w:tc>
        <w:tc>
          <w:tcPr>
            <w:tcW w:w="6419" w:type="dxa"/>
          </w:tcPr>
          <w:p w14:paraId="364581BD"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658 </w:t>
            </w:r>
          </w:p>
        </w:tc>
      </w:tr>
      <w:tr w:rsidR="0065347A" w:rsidRPr="00321DEC" w14:paraId="44E9F5A3" w14:textId="77777777" w:rsidTr="002A2389">
        <w:tc>
          <w:tcPr>
            <w:tcW w:w="3116" w:type="dxa"/>
          </w:tcPr>
          <w:p w14:paraId="3E2AAAAD"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Sponsor Director </w:t>
            </w:r>
          </w:p>
        </w:tc>
        <w:tc>
          <w:tcPr>
            <w:tcW w:w="6419" w:type="dxa"/>
          </w:tcPr>
          <w:p w14:paraId="05E28E16"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Venture Investment Partners Bangladesh Ltd.</w:t>
            </w:r>
          </w:p>
          <w:p w14:paraId="5F71904C"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National Housing and Investment Ltd. and</w:t>
            </w:r>
          </w:p>
          <w:p w14:paraId="22B99731"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Industrial and Infrastructure Development Finance Co. Ltd. </w:t>
            </w:r>
          </w:p>
        </w:tc>
      </w:tr>
      <w:tr w:rsidR="0065347A" w:rsidRPr="00321DEC" w14:paraId="2F476C8E" w14:textId="77777777" w:rsidTr="002A2389">
        <w:tc>
          <w:tcPr>
            <w:tcW w:w="3116" w:type="dxa"/>
          </w:tcPr>
          <w:p w14:paraId="5E8148F4"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Subsidiary </w:t>
            </w:r>
          </w:p>
        </w:tc>
        <w:tc>
          <w:tcPr>
            <w:tcW w:w="6419" w:type="dxa"/>
          </w:tcPr>
          <w:p w14:paraId="20D89135"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NLI Securities Ltd. </w:t>
            </w:r>
          </w:p>
        </w:tc>
      </w:tr>
      <w:tr w:rsidR="0065347A" w:rsidRPr="00321DEC" w14:paraId="384514D8" w14:textId="77777777" w:rsidTr="002A2389">
        <w:tc>
          <w:tcPr>
            <w:tcW w:w="3116" w:type="dxa"/>
          </w:tcPr>
          <w:p w14:paraId="621C564E"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Auditors </w:t>
            </w:r>
          </w:p>
        </w:tc>
        <w:tc>
          <w:tcPr>
            <w:tcW w:w="6419" w:type="dxa"/>
          </w:tcPr>
          <w:p w14:paraId="7427DC8D"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M/S Mahfel Huq &amp; Co. Chartered Accountants </w:t>
            </w:r>
          </w:p>
        </w:tc>
      </w:tr>
    </w:tbl>
    <w:p w14:paraId="0C0709A0" w14:textId="66AEB9DD" w:rsidR="009E24C8" w:rsidRPr="00321DEC" w:rsidRDefault="00523457" w:rsidP="00321DEC">
      <w:pPr>
        <w:spacing w:line="360" w:lineRule="auto"/>
        <w:jc w:val="both"/>
        <w:rPr>
          <w:rFonts w:ascii="Times New Roman" w:hAnsi="Times New Roman" w:cs="Times New Roman"/>
          <w:b/>
          <w:bCs/>
        </w:rPr>
      </w:pPr>
      <w:r w:rsidRPr="00321DEC">
        <w:rPr>
          <w:rFonts w:ascii="Times New Roman" w:hAnsi="Times New Roman" w:cs="Times New Roman"/>
        </w:rPr>
        <w:t>exceptionally well.</w:t>
      </w:r>
    </w:p>
    <w:p w14:paraId="5E7F1BCD" w14:textId="77777777" w:rsidR="002C0C4F" w:rsidRDefault="002C0C4F" w:rsidP="008A75F2">
      <w:pPr>
        <w:spacing w:line="360" w:lineRule="auto"/>
        <w:jc w:val="center"/>
        <w:rPr>
          <w:rFonts w:ascii="Times New Roman" w:hAnsi="Times New Roman" w:cs="Times New Roman"/>
          <w:b/>
          <w:bCs/>
        </w:rPr>
      </w:pPr>
    </w:p>
    <w:p w14:paraId="205F5FB6" w14:textId="77777777" w:rsidR="002C0C4F" w:rsidRDefault="002C0C4F" w:rsidP="008A75F2">
      <w:pPr>
        <w:spacing w:line="360" w:lineRule="auto"/>
        <w:jc w:val="center"/>
        <w:rPr>
          <w:rFonts w:ascii="Times New Roman" w:hAnsi="Times New Roman" w:cs="Times New Roman"/>
          <w:b/>
          <w:bCs/>
        </w:rPr>
      </w:pPr>
    </w:p>
    <w:p w14:paraId="1CA0C506" w14:textId="77777777" w:rsidR="002C0C4F" w:rsidRDefault="002C0C4F" w:rsidP="008A75F2">
      <w:pPr>
        <w:spacing w:line="360" w:lineRule="auto"/>
        <w:jc w:val="center"/>
        <w:rPr>
          <w:rFonts w:ascii="Times New Roman" w:hAnsi="Times New Roman" w:cs="Times New Roman"/>
          <w:b/>
          <w:bCs/>
        </w:rPr>
      </w:pPr>
    </w:p>
    <w:p w14:paraId="1B051A5E" w14:textId="77777777" w:rsidR="002C0C4F" w:rsidRDefault="002C0C4F" w:rsidP="008A75F2">
      <w:pPr>
        <w:spacing w:line="360" w:lineRule="auto"/>
        <w:jc w:val="center"/>
        <w:rPr>
          <w:rFonts w:ascii="Times New Roman" w:hAnsi="Times New Roman" w:cs="Times New Roman"/>
          <w:b/>
          <w:bCs/>
        </w:rPr>
      </w:pPr>
    </w:p>
    <w:p w14:paraId="5313AAD1" w14:textId="77777777" w:rsidR="002C0C4F" w:rsidRDefault="002C0C4F" w:rsidP="008A75F2">
      <w:pPr>
        <w:spacing w:line="360" w:lineRule="auto"/>
        <w:jc w:val="center"/>
        <w:rPr>
          <w:rFonts w:ascii="Times New Roman" w:hAnsi="Times New Roman" w:cs="Times New Roman"/>
          <w:b/>
          <w:bCs/>
        </w:rPr>
      </w:pPr>
    </w:p>
    <w:p w14:paraId="1E50A0F4" w14:textId="77777777" w:rsidR="002C0C4F" w:rsidRDefault="002C0C4F" w:rsidP="008A75F2">
      <w:pPr>
        <w:spacing w:line="360" w:lineRule="auto"/>
        <w:jc w:val="center"/>
        <w:rPr>
          <w:rFonts w:ascii="Times New Roman" w:hAnsi="Times New Roman" w:cs="Times New Roman"/>
          <w:b/>
          <w:bCs/>
        </w:rPr>
      </w:pPr>
    </w:p>
    <w:p w14:paraId="02CC9E6C" w14:textId="77777777" w:rsidR="002C0C4F" w:rsidRDefault="002C0C4F" w:rsidP="008A75F2">
      <w:pPr>
        <w:spacing w:line="360" w:lineRule="auto"/>
        <w:jc w:val="center"/>
        <w:rPr>
          <w:rFonts w:ascii="Times New Roman" w:hAnsi="Times New Roman" w:cs="Times New Roman"/>
          <w:b/>
          <w:bCs/>
        </w:rPr>
      </w:pPr>
    </w:p>
    <w:p w14:paraId="65380C01" w14:textId="77777777" w:rsidR="002C0C4F" w:rsidRDefault="002C0C4F" w:rsidP="008A75F2">
      <w:pPr>
        <w:spacing w:line="360" w:lineRule="auto"/>
        <w:jc w:val="center"/>
        <w:rPr>
          <w:rFonts w:ascii="Times New Roman" w:hAnsi="Times New Roman" w:cs="Times New Roman"/>
          <w:b/>
          <w:bCs/>
        </w:rPr>
      </w:pPr>
    </w:p>
    <w:p w14:paraId="05D38EF1" w14:textId="3D98D28A" w:rsidR="008D3565" w:rsidRPr="008A75F2" w:rsidRDefault="00201C57" w:rsidP="002C0C4F">
      <w:pPr>
        <w:pStyle w:val="Heading1"/>
      </w:pPr>
      <w:bookmarkStart w:id="13" w:name="_Toc188056436"/>
      <w:r w:rsidRPr="008D3565">
        <w:t>Chapter</w:t>
      </w:r>
      <w:r w:rsidR="00DA3B90" w:rsidRPr="008D3565">
        <w:t xml:space="preserve"> </w:t>
      </w:r>
      <w:r w:rsidR="002A2389" w:rsidRPr="008D3565">
        <w:t>04:</w:t>
      </w:r>
      <w:r w:rsidR="00DA3B90" w:rsidRPr="008D3565">
        <w:t xml:space="preserve"> Analysis</w:t>
      </w:r>
      <w:r w:rsidR="008E7917" w:rsidRPr="008D3565">
        <w:t xml:space="preserve">, Interpretation and Result </w:t>
      </w:r>
      <w:r w:rsidR="00C13C5C" w:rsidRPr="008D3565">
        <w:t>of the Study</w:t>
      </w:r>
      <w:bookmarkEnd w:id="13"/>
    </w:p>
    <w:p w14:paraId="3B73F082" w14:textId="77777777" w:rsidR="002C0C4F" w:rsidRDefault="002C0C4F" w:rsidP="00321DEC">
      <w:pPr>
        <w:spacing w:line="360" w:lineRule="auto"/>
        <w:jc w:val="both"/>
        <w:rPr>
          <w:rFonts w:ascii="Times New Roman" w:hAnsi="Times New Roman" w:cs="Times New Roman"/>
          <w:b/>
          <w:bCs/>
        </w:rPr>
      </w:pPr>
    </w:p>
    <w:p w14:paraId="36A637C6" w14:textId="6BA36CAD" w:rsidR="00A54387" w:rsidRPr="002C0C4F" w:rsidRDefault="00A54387" w:rsidP="002C0C4F">
      <w:pPr>
        <w:pStyle w:val="Heading2"/>
      </w:pPr>
      <w:bookmarkStart w:id="14" w:name="_Toc188056437"/>
      <w:r>
        <w:lastRenderedPageBreak/>
        <w:t xml:space="preserve">4. </w:t>
      </w:r>
      <w:r w:rsidR="00C45ED4" w:rsidRPr="00321DEC">
        <w:t xml:space="preserve">Expenditure to </w:t>
      </w:r>
      <w:r w:rsidRPr="00321DEC">
        <w:t>Premium (</w:t>
      </w:r>
      <w:r w:rsidR="00C45ED4" w:rsidRPr="00321DEC">
        <w:t>%)</w:t>
      </w:r>
      <w:r w:rsidR="00F5091C" w:rsidRPr="00321DEC">
        <w:t xml:space="preserve">: </w:t>
      </w:r>
      <w:r w:rsidR="00623E20" w:rsidRPr="00321DEC">
        <w:t>Management Expenses</w:t>
      </w:r>
      <w:r w:rsidR="00583BCA" w:rsidRPr="00321DEC">
        <w:t>:</w:t>
      </w:r>
      <w:bookmarkEnd w:id="14"/>
    </w:p>
    <w:p w14:paraId="520727D8" w14:textId="778D2081" w:rsidR="005A002E" w:rsidRPr="00321DEC" w:rsidRDefault="00367C62" w:rsidP="00321DEC">
      <w:pPr>
        <w:spacing w:line="360" w:lineRule="auto"/>
        <w:jc w:val="both"/>
        <w:rPr>
          <w:rFonts w:ascii="Times New Roman" w:hAnsi="Times New Roman" w:cs="Times New Roman"/>
          <w:b/>
          <w:bCs/>
        </w:rPr>
      </w:pPr>
      <w:r w:rsidRPr="00321DEC">
        <w:rPr>
          <w:rFonts w:cs="Times New Roman"/>
          <w:noProof/>
        </w:rPr>
        <w:drawing>
          <wp:anchor distT="0" distB="0" distL="114300" distR="114300" simplePos="0" relativeHeight="251660303" behindDoc="1" locked="0" layoutInCell="1" allowOverlap="1" wp14:anchorId="501CD38C" wp14:editId="7E71436C">
            <wp:simplePos x="0" y="0"/>
            <wp:positionH relativeFrom="margin">
              <wp:posOffset>25400</wp:posOffset>
            </wp:positionH>
            <wp:positionV relativeFrom="paragraph">
              <wp:posOffset>313690</wp:posOffset>
            </wp:positionV>
            <wp:extent cx="6419850" cy="3638550"/>
            <wp:effectExtent l="0" t="0" r="0" b="0"/>
            <wp:wrapTight wrapText="bothSides">
              <wp:wrapPolygon edited="0">
                <wp:start x="0" y="0"/>
                <wp:lineTo x="0" y="21487"/>
                <wp:lineTo x="21536" y="21487"/>
                <wp:lineTo x="21536" y="0"/>
                <wp:lineTo x="0" y="0"/>
              </wp:wrapPolygon>
            </wp:wrapTight>
            <wp:docPr id="19" name="Chart 19">
              <a:extLst xmlns:a="http://schemas.openxmlformats.org/drawingml/2006/main">
                <a:ext uri="{FF2B5EF4-FFF2-40B4-BE49-F238E27FC236}">
                  <a16:creationId xmlns:a16="http://schemas.microsoft.com/office/drawing/2014/main" id="{15BB3FC2-F2FF-CA92-8D17-4CFCBC272F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7A608E" w:rsidRPr="00321DEC">
        <w:rPr>
          <w:rFonts w:ascii="Times New Roman" w:hAnsi="Times New Roman" w:cs="Times New Roman"/>
          <w:b/>
          <w:bCs/>
        </w:rPr>
        <w:t>Administrative</w:t>
      </w:r>
      <w:r w:rsidR="00634892" w:rsidRPr="00321DEC">
        <w:rPr>
          <w:rFonts w:ascii="Times New Roman" w:hAnsi="Times New Roman" w:cs="Times New Roman"/>
          <w:b/>
          <w:bCs/>
        </w:rPr>
        <w:t xml:space="preserve"> </w:t>
      </w:r>
      <w:r w:rsidR="0046636F" w:rsidRPr="00321DEC">
        <w:rPr>
          <w:rFonts w:ascii="Times New Roman" w:hAnsi="Times New Roman" w:cs="Times New Roman"/>
          <w:b/>
          <w:bCs/>
        </w:rPr>
        <w:t>Expenses:</w:t>
      </w:r>
    </w:p>
    <w:p w14:paraId="5A140D18" w14:textId="2887DC7E" w:rsidR="00C062AC" w:rsidRPr="00321DEC" w:rsidRDefault="005A002E" w:rsidP="00321DEC">
      <w:pPr>
        <w:spacing w:line="360" w:lineRule="auto"/>
        <w:jc w:val="both"/>
        <w:rPr>
          <w:rFonts w:ascii="Times New Roman" w:hAnsi="Times New Roman" w:cs="Times New Roman"/>
          <w:b/>
          <w:bCs/>
        </w:rPr>
      </w:pPr>
      <w:r w:rsidRPr="00321DEC">
        <w:rPr>
          <w:rFonts w:ascii="Times New Roman" w:hAnsi="Times New Roman" w:cs="Times New Roman"/>
          <w:b/>
          <w:bCs/>
        </w:rPr>
        <w:tab/>
      </w:r>
      <w:r w:rsidR="0046636F" w:rsidRPr="00321DEC">
        <w:rPr>
          <w:rFonts w:ascii="Times New Roman" w:hAnsi="Times New Roman" w:cs="Times New Roman"/>
        </w:rPr>
        <w:t>Consistent</w:t>
      </w:r>
      <w:r w:rsidR="00634892" w:rsidRPr="00321DEC">
        <w:rPr>
          <w:rFonts w:ascii="Times New Roman" w:hAnsi="Times New Roman" w:cs="Times New Roman"/>
        </w:rPr>
        <w:t xml:space="preserve"> Decline: Administrative expenses show a consistent decline from 17.01% in 2015 to 11.79% by 2021. This trend is indicative of increasing operational efficiency and perhaps effective cost control measures that reduce overhead while maintaining service </w:t>
      </w:r>
      <w:r w:rsidR="0046636F" w:rsidRPr="00321DEC">
        <w:rPr>
          <w:rFonts w:ascii="Times New Roman" w:hAnsi="Times New Roman" w:cs="Times New Roman"/>
        </w:rPr>
        <w:t xml:space="preserve">quality. </w:t>
      </w:r>
    </w:p>
    <w:p w14:paraId="41295A0A" w14:textId="3BAA2C38" w:rsidR="008157B7" w:rsidRDefault="00C062AC" w:rsidP="00321DEC">
      <w:pPr>
        <w:spacing w:line="360" w:lineRule="auto"/>
        <w:jc w:val="both"/>
        <w:rPr>
          <w:rFonts w:ascii="Times New Roman" w:hAnsi="Times New Roman" w:cs="Times New Roman"/>
        </w:rPr>
      </w:pPr>
      <w:r w:rsidRPr="00321DEC">
        <w:rPr>
          <w:rFonts w:ascii="Times New Roman" w:hAnsi="Times New Roman" w:cs="Times New Roman"/>
        </w:rPr>
        <w:tab/>
        <w:t>T</w:t>
      </w:r>
      <w:r w:rsidR="00634892" w:rsidRPr="00321DEC">
        <w:rPr>
          <w:rFonts w:ascii="Times New Roman" w:hAnsi="Times New Roman" w:cs="Times New Roman"/>
        </w:rPr>
        <w:t xml:space="preserve">he reduction in administrative expenses suggests that the company may have invested in technology or optimized its processes to achieve more with less, thus enhancing overall </w:t>
      </w:r>
      <w:r w:rsidR="0046636F" w:rsidRPr="00321DEC">
        <w:rPr>
          <w:rFonts w:ascii="Times New Roman" w:hAnsi="Times New Roman" w:cs="Times New Roman"/>
        </w:rPr>
        <w:t>profitability.</w:t>
      </w:r>
    </w:p>
    <w:p w14:paraId="6CD2BA90" w14:textId="77777777" w:rsidR="00994053" w:rsidRDefault="00994053" w:rsidP="00321DEC">
      <w:pPr>
        <w:spacing w:line="360" w:lineRule="auto"/>
        <w:jc w:val="both"/>
        <w:rPr>
          <w:rFonts w:ascii="Times New Roman" w:hAnsi="Times New Roman" w:cs="Times New Roman"/>
        </w:rPr>
      </w:pPr>
    </w:p>
    <w:p w14:paraId="59D1C66D" w14:textId="77777777" w:rsidR="00994053" w:rsidRDefault="00994053" w:rsidP="00321DEC">
      <w:pPr>
        <w:spacing w:line="360" w:lineRule="auto"/>
        <w:jc w:val="both"/>
        <w:rPr>
          <w:rFonts w:ascii="Times New Roman" w:hAnsi="Times New Roman" w:cs="Times New Roman"/>
        </w:rPr>
      </w:pPr>
    </w:p>
    <w:p w14:paraId="2B81F988" w14:textId="77777777" w:rsidR="00994053" w:rsidRDefault="00994053" w:rsidP="00321DEC">
      <w:pPr>
        <w:spacing w:line="360" w:lineRule="auto"/>
        <w:jc w:val="both"/>
        <w:rPr>
          <w:rFonts w:ascii="Times New Roman" w:hAnsi="Times New Roman" w:cs="Times New Roman"/>
        </w:rPr>
      </w:pPr>
    </w:p>
    <w:p w14:paraId="5E75A78C" w14:textId="77777777" w:rsidR="00994053" w:rsidRDefault="00994053" w:rsidP="00321DEC">
      <w:pPr>
        <w:spacing w:line="360" w:lineRule="auto"/>
        <w:jc w:val="both"/>
        <w:rPr>
          <w:rFonts w:ascii="Times New Roman" w:hAnsi="Times New Roman" w:cs="Times New Roman"/>
          <w:b/>
          <w:bCs/>
        </w:rPr>
      </w:pPr>
    </w:p>
    <w:p w14:paraId="79C49CEB" w14:textId="7DDEBCFE" w:rsidR="003D42FC" w:rsidRPr="008157B7" w:rsidRDefault="002C0C4F" w:rsidP="00321DEC">
      <w:pPr>
        <w:spacing w:line="360" w:lineRule="auto"/>
        <w:jc w:val="both"/>
        <w:rPr>
          <w:rFonts w:ascii="Times New Roman" w:hAnsi="Times New Roman" w:cs="Times New Roman"/>
          <w:b/>
          <w:bCs/>
        </w:rPr>
      </w:pPr>
      <w:bookmarkStart w:id="15" w:name="_Toc188056438"/>
      <w:r w:rsidRPr="002C0C4F">
        <w:rPr>
          <w:rStyle w:val="Heading2Char"/>
        </w:rPr>
        <w:t>4.2 Economic</w:t>
      </w:r>
      <w:r w:rsidR="00F50BB3" w:rsidRPr="002C0C4F">
        <w:rPr>
          <w:rStyle w:val="Heading2Char"/>
        </w:rPr>
        <w:t xml:space="preserve"> </w:t>
      </w:r>
      <w:r w:rsidR="002A2389" w:rsidRPr="002C0C4F">
        <w:rPr>
          <w:rStyle w:val="Heading2Char"/>
        </w:rPr>
        <w:t>Value-Added</w:t>
      </w:r>
      <w:r w:rsidR="00F50BB3" w:rsidRPr="002C0C4F">
        <w:rPr>
          <w:rStyle w:val="Heading2Char"/>
        </w:rPr>
        <w:t xml:space="preserve"> Statement:</w:t>
      </w:r>
      <w:bookmarkEnd w:id="15"/>
      <w:r w:rsidR="00264EDD" w:rsidRPr="002C0C4F">
        <w:rPr>
          <w:rStyle w:val="Heading2Char"/>
        </w:rPr>
        <w:tab/>
      </w:r>
      <w:r w:rsidR="00264EDD" w:rsidRPr="00321DEC">
        <w:rPr>
          <w:rFonts w:ascii="Times New Roman" w:hAnsi="Times New Roman" w:cs="Times New Roman"/>
          <w:b/>
          <w:bCs/>
        </w:rPr>
        <w:tab/>
      </w:r>
      <w:r w:rsidR="00264EDD" w:rsidRPr="00321DEC">
        <w:rPr>
          <w:rFonts w:ascii="Times New Roman" w:hAnsi="Times New Roman" w:cs="Times New Roman"/>
          <w:b/>
          <w:bCs/>
        </w:rPr>
        <w:tab/>
      </w:r>
      <w:r w:rsidR="00264EDD" w:rsidRPr="00321DEC">
        <w:rPr>
          <w:rFonts w:ascii="Times New Roman" w:hAnsi="Times New Roman" w:cs="Times New Roman"/>
          <w:b/>
          <w:bCs/>
        </w:rPr>
        <w:tab/>
      </w:r>
      <w:r w:rsidR="00264EDD" w:rsidRPr="00321DEC">
        <w:rPr>
          <w:rFonts w:ascii="Times New Roman" w:hAnsi="Times New Roman" w:cs="Times New Roman"/>
          <w:b/>
          <w:bCs/>
        </w:rPr>
        <w:tab/>
      </w:r>
      <w:r w:rsidR="00264EDD" w:rsidRPr="00321DEC">
        <w:rPr>
          <w:rFonts w:ascii="Times New Roman" w:hAnsi="Times New Roman" w:cs="Times New Roman"/>
          <w:b/>
          <w:bCs/>
        </w:rPr>
        <w:tab/>
      </w:r>
      <w:r w:rsidR="00264EDD" w:rsidRPr="00321DEC">
        <w:rPr>
          <w:rFonts w:ascii="Times New Roman" w:hAnsi="Times New Roman" w:cs="Times New Roman"/>
          <w:b/>
          <w:bCs/>
        </w:rPr>
        <w:tab/>
      </w:r>
      <w:r w:rsidR="00264EDD" w:rsidRPr="008157B7">
        <w:rPr>
          <w:rFonts w:ascii="Times New Roman" w:hAnsi="Times New Roman" w:cs="Times New Roman"/>
          <w:b/>
          <w:bCs/>
          <w:sz w:val="20"/>
          <w:szCs w:val="20"/>
        </w:rPr>
        <w:t xml:space="preserve">BDT in Million </w:t>
      </w:r>
    </w:p>
    <w:tbl>
      <w:tblPr>
        <w:tblStyle w:val="GridTable4-Accent1"/>
        <w:tblW w:w="0" w:type="auto"/>
        <w:tblLook w:val="04A0" w:firstRow="1" w:lastRow="0" w:firstColumn="1" w:lastColumn="0" w:noHBand="0" w:noVBand="1"/>
      </w:tblPr>
      <w:tblGrid>
        <w:gridCol w:w="1500"/>
        <w:gridCol w:w="1500"/>
        <w:gridCol w:w="1499"/>
        <w:gridCol w:w="1499"/>
        <w:gridCol w:w="1499"/>
        <w:gridCol w:w="2578"/>
      </w:tblGrid>
      <w:tr w:rsidR="000D7BF1" w:rsidRPr="008157B7" w14:paraId="3A44E64C" w14:textId="77777777" w:rsidTr="008157B7">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500" w:type="dxa"/>
          </w:tcPr>
          <w:p w14:paraId="06C4DCAF" w14:textId="77777777" w:rsidR="000D7BF1" w:rsidRPr="008157B7" w:rsidRDefault="00D369EA" w:rsidP="00321DEC">
            <w:pPr>
              <w:spacing w:line="360" w:lineRule="auto"/>
              <w:jc w:val="both"/>
              <w:rPr>
                <w:rFonts w:ascii="Times New Roman" w:hAnsi="Times New Roman" w:cs="Times New Roman"/>
                <w:sz w:val="20"/>
                <w:szCs w:val="20"/>
              </w:rPr>
            </w:pPr>
            <w:r w:rsidRPr="008157B7">
              <w:rPr>
                <w:rFonts w:ascii="Times New Roman" w:hAnsi="Times New Roman" w:cs="Times New Roman"/>
                <w:sz w:val="20"/>
                <w:szCs w:val="20"/>
              </w:rPr>
              <w:t>Particulars</w:t>
            </w:r>
          </w:p>
        </w:tc>
        <w:tc>
          <w:tcPr>
            <w:tcW w:w="1500" w:type="dxa"/>
          </w:tcPr>
          <w:p w14:paraId="4952DC0C" w14:textId="77777777" w:rsidR="000D7BF1" w:rsidRPr="008157B7" w:rsidRDefault="000F528E" w:rsidP="00321DE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157B7">
              <w:rPr>
                <w:rFonts w:ascii="Times New Roman" w:hAnsi="Times New Roman" w:cs="Times New Roman"/>
                <w:b w:val="0"/>
                <w:bCs w:val="0"/>
                <w:sz w:val="20"/>
                <w:szCs w:val="20"/>
              </w:rPr>
              <w:t>2018</w:t>
            </w:r>
          </w:p>
        </w:tc>
        <w:tc>
          <w:tcPr>
            <w:tcW w:w="1499" w:type="dxa"/>
          </w:tcPr>
          <w:p w14:paraId="0AD0943A" w14:textId="77777777" w:rsidR="000D7BF1" w:rsidRPr="008157B7" w:rsidRDefault="000F528E" w:rsidP="00321DE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157B7">
              <w:rPr>
                <w:rFonts w:ascii="Times New Roman" w:hAnsi="Times New Roman" w:cs="Times New Roman"/>
                <w:b w:val="0"/>
                <w:bCs w:val="0"/>
                <w:sz w:val="20"/>
                <w:szCs w:val="20"/>
              </w:rPr>
              <w:t>2019</w:t>
            </w:r>
          </w:p>
        </w:tc>
        <w:tc>
          <w:tcPr>
            <w:tcW w:w="1499" w:type="dxa"/>
          </w:tcPr>
          <w:p w14:paraId="7ED31CB4" w14:textId="77777777" w:rsidR="000D7BF1" w:rsidRPr="008157B7" w:rsidRDefault="000F528E" w:rsidP="00321DE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157B7">
              <w:rPr>
                <w:rFonts w:ascii="Times New Roman" w:hAnsi="Times New Roman" w:cs="Times New Roman"/>
                <w:b w:val="0"/>
                <w:bCs w:val="0"/>
                <w:sz w:val="20"/>
                <w:szCs w:val="20"/>
              </w:rPr>
              <w:t>2020</w:t>
            </w:r>
          </w:p>
        </w:tc>
        <w:tc>
          <w:tcPr>
            <w:tcW w:w="1499" w:type="dxa"/>
          </w:tcPr>
          <w:p w14:paraId="040128F8" w14:textId="77777777" w:rsidR="000D7BF1" w:rsidRPr="008157B7" w:rsidRDefault="000F528E" w:rsidP="00321DE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157B7">
              <w:rPr>
                <w:rFonts w:ascii="Times New Roman" w:hAnsi="Times New Roman" w:cs="Times New Roman"/>
                <w:b w:val="0"/>
                <w:bCs w:val="0"/>
                <w:sz w:val="20"/>
                <w:szCs w:val="20"/>
              </w:rPr>
              <w:t>2021</w:t>
            </w:r>
          </w:p>
        </w:tc>
        <w:tc>
          <w:tcPr>
            <w:tcW w:w="2578" w:type="dxa"/>
          </w:tcPr>
          <w:p w14:paraId="3B8D6412" w14:textId="77777777" w:rsidR="000F528E" w:rsidRPr="008157B7" w:rsidRDefault="000F528E" w:rsidP="00321DE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157B7">
              <w:rPr>
                <w:rFonts w:ascii="Times New Roman" w:hAnsi="Times New Roman" w:cs="Times New Roman"/>
                <w:b w:val="0"/>
                <w:bCs w:val="0"/>
                <w:sz w:val="20"/>
                <w:szCs w:val="20"/>
              </w:rPr>
              <w:t>2022</w:t>
            </w:r>
          </w:p>
        </w:tc>
      </w:tr>
      <w:tr w:rsidR="000D7BF1" w:rsidRPr="008157B7" w14:paraId="3F670838" w14:textId="77777777" w:rsidTr="008157B7">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500" w:type="dxa"/>
          </w:tcPr>
          <w:p w14:paraId="0043D0B3" w14:textId="5B6450B5" w:rsidR="000D7BF1" w:rsidRPr="008157B7" w:rsidRDefault="00D241A1" w:rsidP="00321DEC">
            <w:pPr>
              <w:spacing w:line="360" w:lineRule="auto"/>
              <w:jc w:val="both"/>
              <w:rPr>
                <w:rFonts w:ascii="Times New Roman" w:hAnsi="Times New Roman" w:cs="Times New Roman"/>
                <w:b w:val="0"/>
                <w:bCs w:val="0"/>
                <w:sz w:val="20"/>
                <w:szCs w:val="20"/>
              </w:rPr>
            </w:pPr>
            <w:r w:rsidRPr="008157B7">
              <w:rPr>
                <w:rFonts w:ascii="Times New Roman" w:hAnsi="Times New Roman" w:cs="Times New Roman"/>
                <w:b w:val="0"/>
                <w:bCs w:val="0"/>
                <w:sz w:val="20"/>
                <w:szCs w:val="20"/>
              </w:rPr>
              <w:lastRenderedPageBreak/>
              <w:t xml:space="preserve">Market </w:t>
            </w:r>
            <w:r w:rsidR="008157B7" w:rsidRPr="008157B7">
              <w:rPr>
                <w:rFonts w:ascii="Times New Roman" w:hAnsi="Times New Roman" w:cs="Times New Roman"/>
                <w:b w:val="0"/>
                <w:bCs w:val="0"/>
                <w:sz w:val="20"/>
                <w:szCs w:val="20"/>
              </w:rPr>
              <w:t>value of</w:t>
            </w:r>
            <w:r w:rsidRPr="008157B7">
              <w:rPr>
                <w:rFonts w:ascii="Times New Roman" w:hAnsi="Times New Roman" w:cs="Times New Roman"/>
                <w:b w:val="0"/>
                <w:bCs w:val="0"/>
                <w:sz w:val="20"/>
                <w:szCs w:val="20"/>
              </w:rPr>
              <w:t xml:space="preserve"> total</w:t>
            </w:r>
            <w:r w:rsidR="00B21A57" w:rsidRPr="008157B7">
              <w:rPr>
                <w:rFonts w:ascii="Times New Roman" w:hAnsi="Times New Roman" w:cs="Times New Roman"/>
                <w:b w:val="0"/>
                <w:bCs w:val="0"/>
                <w:sz w:val="20"/>
                <w:szCs w:val="20"/>
              </w:rPr>
              <w:t xml:space="preserve"> </w:t>
            </w:r>
            <w:r w:rsidRPr="008157B7">
              <w:rPr>
                <w:rFonts w:ascii="Times New Roman" w:hAnsi="Times New Roman" w:cs="Times New Roman"/>
                <w:b w:val="0"/>
                <w:bCs w:val="0"/>
                <w:sz w:val="20"/>
                <w:szCs w:val="20"/>
              </w:rPr>
              <w:t xml:space="preserve">Equity </w:t>
            </w:r>
          </w:p>
        </w:tc>
        <w:tc>
          <w:tcPr>
            <w:tcW w:w="1500" w:type="dxa"/>
          </w:tcPr>
          <w:p w14:paraId="44AA0365" w14:textId="77777777" w:rsidR="000D7BF1" w:rsidRPr="008157B7" w:rsidRDefault="0049512B"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23,462.45</w:t>
            </w:r>
          </w:p>
        </w:tc>
        <w:tc>
          <w:tcPr>
            <w:tcW w:w="1499" w:type="dxa"/>
          </w:tcPr>
          <w:p w14:paraId="49512584" w14:textId="77777777" w:rsidR="000D7BF1" w:rsidRPr="008157B7" w:rsidRDefault="00873F13"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27,228.17</w:t>
            </w:r>
          </w:p>
        </w:tc>
        <w:tc>
          <w:tcPr>
            <w:tcW w:w="1499" w:type="dxa"/>
          </w:tcPr>
          <w:p w14:paraId="4919096D" w14:textId="77777777" w:rsidR="000D7BF1" w:rsidRPr="008157B7" w:rsidRDefault="009E4F81"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2</w:t>
            </w:r>
            <w:r w:rsidR="001A2CE8" w:rsidRPr="008157B7">
              <w:rPr>
                <w:rFonts w:ascii="Times New Roman" w:hAnsi="Times New Roman" w:cs="Times New Roman"/>
                <w:bCs/>
                <w:sz w:val="20"/>
                <w:szCs w:val="20"/>
              </w:rPr>
              <w:t>7,61</w:t>
            </w:r>
            <w:r w:rsidRPr="008157B7">
              <w:rPr>
                <w:rFonts w:ascii="Times New Roman" w:hAnsi="Times New Roman" w:cs="Times New Roman"/>
                <w:bCs/>
                <w:sz w:val="20"/>
                <w:szCs w:val="20"/>
              </w:rPr>
              <w:t>8.84</w:t>
            </w:r>
          </w:p>
        </w:tc>
        <w:tc>
          <w:tcPr>
            <w:tcW w:w="1499" w:type="dxa"/>
          </w:tcPr>
          <w:p w14:paraId="608B7795" w14:textId="77777777" w:rsidR="000D7BF1" w:rsidRPr="008157B7" w:rsidRDefault="00CC3479"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23,939.95</w:t>
            </w:r>
          </w:p>
        </w:tc>
        <w:tc>
          <w:tcPr>
            <w:tcW w:w="2578" w:type="dxa"/>
          </w:tcPr>
          <w:p w14:paraId="617778ED" w14:textId="77777777" w:rsidR="000D7BF1" w:rsidRPr="008157B7" w:rsidRDefault="00766D66"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157B7">
              <w:rPr>
                <w:rFonts w:ascii="Times New Roman" w:hAnsi="Times New Roman" w:cs="Times New Roman"/>
                <w:sz w:val="20"/>
                <w:szCs w:val="20"/>
              </w:rPr>
              <w:t>19</w:t>
            </w:r>
            <w:r w:rsidR="00384D20" w:rsidRPr="008157B7">
              <w:rPr>
                <w:rFonts w:ascii="Times New Roman" w:hAnsi="Times New Roman" w:cs="Times New Roman"/>
                <w:sz w:val="20"/>
                <w:szCs w:val="20"/>
              </w:rPr>
              <w:t>,</w:t>
            </w:r>
            <w:r w:rsidRPr="008157B7">
              <w:rPr>
                <w:rFonts w:ascii="Times New Roman" w:hAnsi="Times New Roman" w:cs="Times New Roman"/>
                <w:sz w:val="20"/>
                <w:szCs w:val="20"/>
              </w:rPr>
              <w:t>425.43</w:t>
            </w:r>
          </w:p>
        </w:tc>
      </w:tr>
      <w:tr w:rsidR="00C8281B" w:rsidRPr="008157B7" w14:paraId="4CD912B3" w14:textId="77777777" w:rsidTr="008157B7">
        <w:trPr>
          <w:trHeight w:val="612"/>
        </w:trPr>
        <w:tc>
          <w:tcPr>
            <w:cnfStyle w:val="001000000000" w:firstRow="0" w:lastRow="0" w:firstColumn="1" w:lastColumn="0" w:oddVBand="0" w:evenVBand="0" w:oddHBand="0" w:evenHBand="0" w:firstRowFirstColumn="0" w:firstRowLastColumn="0" w:lastRowFirstColumn="0" w:lastRowLastColumn="0"/>
            <w:tcW w:w="1500" w:type="dxa"/>
          </w:tcPr>
          <w:p w14:paraId="6EB32A4D" w14:textId="77777777" w:rsidR="00C8281B" w:rsidRPr="008157B7" w:rsidRDefault="00DC4B67" w:rsidP="00321DEC">
            <w:pPr>
              <w:spacing w:line="360" w:lineRule="auto"/>
              <w:jc w:val="both"/>
              <w:rPr>
                <w:rFonts w:ascii="Times New Roman" w:hAnsi="Times New Roman" w:cs="Times New Roman"/>
                <w:b w:val="0"/>
                <w:bCs w:val="0"/>
                <w:sz w:val="20"/>
                <w:szCs w:val="20"/>
              </w:rPr>
            </w:pPr>
            <w:r w:rsidRPr="008157B7">
              <w:rPr>
                <w:rFonts w:ascii="Times New Roman" w:hAnsi="Times New Roman" w:cs="Times New Roman"/>
                <w:b w:val="0"/>
                <w:bCs w:val="0"/>
                <w:sz w:val="20"/>
                <w:szCs w:val="20"/>
              </w:rPr>
              <w:t xml:space="preserve">Less Book value of Equity </w:t>
            </w:r>
          </w:p>
        </w:tc>
        <w:tc>
          <w:tcPr>
            <w:tcW w:w="1500" w:type="dxa"/>
          </w:tcPr>
          <w:p w14:paraId="6A6AC3A2" w14:textId="77777777" w:rsidR="00C8281B" w:rsidRPr="008157B7" w:rsidRDefault="002D6D00"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1085.22</w:t>
            </w:r>
          </w:p>
        </w:tc>
        <w:tc>
          <w:tcPr>
            <w:tcW w:w="1499" w:type="dxa"/>
          </w:tcPr>
          <w:p w14:paraId="1CDFFAD7" w14:textId="77777777" w:rsidR="00C8281B" w:rsidRPr="008157B7" w:rsidRDefault="002D6D00"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1085.22</w:t>
            </w:r>
          </w:p>
        </w:tc>
        <w:tc>
          <w:tcPr>
            <w:tcW w:w="1499" w:type="dxa"/>
          </w:tcPr>
          <w:p w14:paraId="57A6CD8A" w14:textId="77777777" w:rsidR="00C8281B" w:rsidRPr="008157B7" w:rsidRDefault="002D6D00"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1085.22</w:t>
            </w:r>
          </w:p>
        </w:tc>
        <w:tc>
          <w:tcPr>
            <w:tcW w:w="1499" w:type="dxa"/>
          </w:tcPr>
          <w:p w14:paraId="35281341" w14:textId="77777777" w:rsidR="00C8281B" w:rsidRPr="008157B7" w:rsidRDefault="002A6B68"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w:t>
            </w:r>
            <w:r w:rsidR="002D6D00" w:rsidRPr="008157B7">
              <w:rPr>
                <w:rFonts w:ascii="Times New Roman" w:hAnsi="Times New Roman" w:cs="Times New Roman"/>
                <w:bCs/>
                <w:sz w:val="20"/>
                <w:szCs w:val="20"/>
              </w:rPr>
              <w:t>085.22</w:t>
            </w:r>
          </w:p>
        </w:tc>
        <w:tc>
          <w:tcPr>
            <w:tcW w:w="2578" w:type="dxa"/>
          </w:tcPr>
          <w:p w14:paraId="5D778292" w14:textId="77777777" w:rsidR="00C8281B" w:rsidRPr="008157B7" w:rsidRDefault="002A6B68"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1085.22</w:t>
            </w:r>
          </w:p>
        </w:tc>
      </w:tr>
      <w:tr w:rsidR="00C8281B" w:rsidRPr="008157B7" w14:paraId="472C8A55" w14:textId="77777777" w:rsidTr="008157B7">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500" w:type="dxa"/>
          </w:tcPr>
          <w:p w14:paraId="3EAF39F0" w14:textId="77777777" w:rsidR="00C8281B" w:rsidRPr="008157B7" w:rsidRDefault="00DC4B67" w:rsidP="00321DEC">
            <w:pPr>
              <w:spacing w:line="360" w:lineRule="auto"/>
              <w:jc w:val="both"/>
              <w:rPr>
                <w:rFonts w:ascii="Times New Roman" w:hAnsi="Times New Roman" w:cs="Times New Roman"/>
                <w:b w:val="0"/>
                <w:bCs w:val="0"/>
                <w:sz w:val="20"/>
                <w:szCs w:val="20"/>
              </w:rPr>
            </w:pPr>
            <w:r w:rsidRPr="008157B7">
              <w:rPr>
                <w:rFonts w:ascii="Times New Roman" w:hAnsi="Times New Roman" w:cs="Times New Roman"/>
                <w:b w:val="0"/>
                <w:bCs w:val="0"/>
                <w:sz w:val="20"/>
                <w:szCs w:val="20"/>
              </w:rPr>
              <w:t xml:space="preserve">Market Value Added </w:t>
            </w:r>
          </w:p>
        </w:tc>
        <w:tc>
          <w:tcPr>
            <w:tcW w:w="1500" w:type="dxa"/>
          </w:tcPr>
          <w:p w14:paraId="634E8F04" w14:textId="77777777" w:rsidR="00C8281B" w:rsidRPr="008157B7" w:rsidRDefault="00495770"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22,377.23 </w:t>
            </w:r>
          </w:p>
        </w:tc>
        <w:tc>
          <w:tcPr>
            <w:tcW w:w="1499" w:type="dxa"/>
          </w:tcPr>
          <w:p w14:paraId="57D17CB2" w14:textId="77777777" w:rsidR="00C8281B" w:rsidRPr="008157B7" w:rsidRDefault="00E12E89"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26,142.95 </w:t>
            </w:r>
          </w:p>
        </w:tc>
        <w:tc>
          <w:tcPr>
            <w:tcW w:w="1499" w:type="dxa"/>
          </w:tcPr>
          <w:p w14:paraId="1AA99641" w14:textId="77777777" w:rsidR="00C8281B" w:rsidRPr="008157B7" w:rsidRDefault="00E12E89"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26,533.62 </w:t>
            </w:r>
          </w:p>
        </w:tc>
        <w:tc>
          <w:tcPr>
            <w:tcW w:w="1499" w:type="dxa"/>
          </w:tcPr>
          <w:p w14:paraId="76F5EA11" w14:textId="77777777" w:rsidR="00C8281B" w:rsidRPr="008157B7" w:rsidRDefault="00E12E89"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22,854.73 </w:t>
            </w:r>
          </w:p>
        </w:tc>
        <w:tc>
          <w:tcPr>
            <w:tcW w:w="2578" w:type="dxa"/>
          </w:tcPr>
          <w:p w14:paraId="53217FB1" w14:textId="77777777" w:rsidR="00C8281B" w:rsidRPr="008157B7" w:rsidRDefault="00787884"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18</w:t>
            </w:r>
            <w:r w:rsidR="00384D20" w:rsidRPr="008157B7">
              <w:rPr>
                <w:rFonts w:ascii="Times New Roman" w:hAnsi="Times New Roman" w:cs="Times New Roman"/>
                <w:bCs/>
                <w:sz w:val="20"/>
                <w:szCs w:val="20"/>
              </w:rPr>
              <w:t>,34</w:t>
            </w:r>
            <w:r w:rsidRPr="008157B7">
              <w:rPr>
                <w:rFonts w:ascii="Times New Roman" w:hAnsi="Times New Roman" w:cs="Times New Roman"/>
                <w:bCs/>
                <w:sz w:val="20"/>
                <w:szCs w:val="20"/>
              </w:rPr>
              <w:t>0.21</w:t>
            </w:r>
          </w:p>
        </w:tc>
      </w:tr>
      <w:tr w:rsidR="00C8281B" w:rsidRPr="008157B7" w14:paraId="57490B4C" w14:textId="77777777" w:rsidTr="008157B7">
        <w:trPr>
          <w:trHeight w:val="1225"/>
        </w:trPr>
        <w:tc>
          <w:tcPr>
            <w:cnfStyle w:val="001000000000" w:firstRow="0" w:lastRow="0" w:firstColumn="1" w:lastColumn="0" w:oddVBand="0" w:evenVBand="0" w:oddHBand="0" w:evenHBand="0" w:firstRowFirstColumn="0" w:firstRowLastColumn="0" w:lastRowFirstColumn="0" w:lastRowLastColumn="0"/>
            <w:tcW w:w="1500" w:type="dxa"/>
          </w:tcPr>
          <w:p w14:paraId="03C9FEC6" w14:textId="1B40B774" w:rsidR="00DC4B67" w:rsidRPr="008157B7" w:rsidRDefault="00DC4B67" w:rsidP="00321DEC">
            <w:pPr>
              <w:spacing w:line="360" w:lineRule="auto"/>
              <w:jc w:val="both"/>
              <w:rPr>
                <w:rFonts w:ascii="Times New Roman" w:hAnsi="Times New Roman" w:cs="Times New Roman"/>
                <w:b w:val="0"/>
                <w:sz w:val="20"/>
                <w:szCs w:val="20"/>
              </w:rPr>
            </w:pPr>
            <w:r w:rsidRPr="008157B7">
              <w:rPr>
                <w:rFonts w:ascii="Times New Roman" w:hAnsi="Times New Roman" w:cs="Times New Roman"/>
                <w:b w:val="0"/>
                <w:bCs w:val="0"/>
                <w:sz w:val="20"/>
                <w:szCs w:val="20"/>
              </w:rPr>
              <w:t>Total Number of Shares</w:t>
            </w:r>
            <w:r w:rsidR="008157B7">
              <w:rPr>
                <w:rFonts w:ascii="Times New Roman" w:hAnsi="Times New Roman" w:cs="Times New Roman"/>
                <w:b w:val="0"/>
                <w:bCs w:val="0"/>
                <w:sz w:val="20"/>
                <w:szCs w:val="20"/>
              </w:rPr>
              <w:t xml:space="preserve"> </w:t>
            </w:r>
            <w:r w:rsidRPr="008157B7">
              <w:rPr>
                <w:rFonts w:ascii="Times New Roman" w:hAnsi="Times New Roman" w:cs="Times New Roman"/>
                <w:b w:val="0"/>
                <w:bCs w:val="0"/>
                <w:sz w:val="20"/>
                <w:szCs w:val="20"/>
              </w:rPr>
              <w:t xml:space="preserve">Outstanding </w:t>
            </w:r>
          </w:p>
        </w:tc>
        <w:tc>
          <w:tcPr>
            <w:tcW w:w="1500" w:type="dxa"/>
          </w:tcPr>
          <w:p w14:paraId="773F9E82" w14:textId="77777777" w:rsidR="00C8281B" w:rsidRPr="008157B7" w:rsidRDefault="00B36867"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108,521,981 </w:t>
            </w:r>
          </w:p>
        </w:tc>
        <w:tc>
          <w:tcPr>
            <w:tcW w:w="1499" w:type="dxa"/>
          </w:tcPr>
          <w:p w14:paraId="5EB0E459" w14:textId="77777777" w:rsidR="00C8281B" w:rsidRPr="008157B7" w:rsidRDefault="00B36867"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108,521,981 </w:t>
            </w:r>
          </w:p>
        </w:tc>
        <w:tc>
          <w:tcPr>
            <w:tcW w:w="1499" w:type="dxa"/>
          </w:tcPr>
          <w:p w14:paraId="433525BD" w14:textId="77777777" w:rsidR="00C8281B" w:rsidRPr="008157B7" w:rsidRDefault="00050DE1"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108,521,981 </w:t>
            </w:r>
          </w:p>
        </w:tc>
        <w:tc>
          <w:tcPr>
            <w:tcW w:w="1499" w:type="dxa"/>
          </w:tcPr>
          <w:p w14:paraId="68F5A3B7" w14:textId="77777777" w:rsidR="00C8281B" w:rsidRPr="008157B7" w:rsidRDefault="00050DE1"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108,521,981 </w:t>
            </w:r>
          </w:p>
        </w:tc>
        <w:tc>
          <w:tcPr>
            <w:tcW w:w="2578" w:type="dxa"/>
          </w:tcPr>
          <w:p w14:paraId="32969E70" w14:textId="77777777" w:rsidR="00C8281B" w:rsidRPr="008157B7" w:rsidRDefault="005D48DF"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108</w:t>
            </w:r>
            <w:r w:rsidR="00CD7F92" w:rsidRPr="008157B7">
              <w:rPr>
                <w:rFonts w:ascii="Times New Roman" w:hAnsi="Times New Roman" w:cs="Times New Roman"/>
                <w:bCs/>
                <w:sz w:val="20"/>
                <w:szCs w:val="20"/>
              </w:rPr>
              <w:t>,</w:t>
            </w:r>
            <w:r w:rsidRPr="008157B7">
              <w:rPr>
                <w:rFonts w:ascii="Times New Roman" w:hAnsi="Times New Roman" w:cs="Times New Roman"/>
                <w:bCs/>
                <w:sz w:val="20"/>
                <w:szCs w:val="20"/>
              </w:rPr>
              <w:t>521</w:t>
            </w:r>
            <w:r w:rsidR="00CD7F92" w:rsidRPr="008157B7">
              <w:rPr>
                <w:rFonts w:ascii="Times New Roman" w:hAnsi="Times New Roman" w:cs="Times New Roman"/>
                <w:bCs/>
                <w:sz w:val="20"/>
                <w:szCs w:val="20"/>
              </w:rPr>
              <w:t>,</w:t>
            </w:r>
            <w:r w:rsidR="00095326" w:rsidRPr="008157B7">
              <w:rPr>
                <w:rFonts w:ascii="Times New Roman" w:hAnsi="Times New Roman" w:cs="Times New Roman"/>
                <w:bCs/>
                <w:sz w:val="20"/>
                <w:szCs w:val="20"/>
              </w:rPr>
              <w:t>981</w:t>
            </w:r>
          </w:p>
        </w:tc>
      </w:tr>
      <w:tr w:rsidR="00C8281B" w:rsidRPr="008157B7" w14:paraId="2AA93430" w14:textId="77777777" w:rsidTr="008157B7">
        <w:trPr>
          <w:cnfStyle w:val="000000100000" w:firstRow="0" w:lastRow="0" w:firstColumn="0" w:lastColumn="0" w:oddVBand="0" w:evenVBand="0" w:oddHBand="1" w:evenHBand="0" w:firstRowFirstColumn="0" w:firstRowLastColumn="0" w:lastRowFirstColumn="0" w:lastRowLastColumn="0"/>
          <w:trHeight w:val="1216"/>
        </w:trPr>
        <w:tc>
          <w:tcPr>
            <w:cnfStyle w:val="001000000000" w:firstRow="0" w:lastRow="0" w:firstColumn="1" w:lastColumn="0" w:oddVBand="0" w:evenVBand="0" w:oddHBand="0" w:evenHBand="0" w:firstRowFirstColumn="0" w:firstRowLastColumn="0" w:lastRowFirstColumn="0" w:lastRowLastColumn="0"/>
            <w:tcW w:w="1500" w:type="dxa"/>
          </w:tcPr>
          <w:p w14:paraId="6E9075BD" w14:textId="2856F8E2" w:rsidR="00A4792A" w:rsidRPr="008157B7" w:rsidRDefault="00A4792A" w:rsidP="00321DEC">
            <w:pPr>
              <w:spacing w:line="360" w:lineRule="auto"/>
              <w:jc w:val="both"/>
              <w:rPr>
                <w:rFonts w:ascii="Times New Roman" w:hAnsi="Times New Roman" w:cs="Times New Roman"/>
                <w:sz w:val="20"/>
                <w:szCs w:val="20"/>
              </w:rPr>
            </w:pPr>
            <w:r w:rsidRPr="008157B7">
              <w:rPr>
                <w:rFonts w:ascii="Times New Roman" w:hAnsi="Times New Roman" w:cs="Times New Roman"/>
                <w:bCs w:val="0"/>
                <w:sz w:val="20"/>
                <w:szCs w:val="20"/>
              </w:rPr>
              <w:t xml:space="preserve">Market value per Share (in BDT) </w:t>
            </w:r>
            <w:r w:rsidR="008157B7" w:rsidRPr="008157B7">
              <w:rPr>
                <w:rFonts w:ascii="Times New Roman" w:hAnsi="Times New Roman" w:cs="Times New Roman"/>
                <w:sz w:val="20"/>
                <w:szCs w:val="20"/>
              </w:rPr>
              <w:t>a</w:t>
            </w:r>
            <w:r w:rsidRPr="008157B7">
              <w:rPr>
                <w:rFonts w:ascii="Times New Roman" w:hAnsi="Times New Roman" w:cs="Times New Roman"/>
                <w:bCs w:val="0"/>
                <w:sz w:val="20"/>
                <w:szCs w:val="20"/>
              </w:rPr>
              <w:t xml:space="preserve">t year end </w:t>
            </w:r>
          </w:p>
        </w:tc>
        <w:tc>
          <w:tcPr>
            <w:tcW w:w="1500" w:type="dxa"/>
          </w:tcPr>
          <w:p w14:paraId="3701B691" w14:textId="77777777" w:rsidR="00C8281B" w:rsidRPr="008157B7" w:rsidRDefault="007B48C6"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8157B7">
              <w:rPr>
                <w:rFonts w:ascii="Times New Roman" w:hAnsi="Times New Roman" w:cs="Times New Roman"/>
                <w:b/>
                <w:bCs/>
                <w:sz w:val="20"/>
                <w:szCs w:val="20"/>
              </w:rPr>
              <w:t>216.20</w:t>
            </w:r>
          </w:p>
        </w:tc>
        <w:tc>
          <w:tcPr>
            <w:tcW w:w="1499" w:type="dxa"/>
          </w:tcPr>
          <w:p w14:paraId="57C5A986" w14:textId="77777777" w:rsidR="00C8281B" w:rsidRPr="008157B7" w:rsidRDefault="007B48C6"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8157B7">
              <w:rPr>
                <w:rFonts w:ascii="Times New Roman" w:hAnsi="Times New Roman" w:cs="Times New Roman"/>
                <w:b/>
                <w:bCs/>
                <w:sz w:val="20"/>
                <w:szCs w:val="20"/>
              </w:rPr>
              <w:t>250.90</w:t>
            </w:r>
          </w:p>
        </w:tc>
        <w:tc>
          <w:tcPr>
            <w:tcW w:w="1499" w:type="dxa"/>
          </w:tcPr>
          <w:p w14:paraId="55055325" w14:textId="77777777" w:rsidR="00C8281B" w:rsidRPr="008157B7" w:rsidRDefault="00AD2398"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8157B7">
              <w:rPr>
                <w:rFonts w:ascii="Times New Roman" w:hAnsi="Times New Roman" w:cs="Times New Roman"/>
                <w:b/>
                <w:bCs/>
                <w:sz w:val="20"/>
                <w:szCs w:val="20"/>
              </w:rPr>
              <w:t>254.5</w:t>
            </w:r>
            <w:r w:rsidR="00924D4C" w:rsidRPr="008157B7">
              <w:rPr>
                <w:rFonts w:ascii="Times New Roman" w:hAnsi="Times New Roman" w:cs="Times New Roman"/>
                <w:b/>
                <w:bCs/>
                <w:sz w:val="20"/>
                <w:szCs w:val="20"/>
              </w:rPr>
              <w:t>0</w:t>
            </w:r>
          </w:p>
        </w:tc>
        <w:tc>
          <w:tcPr>
            <w:tcW w:w="1499" w:type="dxa"/>
          </w:tcPr>
          <w:p w14:paraId="485387A2" w14:textId="77777777" w:rsidR="00C8281B" w:rsidRPr="008157B7" w:rsidRDefault="00AD2398"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8157B7">
              <w:rPr>
                <w:rFonts w:ascii="Times New Roman" w:hAnsi="Times New Roman" w:cs="Times New Roman"/>
                <w:b/>
                <w:bCs/>
                <w:sz w:val="20"/>
                <w:szCs w:val="20"/>
              </w:rPr>
              <w:t>222.6</w:t>
            </w:r>
            <w:r w:rsidR="007B48C6" w:rsidRPr="008157B7">
              <w:rPr>
                <w:rFonts w:ascii="Times New Roman" w:hAnsi="Times New Roman" w:cs="Times New Roman"/>
                <w:b/>
                <w:bCs/>
                <w:sz w:val="20"/>
                <w:szCs w:val="20"/>
              </w:rPr>
              <w:t>0</w:t>
            </w:r>
          </w:p>
        </w:tc>
        <w:tc>
          <w:tcPr>
            <w:tcW w:w="2578" w:type="dxa"/>
          </w:tcPr>
          <w:p w14:paraId="47873FD9" w14:textId="77777777" w:rsidR="00C8281B" w:rsidRPr="008157B7" w:rsidRDefault="00B525BD"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8157B7">
              <w:rPr>
                <w:rFonts w:ascii="Times New Roman" w:hAnsi="Times New Roman" w:cs="Times New Roman"/>
                <w:b/>
                <w:bCs/>
                <w:sz w:val="20"/>
                <w:szCs w:val="20"/>
              </w:rPr>
              <w:t>179.00</w:t>
            </w:r>
          </w:p>
        </w:tc>
      </w:tr>
      <w:tr w:rsidR="00C8281B" w:rsidRPr="008157B7" w14:paraId="30110E5C" w14:textId="77777777" w:rsidTr="008157B7">
        <w:trPr>
          <w:trHeight w:val="612"/>
        </w:trPr>
        <w:tc>
          <w:tcPr>
            <w:cnfStyle w:val="001000000000" w:firstRow="0" w:lastRow="0" w:firstColumn="1" w:lastColumn="0" w:oddVBand="0" w:evenVBand="0" w:oddHBand="0" w:evenHBand="0" w:firstRowFirstColumn="0" w:firstRowLastColumn="0" w:lastRowFirstColumn="0" w:lastRowLastColumn="0"/>
            <w:tcW w:w="1500" w:type="dxa"/>
          </w:tcPr>
          <w:p w14:paraId="3843CC70" w14:textId="77777777" w:rsidR="00C8281B" w:rsidRPr="008157B7" w:rsidRDefault="00A4792A" w:rsidP="00321DEC">
            <w:pPr>
              <w:spacing w:line="360" w:lineRule="auto"/>
              <w:jc w:val="both"/>
              <w:rPr>
                <w:rFonts w:ascii="Times New Roman" w:hAnsi="Times New Roman" w:cs="Times New Roman"/>
                <w:b w:val="0"/>
                <w:bCs w:val="0"/>
                <w:sz w:val="20"/>
                <w:szCs w:val="20"/>
              </w:rPr>
            </w:pPr>
            <w:r w:rsidRPr="008157B7">
              <w:rPr>
                <w:rFonts w:ascii="Times New Roman" w:hAnsi="Times New Roman" w:cs="Times New Roman"/>
                <w:b w:val="0"/>
                <w:bCs w:val="0"/>
                <w:sz w:val="20"/>
                <w:szCs w:val="20"/>
              </w:rPr>
              <w:t xml:space="preserve">Book value per share </w:t>
            </w:r>
          </w:p>
        </w:tc>
        <w:tc>
          <w:tcPr>
            <w:tcW w:w="1500" w:type="dxa"/>
          </w:tcPr>
          <w:p w14:paraId="1C06A49B" w14:textId="77777777" w:rsidR="00C8281B" w:rsidRPr="008157B7" w:rsidRDefault="007A5670"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10.00 </w:t>
            </w:r>
          </w:p>
        </w:tc>
        <w:tc>
          <w:tcPr>
            <w:tcW w:w="1499" w:type="dxa"/>
          </w:tcPr>
          <w:p w14:paraId="45E57F76" w14:textId="77777777" w:rsidR="00C8281B" w:rsidRPr="008157B7" w:rsidRDefault="00BB5228"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10.00 </w:t>
            </w:r>
          </w:p>
        </w:tc>
        <w:tc>
          <w:tcPr>
            <w:tcW w:w="1499" w:type="dxa"/>
          </w:tcPr>
          <w:p w14:paraId="1057B1B4" w14:textId="77777777" w:rsidR="00C8281B" w:rsidRPr="008157B7" w:rsidRDefault="00BB5228"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10.00 </w:t>
            </w:r>
          </w:p>
        </w:tc>
        <w:tc>
          <w:tcPr>
            <w:tcW w:w="1499" w:type="dxa"/>
          </w:tcPr>
          <w:p w14:paraId="0F490615" w14:textId="77777777" w:rsidR="00C8281B" w:rsidRPr="008157B7" w:rsidRDefault="00BB5228"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10.00 </w:t>
            </w:r>
          </w:p>
        </w:tc>
        <w:tc>
          <w:tcPr>
            <w:tcW w:w="2578" w:type="dxa"/>
          </w:tcPr>
          <w:p w14:paraId="7F7B163D" w14:textId="77777777" w:rsidR="00C8281B" w:rsidRPr="008157B7" w:rsidRDefault="00B525BD"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10.00</w:t>
            </w:r>
          </w:p>
        </w:tc>
      </w:tr>
    </w:tbl>
    <w:p w14:paraId="44D16482" w14:textId="77777777" w:rsidR="00902151" w:rsidRDefault="00902151" w:rsidP="00902151">
      <w:pPr>
        <w:spacing w:line="360" w:lineRule="auto"/>
        <w:jc w:val="center"/>
        <w:rPr>
          <w:rFonts w:ascii="Times New Roman" w:hAnsi="Times New Roman" w:cs="Times New Roman"/>
          <w:b/>
          <w:bCs/>
        </w:rPr>
      </w:pPr>
    </w:p>
    <w:p w14:paraId="7B5BA0F1" w14:textId="419593F3" w:rsidR="00902151" w:rsidRPr="002C0C4F" w:rsidRDefault="008459E4" w:rsidP="00321DEC">
      <w:pPr>
        <w:spacing w:line="360" w:lineRule="auto"/>
        <w:jc w:val="both"/>
        <w:rPr>
          <w:rStyle w:val="Heading2Char"/>
        </w:rPr>
      </w:pPr>
      <w:r w:rsidRPr="00321DEC">
        <w:rPr>
          <w:rFonts w:ascii="Times New Roman" w:hAnsi="Times New Roman" w:cs="Times New Roman"/>
          <w:noProof/>
        </w:rPr>
        <w:drawing>
          <wp:anchor distT="0" distB="0" distL="114300" distR="114300" simplePos="0" relativeHeight="251658253" behindDoc="0" locked="0" layoutInCell="1" allowOverlap="1" wp14:anchorId="40DB0673" wp14:editId="2EC34C88">
            <wp:simplePos x="0" y="0"/>
            <wp:positionH relativeFrom="margin">
              <wp:align>center</wp:align>
            </wp:positionH>
            <wp:positionV relativeFrom="paragraph">
              <wp:posOffset>418856</wp:posOffset>
            </wp:positionV>
            <wp:extent cx="4378325" cy="2719705"/>
            <wp:effectExtent l="0" t="0" r="3175" b="4445"/>
            <wp:wrapTopAndBottom/>
            <wp:docPr id="15" name="Chart 15">
              <a:extLst xmlns:a="http://schemas.openxmlformats.org/drawingml/2006/main">
                <a:ext uri="{FF2B5EF4-FFF2-40B4-BE49-F238E27FC236}">
                  <a16:creationId xmlns:a16="http://schemas.microsoft.com/office/drawing/2014/main" id="{97150F4F-3303-8809-055B-A221A836E1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902151">
        <w:rPr>
          <w:rFonts w:ascii="Times New Roman" w:hAnsi="Times New Roman" w:cs="Times New Roman"/>
          <w:b/>
          <w:bCs/>
        </w:rPr>
        <w:t>4.</w:t>
      </w:r>
      <w:r w:rsidR="002C0C4F">
        <w:rPr>
          <w:rStyle w:val="Heading2Char"/>
        </w:rPr>
        <w:t>3</w:t>
      </w:r>
      <w:r w:rsidR="00902151" w:rsidRPr="002C0C4F">
        <w:rPr>
          <w:rStyle w:val="Heading2Char"/>
        </w:rPr>
        <w:t xml:space="preserve"> </w:t>
      </w:r>
      <w:r w:rsidR="00A81158" w:rsidRPr="002C0C4F">
        <w:rPr>
          <w:rStyle w:val="Heading2Char"/>
        </w:rPr>
        <w:t xml:space="preserve">EPS and </w:t>
      </w:r>
      <w:r w:rsidR="00AB0FDB" w:rsidRPr="002C0C4F">
        <w:rPr>
          <w:rStyle w:val="Heading2Char"/>
        </w:rPr>
        <w:t>Dividend Rat</w:t>
      </w:r>
      <w:r w:rsidR="005923CF" w:rsidRPr="002C0C4F">
        <w:rPr>
          <w:rStyle w:val="Heading2Char"/>
        </w:rPr>
        <w:t>e</w:t>
      </w:r>
    </w:p>
    <w:p w14:paraId="34923D35" w14:textId="77777777" w:rsidR="008459E4" w:rsidRDefault="008459E4" w:rsidP="00321DEC">
      <w:pPr>
        <w:spacing w:line="360" w:lineRule="auto"/>
        <w:jc w:val="both"/>
        <w:rPr>
          <w:rFonts w:ascii="Times New Roman" w:hAnsi="Times New Roman" w:cs="Times New Roman"/>
          <w:b/>
          <w:bCs/>
        </w:rPr>
      </w:pPr>
    </w:p>
    <w:p w14:paraId="740BD46E" w14:textId="6942DA51" w:rsidR="00682847" w:rsidRPr="00321DEC" w:rsidRDefault="008459E4" w:rsidP="00321DEC">
      <w:pPr>
        <w:spacing w:line="360" w:lineRule="auto"/>
        <w:jc w:val="both"/>
        <w:rPr>
          <w:rFonts w:ascii="Times New Roman" w:hAnsi="Times New Roman" w:cs="Times New Roman"/>
        </w:rPr>
      </w:pPr>
      <w:r>
        <w:rPr>
          <w:rFonts w:ascii="Times New Roman" w:hAnsi="Times New Roman" w:cs="Times New Roman"/>
        </w:rPr>
        <w:tab/>
      </w:r>
      <w:r w:rsidR="008D3D87" w:rsidRPr="00321DEC">
        <w:rPr>
          <w:rFonts w:ascii="Times New Roman" w:hAnsi="Times New Roman" w:cs="Times New Roman"/>
        </w:rPr>
        <w:t>Analyzing the trends in Earnings Per Share (EPS) and dividend rate from 2018 to 2022 provides insight into National Life Insurance Company Ltd.’s profitability and its distribution policies towards shareholders.</w:t>
      </w:r>
    </w:p>
    <w:p w14:paraId="263471E8" w14:textId="77777777" w:rsidR="008459E4" w:rsidRDefault="008459E4" w:rsidP="00321DEC">
      <w:pPr>
        <w:pStyle w:val="Title"/>
        <w:spacing w:line="360" w:lineRule="auto"/>
        <w:jc w:val="both"/>
        <w:rPr>
          <w:rFonts w:ascii="Times New Roman" w:hAnsi="Times New Roman" w:cs="Times New Roman"/>
          <w:color w:val="000000" w:themeColor="text1"/>
          <w:spacing w:val="-2"/>
          <w:w w:val="90"/>
          <w:sz w:val="24"/>
          <w:szCs w:val="24"/>
        </w:rPr>
      </w:pPr>
    </w:p>
    <w:p w14:paraId="0DD10AF6" w14:textId="77777777" w:rsidR="008459E4" w:rsidRDefault="008459E4" w:rsidP="00321DEC">
      <w:pPr>
        <w:pStyle w:val="Title"/>
        <w:spacing w:line="360" w:lineRule="auto"/>
        <w:jc w:val="both"/>
        <w:rPr>
          <w:rFonts w:ascii="Times New Roman" w:hAnsi="Times New Roman" w:cs="Times New Roman"/>
          <w:color w:val="000000" w:themeColor="text1"/>
          <w:spacing w:val="-2"/>
          <w:w w:val="90"/>
          <w:sz w:val="24"/>
          <w:szCs w:val="24"/>
        </w:rPr>
      </w:pPr>
    </w:p>
    <w:p w14:paraId="4A34C7CD" w14:textId="7D40B1FD" w:rsidR="002E22E0" w:rsidRPr="008459E4" w:rsidRDefault="00F448EE" w:rsidP="008459E4">
      <w:pPr>
        <w:spacing w:before="92" w:line="360" w:lineRule="auto"/>
        <w:jc w:val="both"/>
        <w:rPr>
          <w:rFonts w:ascii="Times New Roman" w:hAnsi="Times New Roman" w:cs="Times New Roman"/>
          <w:i/>
          <w:sz w:val="18"/>
          <w:szCs w:val="18"/>
        </w:rPr>
      </w:pPr>
      <w:r w:rsidRPr="002C0C4F">
        <w:rPr>
          <w:rStyle w:val="Heading2Char"/>
          <w:noProof/>
        </w:rPr>
        <w:drawing>
          <wp:anchor distT="0" distB="0" distL="114300" distR="114300" simplePos="0" relativeHeight="251658255" behindDoc="0" locked="0" layoutInCell="1" allowOverlap="1" wp14:anchorId="6CC715FB" wp14:editId="63EE2535">
            <wp:simplePos x="0" y="0"/>
            <wp:positionH relativeFrom="margin">
              <wp:align>center</wp:align>
            </wp:positionH>
            <wp:positionV relativeFrom="paragraph">
              <wp:posOffset>447968</wp:posOffset>
            </wp:positionV>
            <wp:extent cx="4700905" cy="2531745"/>
            <wp:effectExtent l="0" t="0" r="4445" b="1905"/>
            <wp:wrapTopAndBottom/>
            <wp:docPr id="17" name="Chart 17">
              <a:extLst xmlns:a="http://schemas.openxmlformats.org/drawingml/2006/main">
                <a:ext uri="{FF2B5EF4-FFF2-40B4-BE49-F238E27FC236}">
                  <a16:creationId xmlns:a16="http://schemas.microsoft.com/office/drawing/2014/main" id="{924509B3-E640-1CF9-A95F-B01ECF7AF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bookmarkStart w:id="16" w:name="_Toc188056439"/>
      <w:r w:rsidR="002C0C4F">
        <w:rPr>
          <w:rStyle w:val="Heading2Char"/>
        </w:rPr>
        <w:t xml:space="preserve">4.4 </w:t>
      </w:r>
      <w:r w:rsidR="008459E4" w:rsidRPr="002C0C4F">
        <w:rPr>
          <w:rStyle w:val="Heading2Char"/>
        </w:rPr>
        <w:t>Graphical Presentation of Solvency Ratio</w:t>
      </w:r>
      <w:bookmarkEnd w:id="16"/>
      <w:r w:rsidR="008459E4">
        <w:rPr>
          <w:rFonts w:ascii="Times New Roman" w:hAnsi="Times New Roman" w:cs="Times New Roman"/>
          <w:b/>
          <w:bCs/>
        </w:rPr>
        <w:t>:</w:t>
      </w:r>
    </w:p>
    <w:p w14:paraId="4D3487DE" w14:textId="3B438B9C" w:rsidR="00C51B52" w:rsidRPr="00321DEC" w:rsidRDefault="00C51B52" w:rsidP="00321DEC">
      <w:pPr>
        <w:spacing w:line="360" w:lineRule="auto"/>
        <w:jc w:val="both"/>
        <w:rPr>
          <w:rFonts w:ascii="Times New Roman" w:hAnsi="Times New Roman" w:cs="Times New Roman"/>
          <w:b/>
          <w:bCs/>
        </w:rPr>
      </w:pPr>
    </w:p>
    <w:p w14:paraId="31A68969" w14:textId="17A62514" w:rsidR="00FC0925" w:rsidRPr="002C0C4F" w:rsidRDefault="002C0C4F" w:rsidP="002C0C4F">
      <w:pPr>
        <w:pStyle w:val="Heading2"/>
      </w:pPr>
      <w:bookmarkStart w:id="17" w:name="_Toc188056440"/>
      <w:r>
        <w:t xml:space="preserve">4.5 </w:t>
      </w:r>
      <w:r w:rsidR="00FC0925" w:rsidRPr="00321DEC">
        <w:t>Life</w:t>
      </w:r>
      <w:r w:rsidR="00FC0925" w:rsidRPr="00321DEC">
        <w:rPr>
          <w:spacing w:val="-4"/>
        </w:rPr>
        <w:t xml:space="preserve"> </w:t>
      </w:r>
      <w:r w:rsidR="00FC0925" w:rsidRPr="00321DEC">
        <w:t>Revenue</w:t>
      </w:r>
      <w:r w:rsidR="00FC0925" w:rsidRPr="00321DEC">
        <w:rPr>
          <w:spacing w:val="-14"/>
        </w:rPr>
        <w:t xml:space="preserve"> </w:t>
      </w:r>
      <w:r w:rsidR="00FC0925" w:rsidRPr="00321DEC">
        <w:t>Account</w:t>
      </w:r>
      <w:r w:rsidR="00FC0925" w:rsidRPr="00321DEC">
        <w:rPr>
          <w:spacing w:val="-2"/>
        </w:rPr>
        <w:t xml:space="preserve"> </w:t>
      </w:r>
      <w:r w:rsidR="00FC0925" w:rsidRPr="00321DEC">
        <w:t>(Statement</w:t>
      </w:r>
      <w:r w:rsidR="00FC0925" w:rsidRPr="00321DEC">
        <w:rPr>
          <w:spacing w:val="-1"/>
        </w:rPr>
        <w:t xml:space="preserve"> </w:t>
      </w:r>
      <w:r w:rsidR="00FC0925" w:rsidRPr="00321DEC">
        <w:t>of</w:t>
      </w:r>
      <w:r w:rsidR="00FC0925" w:rsidRPr="00321DEC">
        <w:rPr>
          <w:spacing w:val="-3"/>
        </w:rPr>
        <w:t xml:space="preserve"> </w:t>
      </w:r>
      <w:r w:rsidR="00FC0925" w:rsidRPr="00321DEC">
        <w:t>Profit</w:t>
      </w:r>
      <w:r w:rsidR="00FC0925" w:rsidRPr="00321DEC">
        <w:rPr>
          <w:spacing w:val="-2"/>
        </w:rPr>
        <w:t xml:space="preserve"> </w:t>
      </w:r>
      <w:r w:rsidR="00FC0925" w:rsidRPr="00321DEC">
        <w:t>or</w:t>
      </w:r>
      <w:r w:rsidR="00FC0925" w:rsidRPr="00321DEC">
        <w:rPr>
          <w:spacing w:val="-1"/>
        </w:rPr>
        <w:t xml:space="preserve"> </w:t>
      </w:r>
      <w:r w:rsidR="00FC0925" w:rsidRPr="00321DEC">
        <w:t>Loss</w:t>
      </w:r>
      <w:r w:rsidR="00FC0925" w:rsidRPr="00321DEC">
        <w:rPr>
          <w:spacing w:val="-2"/>
        </w:rPr>
        <w:t xml:space="preserve"> </w:t>
      </w:r>
      <w:r w:rsidR="00FC0925" w:rsidRPr="00321DEC">
        <w:t>and</w:t>
      </w:r>
      <w:r w:rsidR="00FC0925" w:rsidRPr="00321DEC">
        <w:rPr>
          <w:spacing w:val="-1"/>
        </w:rPr>
        <w:t xml:space="preserve"> </w:t>
      </w:r>
      <w:r w:rsidR="00FC0925" w:rsidRPr="00321DEC">
        <w:t>other</w:t>
      </w:r>
      <w:r w:rsidR="00FC0925" w:rsidRPr="00321DEC">
        <w:rPr>
          <w:spacing w:val="-3"/>
        </w:rPr>
        <w:t xml:space="preserve"> </w:t>
      </w:r>
      <w:r w:rsidR="00FC0925" w:rsidRPr="00321DEC">
        <w:t>Comprehensive</w:t>
      </w:r>
      <w:r w:rsidR="00FC0925" w:rsidRPr="00321DEC">
        <w:rPr>
          <w:spacing w:val="-1"/>
        </w:rPr>
        <w:t xml:space="preserve"> </w:t>
      </w:r>
      <w:r w:rsidR="00FC0925" w:rsidRPr="00321DEC">
        <w:rPr>
          <w:spacing w:val="-2"/>
        </w:rPr>
        <w:t>Income)</w:t>
      </w:r>
      <w:bookmarkEnd w:id="17"/>
    </w:p>
    <w:tbl>
      <w:tblPr>
        <w:tblW w:w="0" w:type="auto"/>
        <w:tblInd w:w="390"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left w:w="0" w:type="dxa"/>
          <w:right w:w="0" w:type="dxa"/>
        </w:tblCellMar>
        <w:tblLook w:val="01E0" w:firstRow="1" w:lastRow="1" w:firstColumn="1" w:lastColumn="1" w:noHBand="0" w:noVBand="0"/>
      </w:tblPr>
      <w:tblGrid>
        <w:gridCol w:w="3804"/>
        <w:gridCol w:w="1298"/>
        <w:gridCol w:w="1062"/>
        <w:gridCol w:w="1062"/>
        <w:gridCol w:w="1062"/>
        <w:gridCol w:w="1062"/>
      </w:tblGrid>
      <w:tr w:rsidR="006629EA" w:rsidRPr="003E226A" w14:paraId="6542998E" w14:textId="77777777" w:rsidTr="002A2389">
        <w:trPr>
          <w:trHeight w:val="296"/>
        </w:trPr>
        <w:tc>
          <w:tcPr>
            <w:tcW w:w="3804" w:type="dxa"/>
            <w:tcBorders>
              <w:top w:val="nil"/>
              <w:bottom w:val="nil"/>
              <w:right w:val="nil"/>
            </w:tcBorders>
            <w:shd w:val="clear" w:color="auto" w:fill="5B9BD4"/>
          </w:tcPr>
          <w:p w14:paraId="5CF25297" w14:textId="77777777" w:rsidR="00FC0925" w:rsidRPr="00F448EE" w:rsidRDefault="00FC0925" w:rsidP="00321DEC">
            <w:pPr>
              <w:pStyle w:val="TableParagraph"/>
              <w:spacing w:before="10" w:line="360" w:lineRule="auto"/>
              <w:ind w:left="107"/>
              <w:jc w:val="both"/>
              <w:rPr>
                <w:b/>
                <w:color w:val="FFFFFF" w:themeColor="background1"/>
                <w:sz w:val="20"/>
                <w:szCs w:val="20"/>
              </w:rPr>
            </w:pPr>
            <w:r w:rsidRPr="00F448EE">
              <w:rPr>
                <w:b/>
                <w:color w:val="FFFFFF" w:themeColor="background1"/>
                <w:spacing w:val="-2"/>
                <w:sz w:val="20"/>
                <w:szCs w:val="20"/>
              </w:rPr>
              <w:t>Particulars</w:t>
            </w:r>
          </w:p>
        </w:tc>
        <w:tc>
          <w:tcPr>
            <w:tcW w:w="1298" w:type="dxa"/>
            <w:tcBorders>
              <w:top w:val="nil"/>
              <w:left w:val="nil"/>
              <w:bottom w:val="nil"/>
              <w:right w:val="nil"/>
            </w:tcBorders>
            <w:shd w:val="clear" w:color="auto" w:fill="5B9BD4"/>
          </w:tcPr>
          <w:p w14:paraId="575755B4" w14:textId="77777777" w:rsidR="00FC0925" w:rsidRPr="00F448EE" w:rsidRDefault="00FC0925" w:rsidP="00321DEC">
            <w:pPr>
              <w:pStyle w:val="TableParagraph"/>
              <w:spacing w:before="10" w:line="360" w:lineRule="auto"/>
              <w:ind w:left="112"/>
              <w:jc w:val="both"/>
              <w:rPr>
                <w:b/>
                <w:color w:val="FFFFFF" w:themeColor="background1"/>
                <w:sz w:val="20"/>
                <w:szCs w:val="20"/>
              </w:rPr>
            </w:pPr>
            <w:r w:rsidRPr="00F448EE">
              <w:rPr>
                <w:b/>
                <w:color w:val="FFFFFF" w:themeColor="background1"/>
                <w:spacing w:val="-4"/>
                <w:sz w:val="20"/>
                <w:szCs w:val="20"/>
              </w:rPr>
              <w:t>2022</w:t>
            </w:r>
          </w:p>
        </w:tc>
        <w:tc>
          <w:tcPr>
            <w:tcW w:w="1062" w:type="dxa"/>
            <w:tcBorders>
              <w:top w:val="nil"/>
              <w:left w:val="nil"/>
              <w:bottom w:val="nil"/>
              <w:right w:val="nil"/>
            </w:tcBorders>
            <w:shd w:val="clear" w:color="auto" w:fill="5B9BD4"/>
          </w:tcPr>
          <w:p w14:paraId="4C7FB4FA" w14:textId="77777777" w:rsidR="00FC0925" w:rsidRPr="00F448EE" w:rsidRDefault="00FC0925" w:rsidP="00321DEC">
            <w:pPr>
              <w:pStyle w:val="TableParagraph"/>
              <w:spacing w:before="10" w:line="360" w:lineRule="auto"/>
              <w:ind w:left="113"/>
              <w:jc w:val="both"/>
              <w:rPr>
                <w:b/>
                <w:color w:val="FFFFFF" w:themeColor="background1"/>
                <w:sz w:val="20"/>
                <w:szCs w:val="20"/>
              </w:rPr>
            </w:pPr>
            <w:r w:rsidRPr="00F448EE">
              <w:rPr>
                <w:b/>
                <w:color w:val="FFFFFF" w:themeColor="background1"/>
                <w:spacing w:val="-4"/>
                <w:sz w:val="20"/>
                <w:szCs w:val="20"/>
              </w:rPr>
              <w:t>2021</w:t>
            </w:r>
          </w:p>
        </w:tc>
        <w:tc>
          <w:tcPr>
            <w:tcW w:w="1062" w:type="dxa"/>
            <w:tcBorders>
              <w:top w:val="nil"/>
              <w:left w:val="nil"/>
              <w:bottom w:val="nil"/>
              <w:right w:val="nil"/>
            </w:tcBorders>
            <w:shd w:val="clear" w:color="auto" w:fill="5B9BD4"/>
          </w:tcPr>
          <w:p w14:paraId="5A4ECBD0" w14:textId="77777777" w:rsidR="00FC0925" w:rsidRPr="00F448EE" w:rsidRDefault="00FC0925" w:rsidP="00321DEC">
            <w:pPr>
              <w:pStyle w:val="TableParagraph"/>
              <w:spacing w:before="10" w:line="360" w:lineRule="auto"/>
              <w:ind w:left="113"/>
              <w:jc w:val="both"/>
              <w:rPr>
                <w:b/>
                <w:color w:val="FFFFFF" w:themeColor="background1"/>
                <w:sz w:val="20"/>
                <w:szCs w:val="20"/>
              </w:rPr>
            </w:pPr>
            <w:r w:rsidRPr="00F448EE">
              <w:rPr>
                <w:b/>
                <w:color w:val="FFFFFF" w:themeColor="background1"/>
                <w:spacing w:val="-4"/>
                <w:sz w:val="20"/>
                <w:szCs w:val="20"/>
              </w:rPr>
              <w:t>2020</w:t>
            </w:r>
          </w:p>
        </w:tc>
        <w:tc>
          <w:tcPr>
            <w:tcW w:w="1062" w:type="dxa"/>
            <w:tcBorders>
              <w:top w:val="nil"/>
              <w:left w:val="nil"/>
              <w:bottom w:val="nil"/>
              <w:right w:val="nil"/>
            </w:tcBorders>
            <w:shd w:val="clear" w:color="auto" w:fill="5B9BD4"/>
          </w:tcPr>
          <w:p w14:paraId="1BEDC11B" w14:textId="77777777" w:rsidR="00FC0925" w:rsidRPr="00F448EE" w:rsidRDefault="00FC0925" w:rsidP="00321DEC">
            <w:pPr>
              <w:pStyle w:val="TableParagraph"/>
              <w:spacing w:before="10" w:line="360" w:lineRule="auto"/>
              <w:ind w:left="113"/>
              <w:jc w:val="both"/>
              <w:rPr>
                <w:b/>
                <w:color w:val="FFFFFF" w:themeColor="background1"/>
                <w:sz w:val="20"/>
                <w:szCs w:val="20"/>
              </w:rPr>
            </w:pPr>
            <w:r w:rsidRPr="00F448EE">
              <w:rPr>
                <w:b/>
                <w:color w:val="FFFFFF" w:themeColor="background1"/>
                <w:spacing w:val="-4"/>
                <w:sz w:val="20"/>
                <w:szCs w:val="20"/>
              </w:rPr>
              <w:t>2019</w:t>
            </w:r>
          </w:p>
        </w:tc>
        <w:tc>
          <w:tcPr>
            <w:tcW w:w="1062" w:type="dxa"/>
            <w:tcBorders>
              <w:top w:val="nil"/>
              <w:left w:val="nil"/>
              <w:bottom w:val="nil"/>
            </w:tcBorders>
            <w:shd w:val="clear" w:color="auto" w:fill="5B9BD4"/>
          </w:tcPr>
          <w:p w14:paraId="0B15FAC9" w14:textId="77777777" w:rsidR="00FC0925" w:rsidRPr="00F448EE" w:rsidRDefault="00FC0925" w:rsidP="00321DEC">
            <w:pPr>
              <w:pStyle w:val="TableParagraph"/>
              <w:spacing w:before="10" w:line="360" w:lineRule="auto"/>
              <w:ind w:left="113"/>
              <w:jc w:val="both"/>
              <w:rPr>
                <w:b/>
                <w:color w:val="FFFFFF" w:themeColor="background1"/>
                <w:sz w:val="20"/>
                <w:szCs w:val="20"/>
              </w:rPr>
            </w:pPr>
            <w:r w:rsidRPr="00F448EE">
              <w:rPr>
                <w:b/>
                <w:color w:val="FFFFFF" w:themeColor="background1"/>
                <w:spacing w:val="-4"/>
                <w:sz w:val="20"/>
                <w:szCs w:val="20"/>
              </w:rPr>
              <w:t>2018</w:t>
            </w:r>
          </w:p>
        </w:tc>
      </w:tr>
      <w:tr w:rsidR="00FC0925" w:rsidRPr="003E226A" w14:paraId="00BA3E0E" w14:textId="77777777" w:rsidTr="002A2389">
        <w:trPr>
          <w:trHeight w:val="551"/>
        </w:trPr>
        <w:tc>
          <w:tcPr>
            <w:tcW w:w="3804" w:type="dxa"/>
            <w:tcBorders>
              <w:top w:val="nil"/>
              <w:left w:val="single" w:sz="4" w:space="0" w:color="9CC2E4"/>
              <w:bottom w:val="single" w:sz="4" w:space="0" w:color="9CC2E4"/>
              <w:right w:val="single" w:sz="4" w:space="0" w:color="9CC2E4"/>
            </w:tcBorders>
            <w:shd w:val="clear" w:color="auto" w:fill="DEEAF6"/>
          </w:tcPr>
          <w:p w14:paraId="4709C0B1" w14:textId="77777777" w:rsidR="00FC0925" w:rsidRPr="003E226A" w:rsidRDefault="00FC0925" w:rsidP="00321DEC">
            <w:pPr>
              <w:pStyle w:val="TableParagraph"/>
              <w:spacing w:line="360" w:lineRule="auto"/>
              <w:ind w:left="107"/>
              <w:jc w:val="both"/>
              <w:rPr>
                <w:b/>
                <w:sz w:val="20"/>
                <w:szCs w:val="20"/>
              </w:rPr>
            </w:pPr>
            <w:r w:rsidRPr="003E226A">
              <w:rPr>
                <w:b/>
                <w:sz w:val="20"/>
                <w:szCs w:val="20"/>
              </w:rPr>
              <w:t>Balance</w:t>
            </w:r>
            <w:r w:rsidRPr="003E226A">
              <w:rPr>
                <w:b/>
                <w:spacing w:val="-6"/>
                <w:sz w:val="20"/>
                <w:szCs w:val="20"/>
              </w:rPr>
              <w:t xml:space="preserve"> </w:t>
            </w:r>
            <w:r w:rsidRPr="003E226A">
              <w:rPr>
                <w:b/>
                <w:sz w:val="20"/>
                <w:szCs w:val="20"/>
              </w:rPr>
              <w:t>of</w:t>
            </w:r>
            <w:r w:rsidRPr="003E226A">
              <w:rPr>
                <w:b/>
                <w:spacing w:val="-6"/>
                <w:sz w:val="20"/>
                <w:szCs w:val="20"/>
              </w:rPr>
              <w:t xml:space="preserve"> </w:t>
            </w:r>
            <w:r w:rsidRPr="003E226A">
              <w:rPr>
                <w:b/>
                <w:sz w:val="20"/>
                <w:szCs w:val="20"/>
              </w:rPr>
              <w:t>fund</w:t>
            </w:r>
            <w:r w:rsidRPr="003E226A">
              <w:rPr>
                <w:b/>
                <w:spacing w:val="-7"/>
                <w:sz w:val="20"/>
                <w:szCs w:val="20"/>
              </w:rPr>
              <w:t xml:space="preserve"> </w:t>
            </w:r>
            <w:r w:rsidRPr="003E226A">
              <w:rPr>
                <w:b/>
                <w:sz w:val="20"/>
                <w:szCs w:val="20"/>
              </w:rPr>
              <w:t>at</w:t>
            </w:r>
            <w:r w:rsidRPr="003E226A">
              <w:rPr>
                <w:b/>
                <w:spacing w:val="-6"/>
                <w:sz w:val="20"/>
                <w:szCs w:val="20"/>
              </w:rPr>
              <w:t xml:space="preserve"> </w:t>
            </w:r>
            <w:r w:rsidRPr="003E226A">
              <w:rPr>
                <w:b/>
                <w:sz w:val="20"/>
                <w:szCs w:val="20"/>
              </w:rPr>
              <w:t>the</w:t>
            </w:r>
            <w:r w:rsidRPr="003E226A">
              <w:rPr>
                <w:b/>
                <w:spacing w:val="-6"/>
                <w:sz w:val="20"/>
                <w:szCs w:val="20"/>
              </w:rPr>
              <w:t xml:space="preserve"> </w:t>
            </w:r>
            <w:r w:rsidRPr="003E226A">
              <w:rPr>
                <w:b/>
                <w:sz w:val="20"/>
                <w:szCs w:val="20"/>
              </w:rPr>
              <w:t>beginning</w:t>
            </w:r>
            <w:r w:rsidRPr="003E226A">
              <w:rPr>
                <w:b/>
                <w:spacing w:val="-6"/>
                <w:sz w:val="20"/>
                <w:szCs w:val="20"/>
              </w:rPr>
              <w:t xml:space="preserve"> </w:t>
            </w:r>
            <w:r w:rsidRPr="003E226A">
              <w:rPr>
                <w:b/>
                <w:sz w:val="20"/>
                <w:szCs w:val="20"/>
              </w:rPr>
              <w:t>of the year</w:t>
            </w:r>
          </w:p>
        </w:tc>
        <w:tc>
          <w:tcPr>
            <w:tcW w:w="1298" w:type="dxa"/>
            <w:tcBorders>
              <w:top w:val="nil"/>
              <w:left w:val="single" w:sz="4" w:space="0" w:color="9CC2E4"/>
              <w:bottom w:val="single" w:sz="4" w:space="0" w:color="9CC2E4"/>
              <w:right w:val="single" w:sz="4" w:space="0" w:color="9CC2E4"/>
            </w:tcBorders>
            <w:shd w:val="clear" w:color="auto" w:fill="DEEAF6"/>
          </w:tcPr>
          <w:p w14:paraId="5C32138D" w14:textId="77777777" w:rsidR="00FC0925" w:rsidRPr="003E226A" w:rsidRDefault="00FC0925" w:rsidP="00321DEC">
            <w:pPr>
              <w:pStyle w:val="TableParagraph"/>
              <w:spacing w:line="360" w:lineRule="auto"/>
              <w:ind w:left="107"/>
              <w:jc w:val="both"/>
              <w:rPr>
                <w:sz w:val="20"/>
                <w:szCs w:val="20"/>
              </w:rPr>
            </w:pPr>
            <w:r w:rsidRPr="003E226A">
              <w:rPr>
                <w:spacing w:val="-2"/>
                <w:sz w:val="20"/>
                <w:szCs w:val="20"/>
              </w:rPr>
              <w:t>9.44%</w:t>
            </w:r>
          </w:p>
        </w:tc>
        <w:tc>
          <w:tcPr>
            <w:tcW w:w="1062" w:type="dxa"/>
            <w:tcBorders>
              <w:top w:val="nil"/>
              <w:left w:val="single" w:sz="4" w:space="0" w:color="9CC2E4"/>
              <w:bottom w:val="single" w:sz="4" w:space="0" w:color="9CC2E4"/>
              <w:right w:val="single" w:sz="4" w:space="0" w:color="9CC2E4"/>
            </w:tcBorders>
            <w:shd w:val="clear" w:color="auto" w:fill="DEEAF6"/>
          </w:tcPr>
          <w:p w14:paraId="0824EC7B" w14:textId="77777777" w:rsidR="00FC0925" w:rsidRPr="003E226A" w:rsidRDefault="00FC0925" w:rsidP="00321DEC">
            <w:pPr>
              <w:pStyle w:val="TableParagraph"/>
              <w:spacing w:line="360" w:lineRule="auto"/>
              <w:jc w:val="both"/>
              <w:rPr>
                <w:sz w:val="20"/>
                <w:szCs w:val="20"/>
              </w:rPr>
            </w:pPr>
            <w:r w:rsidRPr="003E226A">
              <w:rPr>
                <w:spacing w:val="-2"/>
                <w:sz w:val="20"/>
                <w:szCs w:val="20"/>
              </w:rPr>
              <w:t>8.33%</w:t>
            </w:r>
          </w:p>
        </w:tc>
        <w:tc>
          <w:tcPr>
            <w:tcW w:w="1062" w:type="dxa"/>
            <w:tcBorders>
              <w:top w:val="nil"/>
              <w:left w:val="single" w:sz="4" w:space="0" w:color="9CC2E4"/>
              <w:bottom w:val="single" w:sz="4" w:space="0" w:color="9CC2E4"/>
              <w:right w:val="single" w:sz="4" w:space="0" w:color="9CC2E4"/>
            </w:tcBorders>
            <w:shd w:val="clear" w:color="auto" w:fill="DEEAF6"/>
          </w:tcPr>
          <w:p w14:paraId="0B90DF83" w14:textId="77777777" w:rsidR="00FC0925" w:rsidRPr="003E226A" w:rsidRDefault="00FC0925" w:rsidP="00321DEC">
            <w:pPr>
              <w:pStyle w:val="TableParagraph"/>
              <w:spacing w:line="360" w:lineRule="auto"/>
              <w:jc w:val="both"/>
              <w:rPr>
                <w:sz w:val="20"/>
                <w:szCs w:val="20"/>
              </w:rPr>
            </w:pPr>
            <w:r w:rsidRPr="003E226A">
              <w:rPr>
                <w:spacing w:val="-2"/>
                <w:sz w:val="20"/>
                <w:szCs w:val="20"/>
              </w:rPr>
              <w:t>6.87%</w:t>
            </w:r>
          </w:p>
        </w:tc>
        <w:tc>
          <w:tcPr>
            <w:tcW w:w="1062" w:type="dxa"/>
            <w:tcBorders>
              <w:top w:val="nil"/>
              <w:left w:val="single" w:sz="4" w:space="0" w:color="9CC2E4"/>
              <w:bottom w:val="single" w:sz="4" w:space="0" w:color="9CC2E4"/>
              <w:right w:val="single" w:sz="4" w:space="0" w:color="9CC2E4"/>
            </w:tcBorders>
            <w:shd w:val="clear" w:color="auto" w:fill="DEEAF6"/>
          </w:tcPr>
          <w:p w14:paraId="4FDB5A3D" w14:textId="77777777" w:rsidR="00FC0925" w:rsidRPr="003E226A" w:rsidRDefault="00FC0925" w:rsidP="00321DEC">
            <w:pPr>
              <w:pStyle w:val="TableParagraph"/>
              <w:spacing w:line="360" w:lineRule="auto"/>
              <w:jc w:val="both"/>
              <w:rPr>
                <w:sz w:val="20"/>
                <w:szCs w:val="20"/>
              </w:rPr>
            </w:pPr>
            <w:r w:rsidRPr="003E226A">
              <w:rPr>
                <w:spacing w:val="-2"/>
                <w:sz w:val="20"/>
                <w:szCs w:val="20"/>
              </w:rPr>
              <w:t>5.19%</w:t>
            </w:r>
          </w:p>
        </w:tc>
        <w:tc>
          <w:tcPr>
            <w:tcW w:w="1062" w:type="dxa"/>
            <w:tcBorders>
              <w:top w:val="nil"/>
              <w:left w:val="single" w:sz="4" w:space="0" w:color="9CC2E4"/>
              <w:bottom w:val="single" w:sz="4" w:space="0" w:color="9CC2E4"/>
              <w:right w:val="single" w:sz="4" w:space="0" w:color="9CC2E4"/>
            </w:tcBorders>
            <w:shd w:val="clear" w:color="auto" w:fill="DEEAF6"/>
          </w:tcPr>
          <w:p w14:paraId="2D21B219" w14:textId="77777777" w:rsidR="00FC0925" w:rsidRPr="003E226A" w:rsidRDefault="00FC0925" w:rsidP="00321DEC">
            <w:pPr>
              <w:pStyle w:val="TableParagraph"/>
              <w:spacing w:line="360" w:lineRule="auto"/>
              <w:jc w:val="both"/>
              <w:rPr>
                <w:sz w:val="20"/>
                <w:szCs w:val="20"/>
              </w:rPr>
            </w:pPr>
            <w:r w:rsidRPr="003E226A">
              <w:rPr>
                <w:spacing w:val="-2"/>
                <w:sz w:val="20"/>
                <w:szCs w:val="20"/>
              </w:rPr>
              <w:t>1.70%</w:t>
            </w:r>
          </w:p>
        </w:tc>
      </w:tr>
      <w:tr w:rsidR="00FC0925" w:rsidRPr="003E226A" w14:paraId="6C3ED5C8"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tcPr>
          <w:p w14:paraId="03EB51D1" w14:textId="77777777" w:rsidR="00FC0925" w:rsidRPr="003E226A" w:rsidRDefault="00FC0925" w:rsidP="00321DEC">
            <w:pPr>
              <w:pStyle w:val="TableParagraph"/>
              <w:spacing w:line="360" w:lineRule="auto"/>
              <w:ind w:left="107"/>
              <w:jc w:val="both"/>
              <w:rPr>
                <w:b/>
                <w:sz w:val="20"/>
                <w:szCs w:val="20"/>
              </w:rPr>
            </w:pPr>
            <w:r w:rsidRPr="003E226A">
              <w:rPr>
                <w:b/>
                <w:sz w:val="20"/>
                <w:szCs w:val="20"/>
              </w:rPr>
              <w:t>Premium</w:t>
            </w:r>
            <w:r w:rsidRPr="003E226A">
              <w:rPr>
                <w:b/>
                <w:spacing w:val="-4"/>
                <w:sz w:val="20"/>
                <w:szCs w:val="20"/>
              </w:rPr>
              <w:t xml:space="preserve"> </w:t>
            </w:r>
            <w:r w:rsidRPr="003E226A">
              <w:rPr>
                <w:b/>
                <w:sz w:val="20"/>
                <w:szCs w:val="20"/>
              </w:rPr>
              <w:t>less</w:t>
            </w:r>
            <w:r w:rsidRPr="003E226A">
              <w:rPr>
                <w:b/>
                <w:spacing w:val="-3"/>
                <w:sz w:val="20"/>
                <w:szCs w:val="20"/>
              </w:rPr>
              <w:t xml:space="preserve"> </w:t>
            </w:r>
            <w:r w:rsidRPr="003E226A">
              <w:rPr>
                <w:b/>
                <w:sz w:val="20"/>
                <w:szCs w:val="20"/>
              </w:rPr>
              <w:t>Re-</w:t>
            </w:r>
            <w:r w:rsidRPr="003E226A">
              <w:rPr>
                <w:b/>
                <w:spacing w:val="-3"/>
                <w:sz w:val="20"/>
                <w:szCs w:val="20"/>
              </w:rPr>
              <w:t xml:space="preserve"> </w:t>
            </w:r>
            <w:r w:rsidRPr="003E226A">
              <w:rPr>
                <w:b/>
                <w:spacing w:val="-2"/>
                <w:sz w:val="20"/>
                <w:szCs w:val="20"/>
              </w:rPr>
              <w:t>insurance</w:t>
            </w:r>
          </w:p>
        </w:tc>
        <w:tc>
          <w:tcPr>
            <w:tcW w:w="1298" w:type="dxa"/>
            <w:tcBorders>
              <w:top w:val="single" w:sz="4" w:space="0" w:color="9CC2E4"/>
              <w:left w:val="single" w:sz="4" w:space="0" w:color="9CC2E4"/>
              <w:bottom w:val="single" w:sz="4" w:space="0" w:color="9CC2E4"/>
              <w:right w:val="single" w:sz="4" w:space="0" w:color="9CC2E4"/>
            </w:tcBorders>
          </w:tcPr>
          <w:p w14:paraId="75AE7147" w14:textId="77777777" w:rsidR="00FC0925" w:rsidRPr="003E226A" w:rsidRDefault="00FC0925" w:rsidP="00321DEC">
            <w:pPr>
              <w:pStyle w:val="TableParagraph"/>
              <w:spacing w:line="360" w:lineRule="auto"/>
              <w:ind w:left="0"/>
              <w:jc w:val="both"/>
              <w:rPr>
                <w:sz w:val="20"/>
                <w:szCs w:val="20"/>
              </w:rPr>
            </w:pPr>
          </w:p>
        </w:tc>
        <w:tc>
          <w:tcPr>
            <w:tcW w:w="1062" w:type="dxa"/>
            <w:tcBorders>
              <w:top w:val="single" w:sz="4" w:space="0" w:color="9CC2E4"/>
              <w:left w:val="single" w:sz="4" w:space="0" w:color="9CC2E4"/>
              <w:bottom w:val="single" w:sz="4" w:space="0" w:color="9CC2E4"/>
              <w:right w:val="single" w:sz="4" w:space="0" w:color="9CC2E4"/>
            </w:tcBorders>
          </w:tcPr>
          <w:p w14:paraId="403C9887" w14:textId="77777777" w:rsidR="00FC0925" w:rsidRPr="003E226A" w:rsidRDefault="00FC0925" w:rsidP="00321DEC">
            <w:pPr>
              <w:pStyle w:val="TableParagraph"/>
              <w:spacing w:line="360" w:lineRule="auto"/>
              <w:ind w:left="0"/>
              <w:jc w:val="both"/>
              <w:rPr>
                <w:sz w:val="20"/>
                <w:szCs w:val="20"/>
              </w:rPr>
            </w:pPr>
          </w:p>
        </w:tc>
        <w:tc>
          <w:tcPr>
            <w:tcW w:w="1062" w:type="dxa"/>
            <w:tcBorders>
              <w:top w:val="single" w:sz="4" w:space="0" w:color="9CC2E4"/>
              <w:left w:val="single" w:sz="4" w:space="0" w:color="9CC2E4"/>
              <w:bottom w:val="single" w:sz="4" w:space="0" w:color="9CC2E4"/>
              <w:right w:val="single" w:sz="4" w:space="0" w:color="9CC2E4"/>
            </w:tcBorders>
          </w:tcPr>
          <w:p w14:paraId="6FB444A3" w14:textId="77777777" w:rsidR="00FC0925" w:rsidRPr="003E226A" w:rsidRDefault="00FC0925" w:rsidP="00321DEC">
            <w:pPr>
              <w:pStyle w:val="TableParagraph"/>
              <w:spacing w:line="360" w:lineRule="auto"/>
              <w:ind w:left="0"/>
              <w:jc w:val="both"/>
              <w:rPr>
                <w:sz w:val="20"/>
                <w:szCs w:val="20"/>
              </w:rPr>
            </w:pPr>
          </w:p>
        </w:tc>
        <w:tc>
          <w:tcPr>
            <w:tcW w:w="1062" w:type="dxa"/>
            <w:tcBorders>
              <w:top w:val="single" w:sz="4" w:space="0" w:color="9CC2E4"/>
              <w:left w:val="single" w:sz="4" w:space="0" w:color="9CC2E4"/>
              <w:bottom w:val="single" w:sz="4" w:space="0" w:color="9CC2E4"/>
              <w:right w:val="single" w:sz="4" w:space="0" w:color="9CC2E4"/>
            </w:tcBorders>
          </w:tcPr>
          <w:p w14:paraId="71BA19FF" w14:textId="77777777" w:rsidR="00FC0925" w:rsidRPr="003E226A" w:rsidRDefault="00FC0925" w:rsidP="00321DEC">
            <w:pPr>
              <w:pStyle w:val="TableParagraph"/>
              <w:spacing w:line="360" w:lineRule="auto"/>
              <w:ind w:left="0"/>
              <w:jc w:val="both"/>
              <w:rPr>
                <w:sz w:val="20"/>
                <w:szCs w:val="20"/>
              </w:rPr>
            </w:pPr>
          </w:p>
        </w:tc>
        <w:tc>
          <w:tcPr>
            <w:tcW w:w="1062" w:type="dxa"/>
            <w:tcBorders>
              <w:top w:val="single" w:sz="4" w:space="0" w:color="9CC2E4"/>
              <w:left w:val="single" w:sz="4" w:space="0" w:color="9CC2E4"/>
              <w:bottom w:val="single" w:sz="4" w:space="0" w:color="9CC2E4"/>
              <w:right w:val="single" w:sz="4" w:space="0" w:color="9CC2E4"/>
            </w:tcBorders>
          </w:tcPr>
          <w:p w14:paraId="0B84445A" w14:textId="77777777" w:rsidR="00FC0925" w:rsidRPr="003E226A" w:rsidRDefault="00FC0925" w:rsidP="00321DEC">
            <w:pPr>
              <w:pStyle w:val="TableParagraph"/>
              <w:spacing w:line="360" w:lineRule="auto"/>
              <w:ind w:left="0"/>
              <w:jc w:val="both"/>
              <w:rPr>
                <w:sz w:val="20"/>
                <w:szCs w:val="20"/>
              </w:rPr>
            </w:pPr>
          </w:p>
        </w:tc>
      </w:tr>
      <w:tr w:rsidR="00FC0925" w:rsidRPr="003E226A" w14:paraId="4C71E0FF"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tcPr>
          <w:p w14:paraId="10288F9C" w14:textId="2CC4ACF5" w:rsidR="00FC0925" w:rsidRPr="003E226A" w:rsidRDefault="00B15108" w:rsidP="00321DEC">
            <w:pPr>
              <w:pStyle w:val="TableParagraph"/>
              <w:spacing w:line="360" w:lineRule="auto"/>
              <w:ind w:left="0"/>
              <w:jc w:val="both"/>
              <w:rPr>
                <w:sz w:val="20"/>
                <w:szCs w:val="20"/>
              </w:rPr>
            </w:pPr>
            <w:r w:rsidRPr="003E226A">
              <w:rPr>
                <w:sz w:val="20"/>
                <w:szCs w:val="20"/>
              </w:rPr>
              <w:t xml:space="preserve">First year premium </w:t>
            </w:r>
          </w:p>
        </w:tc>
        <w:tc>
          <w:tcPr>
            <w:tcW w:w="1298" w:type="dxa"/>
            <w:tcBorders>
              <w:top w:val="single" w:sz="4" w:space="0" w:color="9CC2E4"/>
              <w:left w:val="single" w:sz="4" w:space="0" w:color="9CC2E4"/>
              <w:bottom w:val="single" w:sz="4" w:space="0" w:color="9CC2E4"/>
              <w:right w:val="single" w:sz="4" w:space="0" w:color="9CC2E4"/>
            </w:tcBorders>
          </w:tcPr>
          <w:p w14:paraId="7F1A12D5" w14:textId="77777777" w:rsidR="00FC0925" w:rsidRPr="003E226A" w:rsidRDefault="00FC0925" w:rsidP="00321DEC">
            <w:pPr>
              <w:pStyle w:val="TableParagraph"/>
              <w:spacing w:line="360" w:lineRule="auto"/>
              <w:ind w:left="107"/>
              <w:jc w:val="both"/>
              <w:rPr>
                <w:sz w:val="20"/>
                <w:szCs w:val="20"/>
              </w:rPr>
            </w:pPr>
            <w:r w:rsidRPr="003E226A">
              <w:rPr>
                <w:spacing w:val="-2"/>
                <w:sz w:val="20"/>
                <w:szCs w:val="20"/>
              </w:rPr>
              <w:t>15.77%</w:t>
            </w:r>
          </w:p>
        </w:tc>
        <w:tc>
          <w:tcPr>
            <w:tcW w:w="1062" w:type="dxa"/>
            <w:tcBorders>
              <w:top w:val="single" w:sz="4" w:space="0" w:color="9CC2E4"/>
              <w:left w:val="single" w:sz="4" w:space="0" w:color="9CC2E4"/>
              <w:bottom w:val="single" w:sz="4" w:space="0" w:color="9CC2E4"/>
              <w:right w:val="single" w:sz="4" w:space="0" w:color="9CC2E4"/>
            </w:tcBorders>
          </w:tcPr>
          <w:p w14:paraId="26517A4E" w14:textId="77777777" w:rsidR="00FC0925" w:rsidRPr="003E226A" w:rsidRDefault="00FC0925" w:rsidP="00321DEC">
            <w:pPr>
              <w:pStyle w:val="TableParagraph"/>
              <w:spacing w:line="360" w:lineRule="auto"/>
              <w:jc w:val="both"/>
              <w:rPr>
                <w:sz w:val="20"/>
                <w:szCs w:val="20"/>
              </w:rPr>
            </w:pPr>
            <w:r w:rsidRPr="003E226A">
              <w:rPr>
                <w:spacing w:val="-2"/>
                <w:sz w:val="20"/>
                <w:szCs w:val="20"/>
              </w:rPr>
              <w:t>21.38%</w:t>
            </w:r>
          </w:p>
        </w:tc>
        <w:tc>
          <w:tcPr>
            <w:tcW w:w="1062" w:type="dxa"/>
            <w:tcBorders>
              <w:top w:val="single" w:sz="4" w:space="0" w:color="9CC2E4"/>
              <w:left w:val="single" w:sz="4" w:space="0" w:color="9CC2E4"/>
              <w:bottom w:val="single" w:sz="4" w:space="0" w:color="9CC2E4"/>
              <w:right w:val="single" w:sz="4" w:space="0" w:color="9CC2E4"/>
            </w:tcBorders>
          </w:tcPr>
          <w:p w14:paraId="1ECDBECE" w14:textId="77777777" w:rsidR="00FC0925" w:rsidRPr="003E226A" w:rsidRDefault="00FC0925" w:rsidP="00321DEC">
            <w:pPr>
              <w:pStyle w:val="TableParagraph"/>
              <w:spacing w:line="360" w:lineRule="auto"/>
              <w:jc w:val="both"/>
              <w:rPr>
                <w:sz w:val="20"/>
                <w:szCs w:val="20"/>
              </w:rPr>
            </w:pPr>
            <w:r w:rsidRPr="003E226A">
              <w:rPr>
                <w:spacing w:val="-2"/>
                <w:sz w:val="20"/>
                <w:szCs w:val="20"/>
              </w:rPr>
              <w:t>7.67%</w:t>
            </w:r>
          </w:p>
        </w:tc>
        <w:tc>
          <w:tcPr>
            <w:tcW w:w="1062" w:type="dxa"/>
            <w:tcBorders>
              <w:top w:val="single" w:sz="4" w:space="0" w:color="9CC2E4"/>
              <w:left w:val="single" w:sz="4" w:space="0" w:color="9CC2E4"/>
              <w:bottom w:val="single" w:sz="4" w:space="0" w:color="9CC2E4"/>
              <w:right w:val="single" w:sz="4" w:space="0" w:color="9CC2E4"/>
            </w:tcBorders>
          </w:tcPr>
          <w:p w14:paraId="561DAEB7" w14:textId="77777777" w:rsidR="00FC0925" w:rsidRPr="003E226A" w:rsidRDefault="00FC0925" w:rsidP="00321DEC">
            <w:pPr>
              <w:pStyle w:val="TableParagraph"/>
              <w:spacing w:line="360" w:lineRule="auto"/>
              <w:jc w:val="both"/>
              <w:rPr>
                <w:sz w:val="20"/>
                <w:szCs w:val="20"/>
              </w:rPr>
            </w:pPr>
            <w:r w:rsidRPr="003E226A">
              <w:rPr>
                <w:spacing w:val="-2"/>
                <w:sz w:val="20"/>
                <w:szCs w:val="20"/>
              </w:rPr>
              <w:t>22.41%</w:t>
            </w:r>
          </w:p>
        </w:tc>
        <w:tc>
          <w:tcPr>
            <w:tcW w:w="1062" w:type="dxa"/>
            <w:tcBorders>
              <w:top w:val="single" w:sz="4" w:space="0" w:color="9CC2E4"/>
              <w:left w:val="single" w:sz="4" w:space="0" w:color="9CC2E4"/>
              <w:bottom w:val="single" w:sz="4" w:space="0" w:color="9CC2E4"/>
              <w:right w:val="single" w:sz="4" w:space="0" w:color="9CC2E4"/>
            </w:tcBorders>
          </w:tcPr>
          <w:p w14:paraId="4BC48011" w14:textId="77777777" w:rsidR="00FC0925" w:rsidRPr="003E226A" w:rsidRDefault="00FC0925" w:rsidP="00321DEC">
            <w:pPr>
              <w:pStyle w:val="TableParagraph"/>
              <w:spacing w:line="360" w:lineRule="auto"/>
              <w:jc w:val="both"/>
              <w:rPr>
                <w:sz w:val="20"/>
                <w:szCs w:val="20"/>
              </w:rPr>
            </w:pPr>
            <w:r w:rsidRPr="003E226A">
              <w:rPr>
                <w:spacing w:val="-2"/>
                <w:sz w:val="20"/>
                <w:szCs w:val="20"/>
              </w:rPr>
              <w:t>15.20%</w:t>
            </w:r>
          </w:p>
        </w:tc>
      </w:tr>
      <w:tr w:rsidR="00FC0925" w:rsidRPr="003E226A" w14:paraId="410278E2" w14:textId="77777777" w:rsidTr="002A2389">
        <w:trPr>
          <w:trHeight w:val="276"/>
        </w:trPr>
        <w:tc>
          <w:tcPr>
            <w:tcW w:w="3804" w:type="dxa"/>
            <w:tcBorders>
              <w:top w:val="single" w:sz="4" w:space="0" w:color="9CC2E4"/>
              <w:left w:val="single" w:sz="4" w:space="0" w:color="9CC2E4"/>
              <w:bottom w:val="single" w:sz="4" w:space="0" w:color="9CC2E4"/>
              <w:right w:val="single" w:sz="4" w:space="0" w:color="9CC2E4"/>
            </w:tcBorders>
          </w:tcPr>
          <w:p w14:paraId="2BBBD7CA" w14:textId="014CAB6B" w:rsidR="00FC0925" w:rsidRPr="003E226A" w:rsidRDefault="00C640CB" w:rsidP="00321DEC">
            <w:pPr>
              <w:pStyle w:val="TableParagraph"/>
              <w:spacing w:line="360" w:lineRule="auto"/>
              <w:ind w:left="0"/>
              <w:jc w:val="both"/>
              <w:rPr>
                <w:sz w:val="20"/>
                <w:szCs w:val="20"/>
              </w:rPr>
            </w:pPr>
            <w:r w:rsidRPr="003E226A">
              <w:rPr>
                <w:sz w:val="20"/>
                <w:szCs w:val="20"/>
              </w:rPr>
              <w:t xml:space="preserve">Renewal Premium </w:t>
            </w:r>
          </w:p>
        </w:tc>
        <w:tc>
          <w:tcPr>
            <w:tcW w:w="1298" w:type="dxa"/>
            <w:tcBorders>
              <w:top w:val="single" w:sz="4" w:space="0" w:color="9CC2E4"/>
              <w:left w:val="single" w:sz="4" w:space="0" w:color="9CC2E4"/>
              <w:bottom w:val="single" w:sz="4" w:space="0" w:color="9CC2E4"/>
              <w:right w:val="single" w:sz="4" w:space="0" w:color="9CC2E4"/>
            </w:tcBorders>
          </w:tcPr>
          <w:p w14:paraId="60521AE6" w14:textId="77777777" w:rsidR="00FC0925" w:rsidRPr="003E226A" w:rsidRDefault="00FC0925" w:rsidP="00321DEC">
            <w:pPr>
              <w:pStyle w:val="TableParagraph"/>
              <w:spacing w:before="1" w:line="360" w:lineRule="auto"/>
              <w:ind w:left="107"/>
              <w:jc w:val="both"/>
              <w:rPr>
                <w:sz w:val="20"/>
                <w:szCs w:val="20"/>
              </w:rPr>
            </w:pPr>
            <w:r w:rsidRPr="003E226A">
              <w:rPr>
                <w:spacing w:val="-2"/>
                <w:sz w:val="20"/>
                <w:szCs w:val="20"/>
              </w:rPr>
              <w:t>12.68%</w:t>
            </w:r>
          </w:p>
        </w:tc>
        <w:tc>
          <w:tcPr>
            <w:tcW w:w="1062" w:type="dxa"/>
            <w:tcBorders>
              <w:top w:val="single" w:sz="4" w:space="0" w:color="9CC2E4"/>
              <w:left w:val="single" w:sz="4" w:space="0" w:color="9CC2E4"/>
              <w:bottom w:val="single" w:sz="4" w:space="0" w:color="9CC2E4"/>
              <w:right w:val="single" w:sz="4" w:space="0" w:color="9CC2E4"/>
            </w:tcBorders>
          </w:tcPr>
          <w:p w14:paraId="48DEE470"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17.44%</w:t>
            </w:r>
          </w:p>
        </w:tc>
        <w:tc>
          <w:tcPr>
            <w:tcW w:w="1062" w:type="dxa"/>
            <w:tcBorders>
              <w:top w:val="single" w:sz="4" w:space="0" w:color="9CC2E4"/>
              <w:left w:val="single" w:sz="4" w:space="0" w:color="9CC2E4"/>
              <w:bottom w:val="single" w:sz="4" w:space="0" w:color="9CC2E4"/>
              <w:right w:val="single" w:sz="4" w:space="0" w:color="9CC2E4"/>
            </w:tcBorders>
          </w:tcPr>
          <w:p w14:paraId="29EE7255"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13.05%</w:t>
            </w:r>
          </w:p>
        </w:tc>
        <w:tc>
          <w:tcPr>
            <w:tcW w:w="1062" w:type="dxa"/>
            <w:tcBorders>
              <w:top w:val="single" w:sz="4" w:space="0" w:color="9CC2E4"/>
              <w:left w:val="single" w:sz="4" w:space="0" w:color="9CC2E4"/>
              <w:bottom w:val="single" w:sz="4" w:space="0" w:color="9CC2E4"/>
              <w:right w:val="single" w:sz="4" w:space="0" w:color="9CC2E4"/>
            </w:tcBorders>
          </w:tcPr>
          <w:p w14:paraId="3BA4F1F5"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7.82%</w:t>
            </w:r>
          </w:p>
        </w:tc>
        <w:tc>
          <w:tcPr>
            <w:tcW w:w="1062" w:type="dxa"/>
            <w:tcBorders>
              <w:top w:val="single" w:sz="4" w:space="0" w:color="9CC2E4"/>
              <w:left w:val="single" w:sz="4" w:space="0" w:color="9CC2E4"/>
              <w:bottom w:val="single" w:sz="4" w:space="0" w:color="9CC2E4"/>
              <w:right w:val="single" w:sz="4" w:space="0" w:color="9CC2E4"/>
            </w:tcBorders>
          </w:tcPr>
          <w:p w14:paraId="41E31DFE"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9.40%</w:t>
            </w:r>
          </w:p>
        </w:tc>
      </w:tr>
      <w:tr w:rsidR="00FC0925" w:rsidRPr="003E226A" w14:paraId="37E094DD"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16E44740" w14:textId="77777777" w:rsidR="00FC0925" w:rsidRPr="003E226A" w:rsidRDefault="00FC0925" w:rsidP="00321DEC">
            <w:pPr>
              <w:pStyle w:val="TableParagraph"/>
              <w:spacing w:line="360" w:lineRule="auto"/>
              <w:ind w:left="107"/>
              <w:jc w:val="both"/>
              <w:rPr>
                <w:sz w:val="20"/>
                <w:szCs w:val="20"/>
              </w:rPr>
            </w:pPr>
            <w:r w:rsidRPr="003E226A">
              <w:rPr>
                <w:sz w:val="20"/>
                <w:szCs w:val="20"/>
              </w:rPr>
              <w:t>Group</w:t>
            </w:r>
            <w:r w:rsidRPr="003E226A">
              <w:rPr>
                <w:spacing w:val="-3"/>
                <w:sz w:val="20"/>
                <w:szCs w:val="20"/>
              </w:rPr>
              <w:t xml:space="preserve"> </w:t>
            </w:r>
            <w:r w:rsidRPr="003E226A">
              <w:rPr>
                <w:sz w:val="20"/>
                <w:szCs w:val="20"/>
              </w:rPr>
              <w:t>Life</w:t>
            </w:r>
            <w:r w:rsidRPr="003E226A">
              <w:rPr>
                <w:spacing w:val="-3"/>
                <w:sz w:val="20"/>
                <w:szCs w:val="20"/>
              </w:rPr>
              <w:t xml:space="preserve"> </w:t>
            </w:r>
            <w:r w:rsidRPr="003E226A">
              <w:rPr>
                <w:sz w:val="20"/>
                <w:szCs w:val="20"/>
              </w:rPr>
              <w:t>Insurance</w:t>
            </w:r>
            <w:r w:rsidRPr="003E226A">
              <w:rPr>
                <w:spacing w:val="-1"/>
                <w:sz w:val="20"/>
                <w:szCs w:val="20"/>
              </w:rPr>
              <w:t xml:space="preserve"> </w:t>
            </w:r>
            <w:r w:rsidRPr="003E226A">
              <w:rPr>
                <w:spacing w:val="-2"/>
                <w:sz w:val="20"/>
                <w:szCs w:val="20"/>
              </w:rPr>
              <w:t>Premium</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4E8E3139" w14:textId="77777777" w:rsidR="00FC0925" w:rsidRPr="003E226A" w:rsidRDefault="00FC0925" w:rsidP="00321DEC">
            <w:pPr>
              <w:pStyle w:val="TableParagraph"/>
              <w:spacing w:line="360" w:lineRule="auto"/>
              <w:ind w:left="107"/>
              <w:jc w:val="both"/>
              <w:rPr>
                <w:sz w:val="20"/>
                <w:szCs w:val="20"/>
              </w:rPr>
            </w:pPr>
            <w:r w:rsidRPr="003E226A">
              <w:rPr>
                <w:spacing w:val="-2"/>
                <w:sz w:val="20"/>
                <w:szCs w:val="20"/>
              </w:rPr>
              <w:t>15.05%</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00342C8" w14:textId="77777777" w:rsidR="00FC0925" w:rsidRPr="003E226A" w:rsidRDefault="00FC0925" w:rsidP="00321DEC">
            <w:pPr>
              <w:pStyle w:val="TableParagraph"/>
              <w:spacing w:line="360" w:lineRule="auto"/>
              <w:jc w:val="both"/>
              <w:rPr>
                <w:sz w:val="20"/>
                <w:szCs w:val="20"/>
              </w:rPr>
            </w:pPr>
            <w:r w:rsidRPr="003E226A">
              <w:rPr>
                <w:spacing w:val="-2"/>
                <w:sz w:val="20"/>
                <w:szCs w:val="20"/>
              </w:rPr>
              <w:t>10.98%</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5825BBC9" w14:textId="77777777" w:rsidR="00FC0925" w:rsidRPr="003E226A" w:rsidRDefault="00FC0925" w:rsidP="00321DEC">
            <w:pPr>
              <w:pStyle w:val="TableParagraph"/>
              <w:spacing w:line="360" w:lineRule="auto"/>
              <w:jc w:val="both"/>
              <w:rPr>
                <w:sz w:val="20"/>
                <w:szCs w:val="20"/>
              </w:rPr>
            </w:pPr>
            <w:r w:rsidRPr="003E226A">
              <w:rPr>
                <w:spacing w:val="-6"/>
                <w:sz w:val="20"/>
                <w:szCs w:val="20"/>
              </w:rPr>
              <w:t>-</w:t>
            </w:r>
            <w:r w:rsidRPr="003E226A">
              <w:rPr>
                <w:spacing w:val="-2"/>
                <w:sz w:val="20"/>
                <w:szCs w:val="20"/>
              </w:rPr>
              <w:t>0.20%</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3AA1F2A6" w14:textId="77777777" w:rsidR="00FC0925" w:rsidRPr="003E226A" w:rsidRDefault="00FC0925" w:rsidP="00321DEC">
            <w:pPr>
              <w:pStyle w:val="TableParagraph"/>
              <w:spacing w:line="360" w:lineRule="auto"/>
              <w:jc w:val="both"/>
              <w:rPr>
                <w:sz w:val="20"/>
                <w:szCs w:val="20"/>
              </w:rPr>
            </w:pPr>
            <w:r w:rsidRPr="003E226A">
              <w:rPr>
                <w:spacing w:val="-2"/>
                <w:sz w:val="20"/>
                <w:szCs w:val="20"/>
              </w:rPr>
              <w:t>7.09%</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71E6A1F8" w14:textId="77777777" w:rsidR="00FC0925" w:rsidRPr="003E226A" w:rsidRDefault="00FC0925" w:rsidP="00321DEC">
            <w:pPr>
              <w:pStyle w:val="TableParagraph"/>
              <w:spacing w:line="360" w:lineRule="auto"/>
              <w:jc w:val="both"/>
              <w:rPr>
                <w:sz w:val="20"/>
                <w:szCs w:val="20"/>
              </w:rPr>
            </w:pPr>
            <w:r w:rsidRPr="003E226A">
              <w:rPr>
                <w:spacing w:val="-2"/>
                <w:sz w:val="20"/>
                <w:szCs w:val="20"/>
              </w:rPr>
              <w:t>15.19%</w:t>
            </w:r>
          </w:p>
        </w:tc>
      </w:tr>
      <w:tr w:rsidR="00FC0925" w:rsidRPr="003E226A" w14:paraId="6F05CF94"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tcPr>
          <w:p w14:paraId="3DBBC02C" w14:textId="77777777" w:rsidR="00FC0925" w:rsidRPr="003E226A" w:rsidRDefault="00FC0925" w:rsidP="00321DEC">
            <w:pPr>
              <w:pStyle w:val="TableParagraph"/>
              <w:spacing w:line="360" w:lineRule="auto"/>
              <w:ind w:left="107"/>
              <w:jc w:val="both"/>
              <w:rPr>
                <w:b/>
                <w:sz w:val="20"/>
                <w:szCs w:val="20"/>
              </w:rPr>
            </w:pPr>
            <w:r w:rsidRPr="003E226A">
              <w:rPr>
                <w:b/>
                <w:sz w:val="20"/>
                <w:szCs w:val="20"/>
              </w:rPr>
              <w:t>Gross</w:t>
            </w:r>
            <w:r w:rsidRPr="003E226A">
              <w:rPr>
                <w:b/>
                <w:spacing w:val="-5"/>
                <w:sz w:val="20"/>
                <w:szCs w:val="20"/>
              </w:rPr>
              <w:t xml:space="preserve"> </w:t>
            </w:r>
            <w:r w:rsidRPr="003E226A">
              <w:rPr>
                <w:b/>
                <w:spacing w:val="-2"/>
                <w:sz w:val="20"/>
                <w:szCs w:val="20"/>
              </w:rPr>
              <w:t>Premium</w:t>
            </w:r>
          </w:p>
        </w:tc>
        <w:tc>
          <w:tcPr>
            <w:tcW w:w="1298" w:type="dxa"/>
            <w:tcBorders>
              <w:top w:val="single" w:sz="4" w:space="0" w:color="9CC2E4"/>
              <w:left w:val="single" w:sz="4" w:space="0" w:color="9CC2E4"/>
              <w:bottom w:val="single" w:sz="4" w:space="0" w:color="9CC2E4"/>
              <w:right w:val="single" w:sz="4" w:space="0" w:color="9CC2E4"/>
            </w:tcBorders>
          </w:tcPr>
          <w:p w14:paraId="66C82250" w14:textId="77777777" w:rsidR="00FC0925" w:rsidRPr="003E226A" w:rsidRDefault="00FC0925" w:rsidP="00321DEC">
            <w:pPr>
              <w:pStyle w:val="TableParagraph"/>
              <w:spacing w:line="360" w:lineRule="auto"/>
              <w:ind w:left="107"/>
              <w:jc w:val="both"/>
              <w:rPr>
                <w:sz w:val="20"/>
                <w:szCs w:val="20"/>
              </w:rPr>
            </w:pPr>
            <w:r w:rsidRPr="003E226A">
              <w:rPr>
                <w:spacing w:val="-2"/>
                <w:sz w:val="20"/>
                <w:szCs w:val="20"/>
              </w:rPr>
              <w:t>13.57%</w:t>
            </w:r>
          </w:p>
        </w:tc>
        <w:tc>
          <w:tcPr>
            <w:tcW w:w="1062" w:type="dxa"/>
            <w:tcBorders>
              <w:top w:val="single" w:sz="4" w:space="0" w:color="9CC2E4"/>
              <w:left w:val="single" w:sz="4" w:space="0" w:color="9CC2E4"/>
              <w:bottom w:val="single" w:sz="4" w:space="0" w:color="9CC2E4"/>
              <w:right w:val="single" w:sz="4" w:space="0" w:color="9CC2E4"/>
            </w:tcBorders>
          </w:tcPr>
          <w:p w14:paraId="26D93819" w14:textId="77777777" w:rsidR="00FC0925" w:rsidRPr="003E226A" w:rsidRDefault="00FC0925" w:rsidP="00321DEC">
            <w:pPr>
              <w:pStyle w:val="TableParagraph"/>
              <w:spacing w:line="360" w:lineRule="auto"/>
              <w:jc w:val="both"/>
              <w:rPr>
                <w:sz w:val="20"/>
                <w:szCs w:val="20"/>
              </w:rPr>
            </w:pPr>
            <w:r w:rsidRPr="003E226A">
              <w:rPr>
                <w:spacing w:val="-2"/>
                <w:sz w:val="20"/>
                <w:szCs w:val="20"/>
              </w:rPr>
              <w:t>18.46%</w:t>
            </w:r>
          </w:p>
        </w:tc>
        <w:tc>
          <w:tcPr>
            <w:tcW w:w="1062" w:type="dxa"/>
            <w:tcBorders>
              <w:top w:val="single" w:sz="4" w:space="0" w:color="9CC2E4"/>
              <w:left w:val="single" w:sz="4" w:space="0" w:color="9CC2E4"/>
              <w:bottom w:val="single" w:sz="4" w:space="0" w:color="9CC2E4"/>
              <w:right w:val="single" w:sz="4" w:space="0" w:color="9CC2E4"/>
            </w:tcBorders>
          </w:tcPr>
          <w:p w14:paraId="7649D32C" w14:textId="77777777" w:rsidR="00FC0925" w:rsidRPr="003E226A" w:rsidRDefault="00FC0925" w:rsidP="00321DEC">
            <w:pPr>
              <w:pStyle w:val="TableParagraph"/>
              <w:spacing w:line="360" w:lineRule="auto"/>
              <w:jc w:val="both"/>
              <w:rPr>
                <w:sz w:val="20"/>
                <w:szCs w:val="20"/>
              </w:rPr>
            </w:pPr>
            <w:r w:rsidRPr="003E226A">
              <w:rPr>
                <w:spacing w:val="-2"/>
                <w:sz w:val="20"/>
                <w:szCs w:val="20"/>
              </w:rPr>
              <w:t>11.39%</w:t>
            </w:r>
          </w:p>
        </w:tc>
        <w:tc>
          <w:tcPr>
            <w:tcW w:w="1062" w:type="dxa"/>
            <w:tcBorders>
              <w:top w:val="single" w:sz="4" w:space="0" w:color="9CC2E4"/>
              <w:left w:val="single" w:sz="4" w:space="0" w:color="9CC2E4"/>
              <w:bottom w:val="single" w:sz="4" w:space="0" w:color="9CC2E4"/>
              <w:right w:val="single" w:sz="4" w:space="0" w:color="9CC2E4"/>
            </w:tcBorders>
          </w:tcPr>
          <w:p w14:paraId="093732C1" w14:textId="77777777" w:rsidR="00FC0925" w:rsidRPr="003E226A" w:rsidRDefault="00FC0925" w:rsidP="00321DEC">
            <w:pPr>
              <w:pStyle w:val="TableParagraph"/>
              <w:spacing w:line="360" w:lineRule="auto"/>
              <w:jc w:val="both"/>
              <w:rPr>
                <w:sz w:val="20"/>
                <w:szCs w:val="20"/>
              </w:rPr>
            </w:pPr>
            <w:r w:rsidRPr="003E226A">
              <w:rPr>
                <w:spacing w:val="-2"/>
                <w:sz w:val="20"/>
                <w:szCs w:val="20"/>
              </w:rPr>
              <w:t>11.60%</w:t>
            </w:r>
          </w:p>
        </w:tc>
        <w:tc>
          <w:tcPr>
            <w:tcW w:w="1062" w:type="dxa"/>
            <w:tcBorders>
              <w:top w:val="single" w:sz="4" w:space="0" w:color="9CC2E4"/>
              <w:left w:val="single" w:sz="4" w:space="0" w:color="9CC2E4"/>
              <w:bottom w:val="single" w:sz="4" w:space="0" w:color="9CC2E4"/>
              <w:right w:val="single" w:sz="4" w:space="0" w:color="9CC2E4"/>
            </w:tcBorders>
          </w:tcPr>
          <w:p w14:paraId="25A2BBA7" w14:textId="77777777" w:rsidR="00FC0925" w:rsidRPr="003E226A" w:rsidRDefault="00FC0925" w:rsidP="00321DEC">
            <w:pPr>
              <w:pStyle w:val="TableParagraph"/>
              <w:spacing w:line="360" w:lineRule="auto"/>
              <w:jc w:val="both"/>
              <w:rPr>
                <w:sz w:val="20"/>
                <w:szCs w:val="20"/>
              </w:rPr>
            </w:pPr>
            <w:r w:rsidRPr="003E226A">
              <w:rPr>
                <w:spacing w:val="-2"/>
                <w:sz w:val="20"/>
                <w:szCs w:val="20"/>
              </w:rPr>
              <w:t>10.91%</w:t>
            </w:r>
          </w:p>
        </w:tc>
      </w:tr>
      <w:tr w:rsidR="00FC0925" w:rsidRPr="003E226A" w14:paraId="66E940E6" w14:textId="77777777" w:rsidTr="002A2389">
        <w:trPr>
          <w:trHeight w:val="276"/>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4CF95FC5" w14:textId="77777777" w:rsidR="00FC0925" w:rsidRPr="003E226A" w:rsidRDefault="00FC0925" w:rsidP="00321DEC">
            <w:pPr>
              <w:pStyle w:val="TableParagraph"/>
              <w:spacing w:before="1" w:line="360" w:lineRule="auto"/>
              <w:ind w:left="107"/>
              <w:jc w:val="both"/>
              <w:rPr>
                <w:sz w:val="20"/>
                <w:szCs w:val="20"/>
              </w:rPr>
            </w:pPr>
            <w:r w:rsidRPr="003E226A">
              <w:rPr>
                <w:sz w:val="20"/>
                <w:szCs w:val="20"/>
              </w:rPr>
              <w:t>Less.</w:t>
            </w:r>
            <w:r w:rsidRPr="003E226A">
              <w:rPr>
                <w:spacing w:val="-2"/>
                <w:sz w:val="20"/>
                <w:szCs w:val="20"/>
              </w:rPr>
              <w:t xml:space="preserve"> </w:t>
            </w:r>
            <w:r w:rsidRPr="003E226A">
              <w:rPr>
                <w:sz w:val="20"/>
                <w:szCs w:val="20"/>
              </w:rPr>
              <w:t>Re-Insurance</w:t>
            </w:r>
            <w:r w:rsidRPr="003E226A">
              <w:rPr>
                <w:spacing w:val="-2"/>
                <w:sz w:val="20"/>
                <w:szCs w:val="20"/>
              </w:rPr>
              <w:t xml:space="preserve"> Premium</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15DBDDEA" w14:textId="77777777" w:rsidR="00FC0925" w:rsidRPr="003E226A" w:rsidRDefault="00FC0925" w:rsidP="00321DEC">
            <w:pPr>
              <w:pStyle w:val="TableParagraph"/>
              <w:spacing w:before="1" w:line="360" w:lineRule="auto"/>
              <w:ind w:left="107"/>
              <w:jc w:val="both"/>
              <w:rPr>
                <w:sz w:val="20"/>
                <w:szCs w:val="20"/>
              </w:rPr>
            </w:pPr>
            <w:r w:rsidRPr="003E226A">
              <w:rPr>
                <w:spacing w:val="-5"/>
                <w:sz w:val="20"/>
                <w:szCs w:val="20"/>
              </w:rPr>
              <w:t>-</w:t>
            </w:r>
            <w:r w:rsidRPr="003E226A">
              <w:rPr>
                <w:spacing w:val="-2"/>
                <w:sz w:val="20"/>
                <w:szCs w:val="20"/>
              </w:rPr>
              <w:t>26.96%</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2EDD0937"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83.35%</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70B74716"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33.42%</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22F1B77"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17.64%</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243D8377"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35.00%</w:t>
            </w:r>
          </w:p>
        </w:tc>
      </w:tr>
      <w:tr w:rsidR="00FC0925" w:rsidRPr="003E226A" w14:paraId="7778DF2F"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tcPr>
          <w:p w14:paraId="1D6B9B23" w14:textId="77777777" w:rsidR="00FC0925" w:rsidRPr="003E226A" w:rsidRDefault="00FC0925" w:rsidP="00321DEC">
            <w:pPr>
              <w:pStyle w:val="TableParagraph"/>
              <w:spacing w:line="360" w:lineRule="auto"/>
              <w:ind w:left="107"/>
              <w:jc w:val="both"/>
              <w:rPr>
                <w:b/>
                <w:sz w:val="20"/>
                <w:szCs w:val="20"/>
              </w:rPr>
            </w:pPr>
            <w:r w:rsidRPr="003E226A">
              <w:rPr>
                <w:b/>
                <w:sz w:val="20"/>
                <w:szCs w:val="20"/>
              </w:rPr>
              <w:t>Net</w:t>
            </w:r>
            <w:r w:rsidRPr="003E226A">
              <w:rPr>
                <w:b/>
                <w:spacing w:val="-1"/>
                <w:sz w:val="20"/>
                <w:szCs w:val="20"/>
              </w:rPr>
              <w:t xml:space="preserve"> </w:t>
            </w:r>
            <w:r w:rsidRPr="003E226A">
              <w:rPr>
                <w:b/>
                <w:spacing w:val="-2"/>
                <w:sz w:val="20"/>
                <w:szCs w:val="20"/>
              </w:rPr>
              <w:t>Premium</w:t>
            </w:r>
          </w:p>
        </w:tc>
        <w:tc>
          <w:tcPr>
            <w:tcW w:w="1298" w:type="dxa"/>
            <w:tcBorders>
              <w:top w:val="single" w:sz="4" w:space="0" w:color="9CC2E4"/>
              <w:left w:val="single" w:sz="4" w:space="0" w:color="9CC2E4"/>
              <w:bottom w:val="single" w:sz="4" w:space="0" w:color="9CC2E4"/>
              <w:right w:val="single" w:sz="4" w:space="0" w:color="9CC2E4"/>
            </w:tcBorders>
          </w:tcPr>
          <w:p w14:paraId="442B508D" w14:textId="77777777" w:rsidR="00FC0925" w:rsidRPr="003E226A" w:rsidRDefault="00FC0925" w:rsidP="00321DEC">
            <w:pPr>
              <w:pStyle w:val="TableParagraph"/>
              <w:spacing w:line="360" w:lineRule="auto"/>
              <w:ind w:left="107"/>
              <w:jc w:val="both"/>
              <w:rPr>
                <w:sz w:val="20"/>
                <w:szCs w:val="20"/>
              </w:rPr>
            </w:pPr>
            <w:r w:rsidRPr="003E226A">
              <w:rPr>
                <w:spacing w:val="-2"/>
                <w:sz w:val="20"/>
                <w:szCs w:val="20"/>
              </w:rPr>
              <w:t>13.78%</w:t>
            </w:r>
          </w:p>
        </w:tc>
        <w:tc>
          <w:tcPr>
            <w:tcW w:w="1062" w:type="dxa"/>
            <w:tcBorders>
              <w:top w:val="single" w:sz="4" w:space="0" w:color="9CC2E4"/>
              <w:left w:val="single" w:sz="4" w:space="0" w:color="9CC2E4"/>
              <w:bottom w:val="single" w:sz="4" w:space="0" w:color="9CC2E4"/>
              <w:right w:val="single" w:sz="4" w:space="0" w:color="9CC2E4"/>
            </w:tcBorders>
          </w:tcPr>
          <w:p w14:paraId="4CBE0BF6" w14:textId="77777777" w:rsidR="00FC0925" w:rsidRPr="003E226A" w:rsidRDefault="00FC0925" w:rsidP="00321DEC">
            <w:pPr>
              <w:pStyle w:val="TableParagraph"/>
              <w:spacing w:line="360" w:lineRule="auto"/>
              <w:jc w:val="both"/>
              <w:rPr>
                <w:sz w:val="20"/>
                <w:szCs w:val="20"/>
              </w:rPr>
            </w:pPr>
            <w:r w:rsidRPr="003E226A">
              <w:rPr>
                <w:spacing w:val="-2"/>
                <w:sz w:val="20"/>
                <w:szCs w:val="20"/>
              </w:rPr>
              <w:t>18.25%</w:t>
            </w:r>
          </w:p>
        </w:tc>
        <w:tc>
          <w:tcPr>
            <w:tcW w:w="1062" w:type="dxa"/>
            <w:tcBorders>
              <w:top w:val="single" w:sz="4" w:space="0" w:color="9CC2E4"/>
              <w:left w:val="single" w:sz="4" w:space="0" w:color="9CC2E4"/>
              <w:bottom w:val="single" w:sz="4" w:space="0" w:color="9CC2E4"/>
              <w:right w:val="single" w:sz="4" w:space="0" w:color="9CC2E4"/>
            </w:tcBorders>
          </w:tcPr>
          <w:p w14:paraId="31DDB4EF" w14:textId="77777777" w:rsidR="00FC0925" w:rsidRPr="003E226A" w:rsidRDefault="00FC0925" w:rsidP="00321DEC">
            <w:pPr>
              <w:pStyle w:val="TableParagraph"/>
              <w:spacing w:line="360" w:lineRule="auto"/>
              <w:jc w:val="both"/>
              <w:rPr>
                <w:sz w:val="20"/>
                <w:szCs w:val="20"/>
              </w:rPr>
            </w:pPr>
            <w:r w:rsidRPr="003E226A">
              <w:rPr>
                <w:spacing w:val="-2"/>
                <w:sz w:val="20"/>
                <w:szCs w:val="20"/>
              </w:rPr>
              <w:t>11.33%</w:t>
            </w:r>
          </w:p>
        </w:tc>
        <w:tc>
          <w:tcPr>
            <w:tcW w:w="1062" w:type="dxa"/>
            <w:tcBorders>
              <w:top w:val="single" w:sz="4" w:space="0" w:color="9CC2E4"/>
              <w:left w:val="single" w:sz="4" w:space="0" w:color="9CC2E4"/>
              <w:bottom w:val="single" w:sz="4" w:space="0" w:color="9CC2E4"/>
              <w:right w:val="single" w:sz="4" w:space="0" w:color="9CC2E4"/>
            </w:tcBorders>
          </w:tcPr>
          <w:p w14:paraId="21730320" w14:textId="77777777" w:rsidR="00FC0925" w:rsidRPr="003E226A" w:rsidRDefault="00FC0925" w:rsidP="00321DEC">
            <w:pPr>
              <w:pStyle w:val="TableParagraph"/>
              <w:spacing w:line="360" w:lineRule="auto"/>
              <w:jc w:val="both"/>
              <w:rPr>
                <w:sz w:val="20"/>
                <w:szCs w:val="20"/>
              </w:rPr>
            </w:pPr>
            <w:r w:rsidRPr="003E226A">
              <w:rPr>
                <w:spacing w:val="-2"/>
                <w:sz w:val="20"/>
                <w:szCs w:val="20"/>
              </w:rPr>
              <w:t>11.58%</w:t>
            </w:r>
          </w:p>
        </w:tc>
        <w:tc>
          <w:tcPr>
            <w:tcW w:w="1062" w:type="dxa"/>
            <w:tcBorders>
              <w:top w:val="single" w:sz="4" w:space="0" w:color="9CC2E4"/>
              <w:left w:val="single" w:sz="4" w:space="0" w:color="9CC2E4"/>
              <w:bottom w:val="single" w:sz="4" w:space="0" w:color="9CC2E4"/>
              <w:right w:val="single" w:sz="4" w:space="0" w:color="9CC2E4"/>
            </w:tcBorders>
          </w:tcPr>
          <w:p w14:paraId="544BB558" w14:textId="77777777" w:rsidR="00FC0925" w:rsidRPr="003E226A" w:rsidRDefault="00FC0925" w:rsidP="00321DEC">
            <w:pPr>
              <w:pStyle w:val="TableParagraph"/>
              <w:spacing w:line="360" w:lineRule="auto"/>
              <w:jc w:val="both"/>
              <w:rPr>
                <w:sz w:val="20"/>
                <w:szCs w:val="20"/>
              </w:rPr>
            </w:pPr>
            <w:r w:rsidRPr="003E226A">
              <w:rPr>
                <w:spacing w:val="-2"/>
                <w:sz w:val="20"/>
                <w:szCs w:val="20"/>
              </w:rPr>
              <w:t>10.86%</w:t>
            </w:r>
          </w:p>
        </w:tc>
      </w:tr>
      <w:tr w:rsidR="00FC0925" w:rsidRPr="003E226A" w14:paraId="101550A1" w14:textId="77777777" w:rsidTr="002A2389">
        <w:trPr>
          <w:trHeight w:val="276"/>
        </w:trPr>
        <w:tc>
          <w:tcPr>
            <w:tcW w:w="3804" w:type="dxa"/>
            <w:tcBorders>
              <w:top w:val="single" w:sz="4" w:space="0" w:color="9CC2E4"/>
              <w:left w:val="single" w:sz="4" w:space="0" w:color="9CC2E4"/>
              <w:bottom w:val="single" w:sz="4" w:space="0" w:color="9CC2E4"/>
              <w:right w:val="single" w:sz="4" w:space="0" w:color="9CC2E4"/>
            </w:tcBorders>
          </w:tcPr>
          <w:p w14:paraId="305BE4D5" w14:textId="77777777" w:rsidR="00FC0925" w:rsidRPr="003E226A" w:rsidRDefault="00FC0925" w:rsidP="00321DEC">
            <w:pPr>
              <w:pStyle w:val="TableParagraph"/>
              <w:spacing w:before="1" w:line="360" w:lineRule="auto"/>
              <w:ind w:left="107"/>
              <w:jc w:val="both"/>
              <w:rPr>
                <w:sz w:val="20"/>
                <w:szCs w:val="20"/>
              </w:rPr>
            </w:pPr>
            <w:r w:rsidRPr="003E226A">
              <w:rPr>
                <w:sz w:val="20"/>
                <w:szCs w:val="20"/>
              </w:rPr>
              <w:t>Interest,</w:t>
            </w:r>
            <w:r w:rsidRPr="003E226A">
              <w:rPr>
                <w:spacing w:val="-4"/>
                <w:sz w:val="20"/>
                <w:szCs w:val="20"/>
              </w:rPr>
              <w:t xml:space="preserve"> </w:t>
            </w:r>
            <w:r w:rsidRPr="003E226A">
              <w:rPr>
                <w:sz w:val="20"/>
                <w:szCs w:val="20"/>
              </w:rPr>
              <w:t>Dividend</w:t>
            </w:r>
            <w:r w:rsidRPr="003E226A">
              <w:rPr>
                <w:spacing w:val="-4"/>
                <w:sz w:val="20"/>
                <w:szCs w:val="20"/>
              </w:rPr>
              <w:t xml:space="preserve"> </w:t>
            </w:r>
            <w:r w:rsidRPr="003E226A">
              <w:rPr>
                <w:sz w:val="20"/>
                <w:szCs w:val="20"/>
              </w:rPr>
              <w:t>&amp;</w:t>
            </w:r>
            <w:r w:rsidRPr="003E226A">
              <w:rPr>
                <w:spacing w:val="-3"/>
                <w:sz w:val="20"/>
                <w:szCs w:val="20"/>
              </w:rPr>
              <w:t xml:space="preserve"> </w:t>
            </w:r>
            <w:r w:rsidRPr="003E226A">
              <w:rPr>
                <w:spacing w:val="-4"/>
                <w:sz w:val="20"/>
                <w:szCs w:val="20"/>
              </w:rPr>
              <w:t>Rent</w:t>
            </w:r>
          </w:p>
        </w:tc>
        <w:tc>
          <w:tcPr>
            <w:tcW w:w="1298" w:type="dxa"/>
            <w:tcBorders>
              <w:top w:val="single" w:sz="4" w:space="0" w:color="9CC2E4"/>
              <w:left w:val="single" w:sz="4" w:space="0" w:color="9CC2E4"/>
              <w:bottom w:val="single" w:sz="4" w:space="0" w:color="9CC2E4"/>
              <w:right w:val="single" w:sz="4" w:space="0" w:color="9CC2E4"/>
            </w:tcBorders>
          </w:tcPr>
          <w:p w14:paraId="50669F10" w14:textId="77777777" w:rsidR="00FC0925" w:rsidRPr="003E226A" w:rsidRDefault="00FC0925" w:rsidP="00321DEC">
            <w:pPr>
              <w:pStyle w:val="TableParagraph"/>
              <w:spacing w:before="1" w:line="360" w:lineRule="auto"/>
              <w:ind w:left="107"/>
              <w:jc w:val="both"/>
              <w:rPr>
                <w:sz w:val="20"/>
                <w:szCs w:val="20"/>
              </w:rPr>
            </w:pPr>
            <w:r w:rsidRPr="003E226A">
              <w:rPr>
                <w:spacing w:val="-2"/>
                <w:sz w:val="20"/>
                <w:szCs w:val="20"/>
              </w:rPr>
              <w:t>1.55%</w:t>
            </w:r>
          </w:p>
        </w:tc>
        <w:tc>
          <w:tcPr>
            <w:tcW w:w="1062" w:type="dxa"/>
            <w:tcBorders>
              <w:top w:val="single" w:sz="4" w:space="0" w:color="9CC2E4"/>
              <w:left w:val="single" w:sz="4" w:space="0" w:color="9CC2E4"/>
              <w:bottom w:val="single" w:sz="4" w:space="0" w:color="9CC2E4"/>
              <w:right w:val="single" w:sz="4" w:space="0" w:color="9CC2E4"/>
            </w:tcBorders>
          </w:tcPr>
          <w:p w14:paraId="0BF100EF"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0.02%</w:t>
            </w:r>
          </w:p>
        </w:tc>
        <w:tc>
          <w:tcPr>
            <w:tcW w:w="1062" w:type="dxa"/>
            <w:tcBorders>
              <w:top w:val="single" w:sz="4" w:space="0" w:color="9CC2E4"/>
              <w:left w:val="single" w:sz="4" w:space="0" w:color="9CC2E4"/>
              <w:bottom w:val="single" w:sz="4" w:space="0" w:color="9CC2E4"/>
              <w:right w:val="single" w:sz="4" w:space="0" w:color="9CC2E4"/>
            </w:tcBorders>
          </w:tcPr>
          <w:p w14:paraId="37BD7551"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5.98%</w:t>
            </w:r>
          </w:p>
        </w:tc>
        <w:tc>
          <w:tcPr>
            <w:tcW w:w="1062" w:type="dxa"/>
            <w:tcBorders>
              <w:top w:val="single" w:sz="4" w:space="0" w:color="9CC2E4"/>
              <w:left w:val="single" w:sz="4" w:space="0" w:color="9CC2E4"/>
              <w:bottom w:val="single" w:sz="4" w:space="0" w:color="9CC2E4"/>
              <w:right w:val="single" w:sz="4" w:space="0" w:color="9CC2E4"/>
            </w:tcBorders>
          </w:tcPr>
          <w:p w14:paraId="7A4A6982"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11.00%</w:t>
            </w:r>
          </w:p>
        </w:tc>
        <w:tc>
          <w:tcPr>
            <w:tcW w:w="1062" w:type="dxa"/>
            <w:tcBorders>
              <w:top w:val="single" w:sz="4" w:space="0" w:color="9CC2E4"/>
              <w:left w:val="single" w:sz="4" w:space="0" w:color="9CC2E4"/>
              <w:bottom w:val="single" w:sz="4" w:space="0" w:color="9CC2E4"/>
              <w:right w:val="single" w:sz="4" w:space="0" w:color="9CC2E4"/>
            </w:tcBorders>
          </w:tcPr>
          <w:p w14:paraId="13BE8C34"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3.79%</w:t>
            </w:r>
          </w:p>
        </w:tc>
      </w:tr>
      <w:tr w:rsidR="00FC0925" w:rsidRPr="003E226A" w14:paraId="24CCAFD9"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tcPr>
          <w:p w14:paraId="5DD83DB3" w14:textId="2D26E4C4" w:rsidR="00FC0925" w:rsidRPr="003E226A" w:rsidRDefault="00347E2F" w:rsidP="00321DEC">
            <w:pPr>
              <w:pStyle w:val="TableParagraph"/>
              <w:spacing w:line="360" w:lineRule="auto"/>
              <w:ind w:left="0"/>
              <w:jc w:val="both"/>
              <w:rPr>
                <w:sz w:val="20"/>
                <w:szCs w:val="20"/>
              </w:rPr>
            </w:pPr>
            <w:r w:rsidRPr="003E226A">
              <w:rPr>
                <w:sz w:val="20"/>
                <w:szCs w:val="20"/>
              </w:rPr>
              <w:t xml:space="preserve">Other Income </w:t>
            </w:r>
          </w:p>
        </w:tc>
        <w:tc>
          <w:tcPr>
            <w:tcW w:w="1298" w:type="dxa"/>
            <w:tcBorders>
              <w:top w:val="single" w:sz="4" w:space="0" w:color="9CC2E4"/>
              <w:left w:val="single" w:sz="4" w:space="0" w:color="9CC2E4"/>
              <w:bottom w:val="single" w:sz="4" w:space="0" w:color="9CC2E4"/>
              <w:right w:val="single" w:sz="4" w:space="0" w:color="9CC2E4"/>
            </w:tcBorders>
          </w:tcPr>
          <w:p w14:paraId="4BC3D737" w14:textId="77777777" w:rsidR="00FC0925" w:rsidRPr="003E226A" w:rsidRDefault="00FC0925" w:rsidP="00321DEC">
            <w:pPr>
              <w:pStyle w:val="TableParagraph"/>
              <w:spacing w:line="360" w:lineRule="auto"/>
              <w:ind w:left="107"/>
              <w:jc w:val="both"/>
              <w:rPr>
                <w:sz w:val="20"/>
                <w:szCs w:val="20"/>
              </w:rPr>
            </w:pPr>
            <w:r w:rsidRPr="003E226A">
              <w:rPr>
                <w:spacing w:val="-2"/>
                <w:sz w:val="20"/>
                <w:szCs w:val="20"/>
              </w:rPr>
              <w:t>10959.22%</w:t>
            </w:r>
          </w:p>
        </w:tc>
        <w:tc>
          <w:tcPr>
            <w:tcW w:w="1062" w:type="dxa"/>
            <w:tcBorders>
              <w:top w:val="single" w:sz="4" w:space="0" w:color="9CC2E4"/>
              <w:left w:val="single" w:sz="4" w:space="0" w:color="9CC2E4"/>
              <w:bottom w:val="single" w:sz="4" w:space="0" w:color="9CC2E4"/>
              <w:right w:val="single" w:sz="4" w:space="0" w:color="9CC2E4"/>
            </w:tcBorders>
          </w:tcPr>
          <w:p w14:paraId="332434FE" w14:textId="77777777" w:rsidR="00FC0925" w:rsidRPr="003E226A" w:rsidRDefault="00FC0925" w:rsidP="00321DEC">
            <w:pPr>
              <w:pStyle w:val="TableParagraph"/>
              <w:spacing w:line="360" w:lineRule="auto"/>
              <w:jc w:val="both"/>
              <w:rPr>
                <w:sz w:val="20"/>
                <w:szCs w:val="20"/>
              </w:rPr>
            </w:pPr>
            <w:r w:rsidRPr="003E226A">
              <w:rPr>
                <w:spacing w:val="-2"/>
                <w:sz w:val="20"/>
                <w:szCs w:val="20"/>
              </w:rPr>
              <w:t>184.53%</w:t>
            </w:r>
          </w:p>
        </w:tc>
        <w:tc>
          <w:tcPr>
            <w:tcW w:w="1062" w:type="dxa"/>
            <w:tcBorders>
              <w:top w:val="single" w:sz="4" w:space="0" w:color="9CC2E4"/>
              <w:left w:val="single" w:sz="4" w:space="0" w:color="9CC2E4"/>
              <w:bottom w:val="single" w:sz="4" w:space="0" w:color="9CC2E4"/>
              <w:right w:val="single" w:sz="4" w:space="0" w:color="9CC2E4"/>
            </w:tcBorders>
          </w:tcPr>
          <w:p w14:paraId="0F11D037" w14:textId="77777777" w:rsidR="00FC0925" w:rsidRPr="003E226A" w:rsidRDefault="00FC0925" w:rsidP="00321DEC">
            <w:pPr>
              <w:pStyle w:val="TableParagraph"/>
              <w:spacing w:line="360" w:lineRule="auto"/>
              <w:jc w:val="both"/>
              <w:rPr>
                <w:sz w:val="20"/>
                <w:szCs w:val="20"/>
              </w:rPr>
            </w:pPr>
            <w:r w:rsidRPr="003E226A">
              <w:rPr>
                <w:spacing w:val="-5"/>
                <w:sz w:val="20"/>
                <w:szCs w:val="20"/>
              </w:rPr>
              <w:t>-</w:t>
            </w:r>
            <w:r w:rsidRPr="003E226A">
              <w:rPr>
                <w:spacing w:val="-2"/>
                <w:sz w:val="20"/>
                <w:szCs w:val="20"/>
              </w:rPr>
              <w:t>97.74%</w:t>
            </w:r>
          </w:p>
        </w:tc>
        <w:tc>
          <w:tcPr>
            <w:tcW w:w="1062" w:type="dxa"/>
            <w:tcBorders>
              <w:top w:val="single" w:sz="4" w:space="0" w:color="9CC2E4"/>
              <w:left w:val="single" w:sz="4" w:space="0" w:color="9CC2E4"/>
              <w:bottom w:val="single" w:sz="4" w:space="0" w:color="9CC2E4"/>
              <w:right w:val="single" w:sz="4" w:space="0" w:color="9CC2E4"/>
            </w:tcBorders>
          </w:tcPr>
          <w:p w14:paraId="396D7C96" w14:textId="77777777" w:rsidR="00FC0925" w:rsidRPr="003E226A" w:rsidRDefault="00FC0925" w:rsidP="00321DEC">
            <w:pPr>
              <w:pStyle w:val="TableParagraph"/>
              <w:spacing w:line="360" w:lineRule="auto"/>
              <w:jc w:val="both"/>
              <w:rPr>
                <w:sz w:val="20"/>
                <w:szCs w:val="20"/>
              </w:rPr>
            </w:pPr>
            <w:r w:rsidRPr="003E226A">
              <w:rPr>
                <w:spacing w:val="-6"/>
                <w:sz w:val="20"/>
                <w:szCs w:val="20"/>
              </w:rPr>
              <w:t>-</w:t>
            </w:r>
            <w:r w:rsidRPr="003E226A">
              <w:rPr>
                <w:spacing w:val="-2"/>
                <w:sz w:val="20"/>
                <w:szCs w:val="20"/>
              </w:rPr>
              <w:t>4.47%</w:t>
            </w:r>
          </w:p>
        </w:tc>
        <w:tc>
          <w:tcPr>
            <w:tcW w:w="1062" w:type="dxa"/>
            <w:tcBorders>
              <w:top w:val="single" w:sz="4" w:space="0" w:color="9CC2E4"/>
              <w:left w:val="single" w:sz="4" w:space="0" w:color="9CC2E4"/>
              <w:bottom w:val="single" w:sz="4" w:space="0" w:color="9CC2E4"/>
              <w:right w:val="single" w:sz="4" w:space="0" w:color="9CC2E4"/>
            </w:tcBorders>
          </w:tcPr>
          <w:p w14:paraId="38515F95" w14:textId="77777777" w:rsidR="00FC0925" w:rsidRPr="003E226A" w:rsidRDefault="00FC0925" w:rsidP="00321DEC">
            <w:pPr>
              <w:pStyle w:val="TableParagraph"/>
              <w:spacing w:line="360" w:lineRule="auto"/>
              <w:jc w:val="both"/>
              <w:rPr>
                <w:sz w:val="20"/>
                <w:szCs w:val="20"/>
              </w:rPr>
            </w:pPr>
            <w:r w:rsidRPr="003E226A">
              <w:rPr>
                <w:spacing w:val="-2"/>
                <w:sz w:val="20"/>
                <w:szCs w:val="20"/>
              </w:rPr>
              <w:t>6.91%</w:t>
            </w:r>
          </w:p>
        </w:tc>
      </w:tr>
      <w:tr w:rsidR="00FC0925" w:rsidRPr="003E226A" w14:paraId="576EF7C6" w14:textId="77777777" w:rsidTr="002A2389">
        <w:trPr>
          <w:trHeight w:val="276"/>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5B82CDB4" w14:textId="77777777" w:rsidR="00FC0925" w:rsidRPr="003E226A" w:rsidRDefault="00FC0925" w:rsidP="00321DEC">
            <w:pPr>
              <w:pStyle w:val="TableParagraph"/>
              <w:spacing w:before="1" w:line="360" w:lineRule="auto"/>
              <w:ind w:left="107"/>
              <w:jc w:val="both"/>
              <w:rPr>
                <w:b/>
                <w:sz w:val="20"/>
                <w:szCs w:val="20"/>
              </w:rPr>
            </w:pPr>
            <w:r w:rsidRPr="003E226A">
              <w:rPr>
                <w:b/>
                <w:spacing w:val="-4"/>
                <w:sz w:val="20"/>
                <w:szCs w:val="20"/>
              </w:rPr>
              <w:t>Total</w:t>
            </w:r>
            <w:r w:rsidRPr="003E226A">
              <w:rPr>
                <w:b/>
                <w:spacing w:val="-8"/>
                <w:sz w:val="20"/>
                <w:szCs w:val="20"/>
              </w:rPr>
              <w:t xml:space="preserve"> </w:t>
            </w:r>
            <w:r w:rsidRPr="003E226A">
              <w:rPr>
                <w:b/>
                <w:spacing w:val="-4"/>
                <w:sz w:val="20"/>
                <w:szCs w:val="20"/>
              </w:rPr>
              <w:t>Taka</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441A633C" w14:textId="77777777" w:rsidR="00FC0925" w:rsidRPr="003E226A" w:rsidRDefault="00FC0925" w:rsidP="00321DEC">
            <w:pPr>
              <w:pStyle w:val="TableParagraph"/>
              <w:spacing w:before="1" w:line="360" w:lineRule="auto"/>
              <w:ind w:left="107"/>
              <w:jc w:val="both"/>
              <w:rPr>
                <w:sz w:val="20"/>
                <w:szCs w:val="20"/>
              </w:rPr>
            </w:pPr>
            <w:r w:rsidRPr="003E226A">
              <w:rPr>
                <w:spacing w:val="-2"/>
                <w:sz w:val="20"/>
                <w:szCs w:val="20"/>
              </w:rPr>
              <w:t>10.57%</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35DBD67"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10.07%</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7E37F2A1"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7.71%</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363FF00"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6.90%</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6E3A8E38"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3.65%</w:t>
            </w:r>
          </w:p>
        </w:tc>
      </w:tr>
      <w:tr w:rsidR="002A6472" w:rsidRPr="003E226A" w14:paraId="2B6B2AAC" w14:textId="77777777" w:rsidTr="002A2389">
        <w:trPr>
          <w:trHeight w:val="276"/>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45BB133D" w14:textId="612388E3" w:rsidR="002A6472" w:rsidRPr="00E95D73" w:rsidRDefault="00E95D73" w:rsidP="00E95D73">
            <w:pPr>
              <w:spacing w:line="360" w:lineRule="auto"/>
              <w:rPr>
                <w:rFonts w:ascii="Times New Roman" w:hAnsi="Times New Roman" w:cs="Times New Roman"/>
                <w:b/>
              </w:rPr>
            </w:pPr>
            <w:r w:rsidRPr="00E95D73">
              <w:rPr>
                <w:rFonts w:ascii="Times New Roman" w:hAnsi="Times New Roman" w:cs="Times New Roman"/>
                <w:b/>
              </w:rPr>
              <w:t>Claims and Expenses:</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34DDDC75" w14:textId="77777777" w:rsidR="002A6472" w:rsidRPr="003E226A" w:rsidRDefault="002A6472" w:rsidP="00321DEC">
            <w:pPr>
              <w:pStyle w:val="TableParagraph"/>
              <w:spacing w:before="1" w:line="360" w:lineRule="auto"/>
              <w:ind w:left="107"/>
              <w:jc w:val="both"/>
              <w:rPr>
                <w:spacing w:val="-2"/>
                <w:sz w:val="20"/>
                <w:szCs w:val="20"/>
              </w:rPr>
            </w:pP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3E5F516A" w14:textId="77777777" w:rsidR="002A6472" w:rsidRPr="003E226A" w:rsidRDefault="002A6472" w:rsidP="00321DEC">
            <w:pPr>
              <w:pStyle w:val="TableParagraph"/>
              <w:spacing w:before="1" w:line="360" w:lineRule="auto"/>
              <w:jc w:val="both"/>
              <w:rPr>
                <w:spacing w:val="-2"/>
                <w:sz w:val="20"/>
                <w:szCs w:val="20"/>
              </w:rPr>
            </w:pP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69C33256" w14:textId="77777777" w:rsidR="002A6472" w:rsidRPr="003E226A" w:rsidRDefault="002A6472" w:rsidP="00321DEC">
            <w:pPr>
              <w:pStyle w:val="TableParagraph"/>
              <w:spacing w:before="1" w:line="360" w:lineRule="auto"/>
              <w:jc w:val="both"/>
              <w:rPr>
                <w:spacing w:val="-2"/>
                <w:sz w:val="20"/>
                <w:szCs w:val="20"/>
              </w:rPr>
            </w:pP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006EFD7D" w14:textId="77777777" w:rsidR="002A6472" w:rsidRPr="003E226A" w:rsidRDefault="002A6472" w:rsidP="00321DEC">
            <w:pPr>
              <w:pStyle w:val="TableParagraph"/>
              <w:spacing w:before="1" w:line="360" w:lineRule="auto"/>
              <w:jc w:val="both"/>
              <w:rPr>
                <w:spacing w:val="-2"/>
                <w:sz w:val="20"/>
                <w:szCs w:val="20"/>
              </w:rPr>
            </w:pP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3CFF5BA2" w14:textId="77777777" w:rsidR="002A6472" w:rsidRPr="003E226A" w:rsidRDefault="002A6472" w:rsidP="00321DEC">
            <w:pPr>
              <w:pStyle w:val="TableParagraph"/>
              <w:spacing w:before="1" w:line="360" w:lineRule="auto"/>
              <w:jc w:val="both"/>
              <w:rPr>
                <w:spacing w:val="-2"/>
                <w:sz w:val="20"/>
                <w:szCs w:val="20"/>
              </w:rPr>
            </w:pPr>
          </w:p>
        </w:tc>
      </w:tr>
      <w:tr w:rsidR="00FC0925" w:rsidRPr="003E226A" w14:paraId="44ABEF85" w14:textId="77777777" w:rsidTr="002A2389">
        <w:trPr>
          <w:trHeight w:val="414"/>
        </w:trPr>
        <w:tc>
          <w:tcPr>
            <w:tcW w:w="3804" w:type="dxa"/>
            <w:tcBorders>
              <w:top w:val="single" w:sz="4" w:space="0" w:color="9CC2E4"/>
              <w:left w:val="single" w:sz="4" w:space="0" w:color="9CC2E4"/>
              <w:bottom w:val="single" w:sz="4" w:space="0" w:color="9CC2E4"/>
              <w:right w:val="single" w:sz="4" w:space="0" w:color="9CC2E4"/>
            </w:tcBorders>
          </w:tcPr>
          <w:p w14:paraId="69D3A27C" w14:textId="38800D21" w:rsidR="00FC0925" w:rsidRPr="003E226A" w:rsidRDefault="00E95D73" w:rsidP="00321DEC">
            <w:pPr>
              <w:pStyle w:val="TableParagraph"/>
              <w:spacing w:line="360" w:lineRule="auto"/>
              <w:ind w:left="0"/>
              <w:jc w:val="both"/>
              <w:rPr>
                <w:sz w:val="20"/>
                <w:szCs w:val="20"/>
              </w:rPr>
            </w:pPr>
            <w:r>
              <w:rPr>
                <w:sz w:val="20"/>
                <w:szCs w:val="20"/>
              </w:rPr>
              <w:t xml:space="preserve"> </w:t>
            </w:r>
            <w:r w:rsidR="00AF1C7A" w:rsidRPr="003E226A">
              <w:rPr>
                <w:sz w:val="20"/>
                <w:szCs w:val="20"/>
              </w:rPr>
              <w:t xml:space="preserve">Claims Under Policies </w:t>
            </w:r>
          </w:p>
        </w:tc>
        <w:tc>
          <w:tcPr>
            <w:tcW w:w="1298" w:type="dxa"/>
            <w:tcBorders>
              <w:top w:val="single" w:sz="4" w:space="0" w:color="9CC2E4"/>
              <w:left w:val="single" w:sz="4" w:space="0" w:color="9CC2E4"/>
              <w:bottom w:val="single" w:sz="4" w:space="0" w:color="9CC2E4"/>
              <w:right w:val="single" w:sz="4" w:space="0" w:color="9CC2E4"/>
            </w:tcBorders>
          </w:tcPr>
          <w:p w14:paraId="770D685B" w14:textId="77777777" w:rsidR="00FC0925" w:rsidRPr="003E226A" w:rsidRDefault="00FC0925" w:rsidP="00321DEC">
            <w:pPr>
              <w:pStyle w:val="TableParagraph"/>
              <w:spacing w:before="1" w:line="360" w:lineRule="auto"/>
              <w:ind w:left="107"/>
              <w:jc w:val="both"/>
              <w:rPr>
                <w:sz w:val="20"/>
                <w:szCs w:val="20"/>
              </w:rPr>
            </w:pPr>
            <w:r w:rsidRPr="003E226A">
              <w:rPr>
                <w:spacing w:val="-2"/>
                <w:sz w:val="20"/>
                <w:szCs w:val="20"/>
              </w:rPr>
              <w:t>19.35%</w:t>
            </w:r>
          </w:p>
        </w:tc>
        <w:tc>
          <w:tcPr>
            <w:tcW w:w="1062" w:type="dxa"/>
            <w:tcBorders>
              <w:top w:val="single" w:sz="4" w:space="0" w:color="9CC2E4"/>
              <w:left w:val="single" w:sz="4" w:space="0" w:color="9CC2E4"/>
              <w:bottom w:val="single" w:sz="4" w:space="0" w:color="9CC2E4"/>
              <w:right w:val="single" w:sz="4" w:space="0" w:color="9CC2E4"/>
            </w:tcBorders>
          </w:tcPr>
          <w:p w14:paraId="58695348"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10.34%</w:t>
            </w:r>
          </w:p>
        </w:tc>
        <w:tc>
          <w:tcPr>
            <w:tcW w:w="1062" w:type="dxa"/>
            <w:tcBorders>
              <w:top w:val="single" w:sz="4" w:space="0" w:color="9CC2E4"/>
              <w:left w:val="single" w:sz="4" w:space="0" w:color="9CC2E4"/>
              <w:bottom w:val="single" w:sz="4" w:space="0" w:color="9CC2E4"/>
              <w:right w:val="single" w:sz="4" w:space="0" w:color="9CC2E4"/>
            </w:tcBorders>
          </w:tcPr>
          <w:p w14:paraId="5BACE478"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8.72%</w:t>
            </w:r>
          </w:p>
        </w:tc>
        <w:tc>
          <w:tcPr>
            <w:tcW w:w="1062" w:type="dxa"/>
            <w:tcBorders>
              <w:top w:val="single" w:sz="4" w:space="0" w:color="9CC2E4"/>
              <w:left w:val="single" w:sz="4" w:space="0" w:color="9CC2E4"/>
              <w:bottom w:val="single" w:sz="4" w:space="0" w:color="9CC2E4"/>
              <w:right w:val="single" w:sz="4" w:space="0" w:color="9CC2E4"/>
            </w:tcBorders>
          </w:tcPr>
          <w:p w14:paraId="12C5BE57" w14:textId="77777777" w:rsidR="00FC0925" w:rsidRPr="003E226A" w:rsidRDefault="00FC0925" w:rsidP="00321DEC">
            <w:pPr>
              <w:pStyle w:val="TableParagraph"/>
              <w:spacing w:before="1" w:line="360" w:lineRule="auto"/>
              <w:jc w:val="both"/>
              <w:rPr>
                <w:sz w:val="20"/>
                <w:szCs w:val="20"/>
              </w:rPr>
            </w:pPr>
            <w:r w:rsidRPr="003E226A">
              <w:rPr>
                <w:spacing w:val="-2"/>
                <w:sz w:val="20"/>
                <w:szCs w:val="20"/>
              </w:rPr>
              <w:t>2.99%</w:t>
            </w:r>
          </w:p>
        </w:tc>
        <w:tc>
          <w:tcPr>
            <w:tcW w:w="1062" w:type="dxa"/>
            <w:tcBorders>
              <w:top w:val="single" w:sz="4" w:space="0" w:color="9CC2E4"/>
              <w:left w:val="single" w:sz="4" w:space="0" w:color="9CC2E4"/>
              <w:bottom w:val="single" w:sz="4" w:space="0" w:color="9CC2E4"/>
              <w:right w:val="single" w:sz="4" w:space="0" w:color="9CC2E4"/>
            </w:tcBorders>
          </w:tcPr>
          <w:p w14:paraId="4723D4EA" w14:textId="77777777" w:rsidR="00FC0925" w:rsidRPr="003E226A" w:rsidRDefault="00FC0925" w:rsidP="00321DEC">
            <w:pPr>
              <w:pStyle w:val="TableParagraph"/>
              <w:spacing w:before="1" w:line="360" w:lineRule="auto"/>
              <w:jc w:val="both"/>
              <w:rPr>
                <w:sz w:val="20"/>
                <w:szCs w:val="20"/>
              </w:rPr>
            </w:pPr>
            <w:r w:rsidRPr="003E226A">
              <w:rPr>
                <w:spacing w:val="-6"/>
                <w:sz w:val="20"/>
                <w:szCs w:val="20"/>
              </w:rPr>
              <w:t>-</w:t>
            </w:r>
            <w:r w:rsidRPr="003E226A">
              <w:rPr>
                <w:spacing w:val="-2"/>
                <w:sz w:val="20"/>
                <w:szCs w:val="20"/>
              </w:rPr>
              <w:t>5.40%</w:t>
            </w:r>
          </w:p>
        </w:tc>
      </w:tr>
      <w:tr w:rsidR="00FC0925" w:rsidRPr="003E226A" w14:paraId="7B06BEAA"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1310AB58" w14:textId="77777777" w:rsidR="00FC0925" w:rsidRPr="003E226A" w:rsidRDefault="00FC0925" w:rsidP="00321DEC">
            <w:pPr>
              <w:pStyle w:val="TableParagraph"/>
              <w:spacing w:line="360" w:lineRule="auto"/>
              <w:ind w:left="107"/>
              <w:jc w:val="both"/>
              <w:rPr>
                <w:sz w:val="20"/>
                <w:szCs w:val="20"/>
              </w:rPr>
            </w:pPr>
            <w:r w:rsidRPr="003E226A">
              <w:rPr>
                <w:sz w:val="20"/>
                <w:szCs w:val="20"/>
              </w:rPr>
              <w:t>Annuity</w:t>
            </w:r>
            <w:r w:rsidRPr="003E226A">
              <w:rPr>
                <w:spacing w:val="-1"/>
                <w:sz w:val="20"/>
                <w:szCs w:val="20"/>
              </w:rPr>
              <w:t xml:space="preserve"> </w:t>
            </w:r>
            <w:r w:rsidRPr="003E226A">
              <w:rPr>
                <w:sz w:val="20"/>
                <w:szCs w:val="20"/>
              </w:rPr>
              <w:t>less</w:t>
            </w:r>
            <w:r w:rsidRPr="003E226A">
              <w:rPr>
                <w:spacing w:val="-2"/>
                <w:sz w:val="20"/>
                <w:szCs w:val="20"/>
              </w:rPr>
              <w:t xml:space="preserve"> </w:t>
            </w:r>
            <w:r w:rsidRPr="003E226A">
              <w:rPr>
                <w:sz w:val="20"/>
                <w:szCs w:val="20"/>
              </w:rPr>
              <w:t>Re-</w:t>
            </w:r>
            <w:r w:rsidRPr="003E226A">
              <w:rPr>
                <w:spacing w:val="-2"/>
                <w:sz w:val="20"/>
                <w:szCs w:val="20"/>
              </w:rPr>
              <w:t>Insurance</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018A0346" w14:textId="77777777" w:rsidR="00FC0925" w:rsidRPr="003E226A" w:rsidRDefault="00FC0925" w:rsidP="00321DEC">
            <w:pPr>
              <w:pStyle w:val="TableParagraph"/>
              <w:spacing w:line="360" w:lineRule="auto"/>
              <w:ind w:left="107"/>
              <w:jc w:val="both"/>
              <w:rPr>
                <w:sz w:val="20"/>
                <w:szCs w:val="20"/>
              </w:rPr>
            </w:pPr>
            <w:r w:rsidRPr="003E226A">
              <w:rPr>
                <w:spacing w:val="-2"/>
                <w:sz w:val="20"/>
                <w:szCs w:val="20"/>
              </w:rPr>
              <w:t>103.64%</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26AC3FAA" w14:textId="77777777" w:rsidR="00FC0925" w:rsidRPr="003E226A" w:rsidRDefault="00FC0925" w:rsidP="00321DEC">
            <w:pPr>
              <w:pStyle w:val="TableParagraph"/>
              <w:spacing w:line="360" w:lineRule="auto"/>
              <w:jc w:val="both"/>
              <w:rPr>
                <w:sz w:val="20"/>
                <w:szCs w:val="20"/>
              </w:rPr>
            </w:pPr>
            <w:r w:rsidRPr="003E226A">
              <w:rPr>
                <w:spacing w:val="-5"/>
                <w:sz w:val="20"/>
                <w:szCs w:val="20"/>
              </w:rPr>
              <w:t>-</w:t>
            </w:r>
            <w:r w:rsidRPr="003E226A">
              <w:rPr>
                <w:spacing w:val="-2"/>
                <w:sz w:val="20"/>
                <w:szCs w:val="20"/>
              </w:rPr>
              <w:t>31.27%</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39132F2E" w14:textId="77777777" w:rsidR="00FC0925" w:rsidRPr="003E226A" w:rsidRDefault="00FC0925" w:rsidP="00321DEC">
            <w:pPr>
              <w:pStyle w:val="TableParagraph"/>
              <w:spacing w:line="360" w:lineRule="auto"/>
              <w:jc w:val="both"/>
              <w:rPr>
                <w:sz w:val="20"/>
                <w:szCs w:val="20"/>
              </w:rPr>
            </w:pPr>
            <w:r w:rsidRPr="003E226A">
              <w:rPr>
                <w:spacing w:val="-5"/>
                <w:sz w:val="20"/>
                <w:szCs w:val="20"/>
              </w:rPr>
              <w:t>-</w:t>
            </w:r>
            <w:r w:rsidRPr="003E226A">
              <w:rPr>
                <w:spacing w:val="-2"/>
                <w:sz w:val="20"/>
                <w:szCs w:val="20"/>
              </w:rPr>
              <w:t>40.11%</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3005D58F" w14:textId="77777777" w:rsidR="00FC0925" w:rsidRPr="003E226A" w:rsidRDefault="00FC0925" w:rsidP="00321DEC">
            <w:pPr>
              <w:pStyle w:val="TableParagraph"/>
              <w:spacing w:line="360" w:lineRule="auto"/>
              <w:jc w:val="both"/>
              <w:rPr>
                <w:sz w:val="20"/>
                <w:szCs w:val="20"/>
              </w:rPr>
            </w:pPr>
            <w:r w:rsidRPr="003E226A">
              <w:rPr>
                <w:spacing w:val="-2"/>
                <w:sz w:val="20"/>
                <w:szCs w:val="20"/>
              </w:rPr>
              <w:t>104.84%</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6ADEA903" w14:textId="77777777" w:rsidR="00FC0925" w:rsidRPr="003E226A" w:rsidRDefault="00FC0925" w:rsidP="00321DEC">
            <w:pPr>
              <w:pStyle w:val="TableParagraph"/>
              <w:spacing w:line="360" w:lineRule="auto"/>
              <w:jc w:val="both"/>
              <w:rPr>
                <w:sz w:val="20"/>
                <w:szCs w:val="20"/>
              </w:rPr>
            </w:pPr>
            <w:r w:rsidRPr="003E226A">
              <w:rPr>
                <w:spacing w:val="-2"/>
                <w:sz w:val="20"/>
                <w:szCs w:val="20"/>
              </w:rPr>
              <w:t>26.86%</w:t>
            </w:r>
          </w:p>
        </w:tc>
      </w:tr>
      <w:tr w:rsidR="003E226A" w:rsidRPr="003E226A" w14:paraId="15D1EC48"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45EB3C77" w14:textId="57AEA384" w:rsidR="003E226A" w:rsidRPr="003E226A" w:rsidRDefault="003E226A" w:rsidP="00321DEC">
            <w:pPr>
              <w:pStyle w:val="TableParagraph"/>
              <w:spacing w:line="360" w:lineRule="auto"/>
              <w:ind w:left="107"/>
              <w:jc w:val="both"/>
              <w:rPr>
                <w:sz w:val="20"/>
                <w:szCs w:val="20"/>
              </w:rPr>
            </w:pPr>
            <w:r w:rsidRPr="003E226A">
              <w:rPr>
                <w:b/>
                <w:sz w:val="20"/>
                <w:szCs w:val="20"/>
              </w:rPr>
              <w:t>Expense</w:t>
            </w:r>
            <w:r w:rsidRPr="003E226A">
              <w:rPr>
                <w:b/>
                <w:spacing w:val="-2"/>
                <w:sz w:val="20"/>
                <w:szCs w:val="20"/>
              </w:rPr>
              <w:t xml:space="preserve"> </w:t>
            </w:r>
            <w:r w:rsidRPr="003E226A">
              <w:rPr>
                <w:b/>
                <w:sz w:val="20"/>
                <w:szCs w:val="20"/>
              </w:rPr>
              <w:t>of</w:t>
            </w:r>
            <w:r w:rsidRPr="003E226A">
              <w:rPr>
                <w:b/>
                <w:spacing w:val="-2"/>
                <w:sz w:val="20"/>
                <w:szCs w:val="20"/>
              </w:rPr>
              <w:t xml:space="preserve"> Management</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6C7B687C" w14:textId="77777777" w:rsidR="003E226A" w:rsidRPr="003E226A" w:rsidRDefault="003E226A" w:rsidP="00321DEC">
            <w:pPr>
              <w:pStyle w:val="TableParagraph"/>
              <w:spacing w:line="360" w:lineRule="auto"/>
              <w:ind w:left="107"/>
              <w:jc w:val="both"/>
              <w:rPr>
                <w:spacing w:val="-2"/>
                <w:sz w:val="20"/>
                <w:szCs w:val="20"/>
              </w:rPr>
            </w:pP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55645348" w14:textId="77777777" w:rsidR="003E226A" w:rsidRPr="003E226A" w:rsidRDefault="003E226A" w:rsidP="00321DEC">
            <w:pPr>
              <w:pStyle w:val="TableParagraph"/>
              <w:spacing w:line="360" w:lineRule="auto"/>
              <w:jc w:val="both"/>
              <w:rPr>
                <w:spacing w:val="-5"/>
                <w:sz w:val="20"/>
                <w:szCs w:val="20"/>
              </w:rPr>
            </w:pP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04DBE347" w14:textId="77777777" w:rsidR="003E226A" w:rsidRPr="003E226A" w:rsidRDefault="003E226A" w:rsidP="00321DEC">
            <w:pPr>
              <w:pStyle w:val="TableParagraph"/>
              <w:spacing w:line="360" w:lineRule="auto"/>
              <w:jc w:val="both"/>
              <w:rPr>
                <w:spacing w:val="-5"/>
                <w:sz w:val="20"/>
                <w:szCs w:val="20"/>
              </w:rPr>
            </w:pP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02AAC069" w14:textId="77777777" w:rsidR="003E226A" w:rsidRPr="003E226A" w:rsidRDefault="003E226A" w:rsidP="00321DEC">
            <w:pPr>
              <w:pStyle w:val="TableParagraph"/>
              <w:spacing w:line="360" w:lineRule="auto"/>
              <w:jc w:val="both"/>
              <w:rPr>
                <w:spacing w:val="-2"/>
                <w:sz w:val="20"/>
                <w:szCs w:val="20"/>
              </w:rPr>
            </w:pP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6BA436A9" w14:textId="77777777" w:rsidR="003E226A" w:rsidRPr="003E226A" w:rsidRDefault="003E226A" w:rsidP="00321DEC">
            <w:pPr>
              <w:pStyle w:val="TableParagraph"/>
              <w:spacing w:line="360" w:lineRule="auto"/>
              <w:jc w:val="both"/>
              <w:rPr>
                <w:spacing w:val="-2"/>
                <w:sz w:val="20"/>
                <w:szCs w:val="20"/>
              </w:rPr>
            </w:pPr>
          </w:p>
        </w:tc>
      </w:tr>
      <w:tr w:rsidR="003E226A" w:rsidRPr="003E226A" w14:paraId="32779B7C"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0A0D0BE4" w14:textId="1F0E55C9" w:rsidR="003E226A" w:rsidRPr="003E226A" w:rsidRDefault="003E226A" w:rsidP="003E226A">
            <w:pPr>
              <w:pStyle w:val="TableParagraph"/>
              <w:spacing w:line="360" w:lineRule="auto"/>
              <w:ind w:left="107"/>
              <w:jc w:val="both"/>
              <w:rPr>
                <w:sz w:val="20"/>
                <w:szCs w:val="20"/>
              </w:rPr>
            </w:pPr>
            <w:r w:rsidRPr="003E226A">
              <w:rPr>
                <w:sz w:val="20"/>
                <w:szCs w:val="20"/>
              </w:rPr>
              <w:lastRenderedPageBreak/>
              <w:t xml:space="preserve">Commission </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318DD849" w14:textId="03FDC721" w:rsidR="003E226A" w:rsidRPr="003E226A" w:rsidRDefault="003E226A" w:rsidP="003E226A">
            <w:pPr>
              <w:pStyle w:val="TableParagraph"/>
              <w:spacing w:line="360" w:lineRule="auto"/>
              <w:ind w:left="107"/>
              <w:jc w:val="both"/>
              <w:rPr>
                <w:spacing w:val="-2"/>
                <w:sz w:val="20"/>
                <w:szCs w:val="20"/>
              </w:rPr>
            </w:pPr>
            <w:r w:rsidRPr="003E226A">
              <w:rPr>
                <w:spacing w:val="-2"/>
                <w:sz w:val="20"/>
                <w:szCs w:val="20"/>
              </w:rPr>
              <w:t>7.58%</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29AF33AD" w14:textId="39CCFEED" w:rsidR="003E226A" w:rsidRPr="003E226A" w:rsidRDefault="003E226A" w:rsidP="003E226A">
            <w:pPr>
              <w:pStyle w:val="TableParagraph"/>
              <w:spacing w:line="360" w:lineRule="auto"/>
              <w:jc w:val="both"/>
              <w:rPr>
                <w:spacing w:val="-5"/>
                <w:sz w:val="20"/>
                <w:szCs w:val="20"/>
              </w:rPr>
            </w:pPr>
            <w:r w:rsidRPr="003E226A">
              <w:rPr>
                <w:spacing w:val="-2"/>
                <w:sz w:val="20"/>
                <w:szCs w:val="20"/>
              </w:rPr>
              <w:t>19.70%</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15E2E71" w14:textId="085C9DF2" w:rsidR="003E226A" w:rsidRPr="003E226A" w:rsidRDefault="003E226A" w:rsidP="003E226A">
            <w:pPr>
              <w:pStyle w:val="TableParagraph"/>
              <w:spacing w:line="360" w:lineRule="auto"/>
              <w:jc w:val="both"/>
              <w:rPr>
                <w:spacing w:val="-5"/>
                <w:sz w:val="20"/>
                <w:szCs w:val="20"/>
              </w:rPr>
            </w:pPr>
            <w:r w:rsidRPr="003E226A">
              <w:rPr>
                <w:spacing w:val="-2"/>
                <w:sz w:val="20"/>
                <w:szCs w:val="20"/>
              </w:rPr>
              <w:t>2.94%</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5528808A" w14:textId="64240A34" w:rsidR="003E226A" w:rsidRPr="003E226A" w:rsidRDefault="003E226A" w:rsidP="003E226A">
            <w:pPr>
              <w:pStyle w:val="TableParagraph"/>
              <w:spacing w:line="360" w:lineRule="auto"/>
              <w:jc w:val="both"/>
              <w:rPr>
                <w:spacing w:val="-2"/>
                <w:sz w:val="20"/>
                <w:szCs w:val="20"/>
              </w:rPr>
            </w:pPr>
            <w:r w:rsidRPr="003E226A">
              <w:rPr>
                <w:spacing w:val="-2"/>
                <w:sz w:val="20"/>
                <w:szCs w:val="20"/>
              </w:rPr>
              <w:t>26.18%</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0DD7FFA8" w14:textId="55A85D0F" w:rsidR="003E226A" w:rsidRPr="003E226A" w:rsidRDefault="003E226A" w:rsidP="003E226A">
            <w:pPr>
              <w:pStyle w:val="TableParagraph"/>
              <w:spacing w:line="360" w:lineRule="auto"/>
              <w:jc w:val="both"/>
              <w:rPr>
                <w:spacing w:val="-2"/>
                <w:sz w:val="20"/>
                <w:szCs w:val="20"/>
              </w:rPr>
            </w:pPr>
            <w:r w:rsidRPr="003E226A">
              <w:rPr>
                <w:spacing w:val="-2"/>
                <w:sz w:val="20"/>
                <w:szCs w:val="20"/>
              </w:rPr>
              <w:t>12.06%</w:t>
            </w:r>
          </w:p>
        </w:tc>
      </w:tr>
      <w:tr w:rsidR="003E226A" w:rsidRPr="003E226A" w14:paraId="24E82337"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4CB37CF1" w14:textId="05E01B5A" w:rsidR="003E226A" w:rsidRPr="003E226A" w:rsidRDefault="003E226A" w:rsidP="003E226A">
            <w:pPr>
              <w:pStyle w:val="TableParagraph"/>
              <w:spacing w:line="360" w:lineRule="auto"/>
              <w:ind w:left="107"/>
              <w:jc w:val="both"/>
              <w:rPr>
                <w:sz w:val="20"/>
                <w:szCs w:val="20"/>
              </w:rPr>
            </w:pPr>
            <w:r w:rsidRPr="003E226A">
              <w:rPr>
                <w:sz w:val="20"/>
                <w:szCs w:val="20"/>
              </w:rPr>
              <w:t>Administrative Expenses</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1CCD0710" w14:textId="01860ED6" w:rsidR="003E226A" w:rsidRPr="003E226A" w:rsidRDefault="003E226A" w:rsidP="003E226A">
            <w:pPr>
              <w:pStyle w:val="TableParagraph"/>
              <w:spacing w:line="360" w:lineRule="auto"/>
              <w:ind w:left="107"/>
              <w:jc w:val="both"/>
              <w:rPr>
                <w:spacing w:val="-2"/>
                <w:sz w:val="20"/>
                <w:szCs w:val="20"/>
              </w:rPr>
            </w:pPr>
            <w:r w:rsidRPr="003E226A">
              <w:rPr>
                <w:spacing w:val="-2"/>
                <w:sz w:val="20"/>
                <w:szCs w:val="20"/>
              </w:rPr>
              <w:t>8.13%</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0094BEAB" w14:textId="0EF3E8A0" w:rsidR="003E226A" w:rsidRPr="003E226A" w:rsidRDefault="003E226A" w:rsidP="003E226A">
            <w:pPr>
              <w:pStyle w:val="TableParagraph"/>
              <w:spacing w:line="360" w:lineRule="auto"/>
              <w:jc w:val="both"/>
              <w:rPr>
                <w:spacing w:val="-2"/>
                <w:sz w:val="20"/>
                <w:szCs w:val="20"/>
              </w:rPr>
            </w:pPr>
            <w:r w:rsidRPr="003E226A">
              <w:rPr>
                <w:spacing w:val="-2"/>
                <w:sz w:val="20"/>
                <w:szCs w:val="20"/>
              </w:rPr>
              <w:t>13.59%</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65634F08" w14:textId="3E2FF1E2" w:rsidR="003E226A" w:rsidRPr="003E226A" w:rsidRDefault="003E226A" w:rsidP="003E226A">
            <w:pPr>
              <w:pStyle w:val="TableParagraph"/>
              <w:spacing w:line="360" w:lineRule="auto"/>
              <w:jc w:val="both"/>
              <w:rPr>
                <w:spacing w:val="-2"/>
                <w:sz w:val="20"/>
                <w:szCs w:val="20"/>
              </w:rPr>
            </w:pPr>
            <w:r w:rsidRPr="003E226A">
              <w:rPr>
                <w:spacing w:val="-2"/>
                <w:sz w:val="20"/>
                <w:szCs w:val="20"/>
              </w:rPr>
              <w:t>1.71%</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2DDBC67E" w14:textId="505F4C87" w:rsidR="003E226A" w:rsidRPr="003E226A" w:rsidRDefault="003E226A" w:rsidP="003E226A">
            <w:pPr>
              <w:pStyle w:val="TableParagraph"/>
              <w:spacing w:line="360" w:lineRule="auto"/>
              <w:jc w:val="both"/>
              <w:rPr>
                <w:spacing w:val="-2"/>
                <w:sz w:val="20"/>
                <w:szCs w:val="20"/>
              </w:rPr>
            </w:pPr>
            <w:r w:rsidRPr="003E226A">
              <w:rPr>
                <w:spacing w:val="-2"/>
                <w:sz w:val="20"/>
                <w:szCs w:val="20"/>
              </w:rPr>
              <w:t>14.53%</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635A93E2" w14:textId="7307AE1B" w:rsidR="003E226A" w:rsidRPr="003E226A" w:rsidRDefault="003E226A" w:rsidP="003E226A">
            <w:pPr>
              <w:pStyle w:val="TableParagraph"/>
              <w:spacing w:line="360" w:lineRule="auto"/>
              <w:jc w:val="both"/>
              <w:rPr>
                <w:spacing w:val="-2"/>
                <w:sz w:val="20"/>
                <w:szCs w:val="20"/>
              </w:rPr>
            </w:pPr>
            <w:r w:rsidRPr="003E226A">
              <w:rPr>
                <w:spacing w:val="-2"/>
                <w:sz w:val="20"/>
                <w:szCs w:val="20"/>
              </w:rPr>
              <w:t>9.53%</w:t>
            </w:r>
          </w:p>
        </w:tc>
      </w:tr>
      <w:tr w:rsidR="003E226A" w:rsidRPr="003E226A" w14:paraId="3D0F5EED"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7141EF6B" w14:textId="0FE843A3" w:rsidR="003E226A" w:rsidRPr="003E226A" w:rsidRDefault="003E226A" w:rsidP="003E226A">
            <w:pPr>
              <w:pStyle w:val="TableParagraph"/>
              <w:spacing w:line="360" w:lineRule="auto"/>
              <w:ind w:left="107"/>
              <w:jc w:val="both"/>
              <w:rPr>
                <w:sz w:val="20"/>
                <w:szCs w:val="20"/>
              </w:rPr>
            </w:pPr>
            <w:r w:rsidRPr="003E226A">
              <w:rPr>
                <w:sz w:val="20"/>
                <w:szCs w:val="20"/>
              </w:rPr>
              <w:t xml:space="preserve">Other Expenses </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098ABE2E" w14:textId="5C77796A" w:rsidR="003E226A" w:rsidRPr="003E226A" w:rsidRDefault="003E226A" w:rsidP="003E226A">
            <w:pPr>
              <w:pStyle w:val="TableParagraph"/>
              <w:spacing w:line="360" w:lineRule="auto"/>
              <w:ind w:left="107"/>
              <w:jc w:val="both"/>
              <w:rPr>
                <w:spacing w:val="-2"/>
                <w:sz w:val="20"/>
                <w:szCs w:val="20"/>
              </w:rPr>
            </w:pPr>
            <w:r w:rsidRPr="003E226A">
              <w:rPr>
                <w:spacing w:val="-5"/>
                <w:sz w:val="20"/>
                <w:szCs w:val="20"/>
              </w:rPr>
              <w:t>-</w:t>
            </w:r>
            <w:r w:rsidRPr="003E226A">
              <w:rPr>
                <w:spacing w:val="-2"/>
                <w:sz w:val="20"/>
                <w:szCs w:val="20"/>
              </w:rPr>
              <w:t>18.79%</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2AAEAA2D" w14:textId="6E79AFFF" w:rsidR="003E226A" w:rsidRPr="003E226A" w:rsidRDefault="003E226A" w:rsidP="003E226A">
            <w:pPr>
              <w:pStyle w:val="TableParagraph"/>
              <w:spacing w:line="360" w:lineRule="auto"/>
              <w:jc w:val="both"/>
              <w:rPr>
                <w:spacing w:val="-2"/>
                <w:sz w:val="20"/>
                <w:szCs w:val="20"/>
              </w:rPr>
            </w:pPr>
            <w:r w:rsidRPr="003E226A">
              <w:rPr>
                <w:spacing w:val="-2"/>
                <w:sz w:val="20"/>
                <w:szCs w:val="20"/>
              </w:rPr>
              <w:t>28.83%</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09C3546C" w14:textId="4D61B755" w:rsidR="003E226A" w:rsidRPr="003E226A" w:rsidRDefault="003E226A" w:rsidP="003E226A">
            <w:pPr>
              <w:pStyle w:val="TableParagraph"/>
              <w:spacing w:line="360" w:lineRule="auto"/>
              <w:jc w:val="both"/>
              <w:rPr>
                <w:spacing w:val="-2"/>
                <w:sz w:val="20"/>
                <w:szCs w:val="20"/>
              </w:rPr>
            </w:pPr>
            <w:r w:rsidRPr="003E226A">
              <w:rPr>
                <w:spacing w:val="-6"/>
                <w:sz w:val="20"/>
                <w:szCs w:val="20"/>
              </w:rPr>
              <w:t>-</w:t>
            </w:r>
            <w:r w:rsidRPr="003E226A">
              <w:rPr>
                <w:spacing w:val="-2"/>
                <w:sz w:val="20"/>
                <w:szCs w:val="20"/>
              </w:rPr>
              <w:t>2.94%</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258A5F12" w14:textId="38C30EB9" w:rsidR="003E226A" w:rsidRPr="003E226A" w:rsidRDefault="003E226A" w:rsidP="003E226A">
            <w:pPr>
              <w:pStyle w:val="TableParagraph"/>
              <w:spacing w:line="360" w:lineRule="auto"/>
              <w:jc w:val="both"/>
              <w:rPr>
                <w:spacing w:val="-2"/>
                <w:sz w:val="20"/>
                <w:szCs w:val="20"/>
              </w:rPr>
            </w:pPr>
            <w:r w:rsidRPr="003E226A">
              <w:rPr>
                <w:spacing w:val="-2"/>
                <w:sz w:val="20"/>
                <w:szCs w:val="20"/>
              </w:rPr>
              <w:t>30.20%</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86DF2FB" w14:textId="2E1896B1" w:rsidR="003E226A" w:rsidRPr="003E226A" w:rsidRDefault="003E226A" w:rsidP="003E226A">
            <w:pPr>
              <w:pStyle w:val="TableParagraph"/>
              <w:spacing w:line="360" w:lineRule="auto"/>
              <w:jc w:val="both"/>
              <w:rPr>
                <w:spacing w:val="-2"/>
                <w:sz w:val="20"/>
                <w:szCs w:val="20"/>
              </w:rPr>
            </w:pPr>
            <w:r w:rsidRPr="003E226A">
              <w:rPr>
                <w:spacing w:val="-6"/>
                <w:sz w:val="20"/>
                <w:szCs w:val="20"/>
              </w:rPr>
              <w:t>-</w:t>
            </w:r>
            <w:r w:rsidRPr="003E226A">
              <w:rPr>
                <w:spacing w:val="-2"/>
                <w:sz w:val="20"/>
                <w:szCs w:val="20"/>
              </w:rPr>
              <w:t>0.18%</w:t>
            </w:r>
          </w:p>
        </w:tc>
      </w:tr>
      <w:tr w:rsidR="003E226A" w:rsidRPr="003E226A" w14:paraId="53ADC706"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1002FE24" w14:textId="59415FEB" w:rsidR="003E226A" w:rsidRPr="003E226A" w:rsidRDefault="003E226A" w:rsidP="003E226A">
            <w:pPr>
              <w:pStyle w:val="TableParagraph"/>
              <w:spacing w:line="360" w:lineRule="auto"/>
              <w:ind w:left="107"/>
              <w:jc w:val="both"/>
              <w:rPr>
                <w:sz w:val="20"/>
                <w:szCs w:val="20"/>
              </w:rPr>
            </w:pPr>
            <w:r w:rsidRPr="003E226A">
              <w:rPr>
                <w:spacing w:val="-2"/>
                <w:sz w:val="20"/>
                <w:szCs w:val="20"/>
              </w:rPr>
              <w:t>Dividend</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5DDC6FA3" w14:textId="3C099E40" w:rsidR="003E226A" w:rsidRPr="003E226A" w:rsidRDefault="003E226A" w:rsidP="003E226A">
            <w:pPr>
              <w:pStyle w:val="TableParagraph"/>
              <w:spacing w:line="360" w:lineRule="auto"/>
              <w:ind w:left="107"/>
              <w:jc w:val="both"/>
              <w:rPr>
                <w:spacing w:val="-2"/>
                <w:sz w:val="20"/>
                <w:szCs w:val="20"/>
              </w:rPr>
            </w:pPr>
            <w:r w:rsidRPr="003E226A">
              <w:rPr>
                <w:spacing w:val="-2"/>
                <w:sz w:val="20"/>
                <w:szCs w:val="20"/>
              </w:rPr>
              <w:t>9.38%</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6CB3A1C5" w14:textId="5808DBF5" w:rsidR="003E226A" w:rsidRPr="003E226A" w:rsidRDefault="003E226A" w:rsidP="003E226A">
            <w:pPr>
              <w:pStyle w:val="TableParagraph"/>
              <w:spacing w:line="360" w:lineRule="auto"/>
              <w:jc w:val="both"/>
              <w:rPr>
                <w:spacing w:val="-2"/>
                <w:sz w:val="20"/>
                <w:szCs w:val="20"/>
              </w:rPr>
            </w:pPr>
            <w:r w:rsidRPr="003E226A">
              <w:rPr>
                <w:spacing w:val="-2"/>
                <w:sz w:val="20"/>
                <w:szCs w:val="20"/>
              </w:rPr>
              <w:t>14.29%</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251EF70" w14:textId="66EB369E" w:rsidR="003E226A" w:rsidRPr="003E226A" w:rsidRDefault="003E226A" w:rsidP="003E226A">
            <w:pPr>
              <w:pStyle w:val="TableParagraph"/>
              <w:spacing w:line="360" w:lineRule="auto"/>
              <w:jc w:val="both"/>
              <w:rPr>
                <w:spacing w:val="-2"/>
                <w:sz w:val="20"/>
                <w:szCs w:val="20"/>
              </w:rPr>
            </w:pPr>
            <w:r w:rsidRPr="003E226A">
              <w:rPr>
                <w:spacing w:val="-6"/>
                <w:sz w:val="20"/>
                <w:szCs w:val="20"/>
              </w:rPr>
              <w:t>-</w:t>
            </w:r>
            <w:r w:rsidRPr="003E226A">
              <w:rPr>
                <w:spacing w:val="-2"/>
                <w:sz w:val="20"/>
                <w:szCs w:val="20"/>
              </w:rPr>
              <w:t>6.67%</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5C5B72AE" w14:textId="689B4BD3" w:rsidR="003E226A" w:rsidRPr="003E226A" w:rsidRDefault="003E226A" w:rsidP="003E226A">
            <w:pPr>
              <w:pStyle w:val="TableParagraph"/>
              <w:spacing w:line="360" w:lineRule="auto"/>
              <w:jc w:val="both"/>
              <w:rPr>
                <w:spacing w:val="-2"/>
                <w:sz w:val="20"/>
                <w:szCs w:val="20"/>
              </w:rPr>
            </w:pPr>
            <w:r w:rsidRPr="003E226A">
              <w:rPr>
                <w:spacing w:val="-6"/>
                <w:sz w:val="20"/>
                <w:szCs w:val="20"/>
              </w:rPr>
              <w:t>-</w:t>
            </w:r>
            <w:r w:rsidRPr="003E226A">
              <w:rPr>
                <w:spacing w:val="-2"/>
                <w:sz w:val="20"/>
                <w:szCs w:val="20"/>
              </w:rPr>
              <w:t>1.43%</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3B4B52A1" w14:textId="28B8C43B" w:rsidR="003E226A" w:rsidRPr="003E226A" w:rsidRDefault="003E226A" w:rsidP="003E226A">
            <w:pPr>
              <w:pStyle w:val="TableParagraph"/>
              <w:spacing w:line="360" w:lineRule="auto"/>
              <w:jc w:val="both"/>
              <w:rPr>
                <w:spacing w:val="-2"/>
                <w:sz w:val="20"/>
                <w:szCs w:val="20"/>
              </w:rPr>
            </w:pPr>
            <w:r w:rsidRPr="003E226A">
              <w:rPr>
                <w:spacing w:val="-2"/>
                <w:sz w:val="20"/>
                <w:szCs w:val="20"/>
              </w:rPr>
              <w:t>15.00%</w:t>
            </w:r>
          </w:p>
        </w:tc>
      </w:tr>
      <w:tr w:rsidR="003E226A" w:rsidRPr="003E226A" w14:paraId="1D1C6498"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0F30055C" w14:textId="320AF549" w:rsidR="003E226A" w:rsidRPr="003E226A" w:rsidRDefault="003E226A" w:rsidP="003E226A">
            <w:pPr>
              <w:pStyle w:val="TableParagraph"/>
              <w:spacing w:line="360" w:lineRule="auto"/>
              <w:ind w:left="107"/>
              <w:jc w:val="both"/>
              <w:rPr>
                <w:sz w:val="20"/>
                <w:szCs w:val="20"/>
              </w:rPr>
            </w:pPr>
            <w:r w:rsidRPr="003E226A">
              <w:rPr>
                <w:w w:val="90"/>
                <w:sz w:val="20"/>
                <w:szCs w:val="20"/>
              </w:rPr>
              <w:t xml:space="preserve">Balance of Fund at the end of the year </w:t>
            </w:r>
            <w:r w:rsidRPr="003E226A">
              <w:rPr>
                <w:sz w:val="20"/>
                <w:szCs w:val="20"/>
              </w:rPr>
              <w:t>as</w:t>
            </w:r>
            <w:r w:rsidRPr="003E226A">
              <w:rPr>
                <w:spacing w:val="-9"/>
                <w:sz w:val="20"/>
                <w:szCs w:val="20"/>
              </w:rPr>
              <w:t xml:space="preserve"> </w:t>
            </w:r>
            <w:r w:rsidRPr="003E226A">
              <w:rPr>
                <w:sz w:val="20"/>
                <w:szCs w:val="20"/>
              </w:rPr>
              <w:t>shown</w:t>
            </w:r>
            <w:r w:rsidRPr="003E226A">
              <w:rPr>
                <w:spacing w:val="-8"/>
                <w:sz w:val="20"/>
                <w:szCs w:val="20"/>
              </w:rPr>
              <w:t xml:space="preserve"> </w:t>
            </w:r>
            <w:r w:rsidRPr="003E226A">
              <w:rPr>
                <w:sz w:val="20"/>
                <w:szCs w:val="20"/>
              </w:rPr>
              <w:t>in</w:t>
            </w:r>
            <w:r w:rsidRPr="003E226A">
              <w:rPr>
                <w:spacing w:val="-9"/>
                <w:sz w:val="20"/>
                <w:szCs w:val="20"/>
              </w:rPr>
              <w:t xml:space="preserve"> </w:t>
            </w:r>
            <w:r w:rsidRPr="003E226A">
              <w:rPr>
                <w:sz w:val="20"/>
                <w:szCs w:val="20"/>
              </w:rPr>
              <w:t>the</w:t>
            </w:r>
            <w:r w:rsidRPr="003E226A">
              <w:rPr>
                <w:spacing w:val="-7"/>
                <w:sz w:val="20"/>
                <w:szCs w:val="20"/>
              </w:rPr>
              <w:t xml:space="preserve"> </w:t>
            </w:r>
            <w:r w:rsidRPr="003E226A">
              <w:rPr>
                <w:sz w:val="20"/>
                <w:szCs w:val="20"/>
              </w:rPr>
              <w:t>Balance</w:t>
            </w:r>
            <w:r w:rsidRPr="003E226A">
              <w:rPr>
                <w:spacing w:val="-5"/>
                <w:sz w:val="20"/>
                <w:szCs w:val="20"/>
              </w:rPr>
              <w:t xml:space="preserve"> </w:t>
            </w:r>
            <w:r w:rsidRPr="003E226A">
              <w:rPr>
                <w:sz w:val="20"/>
                <w:szCs w:val="20"/>
              </w:rPr>
              <w:t>Sheet</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404A547E" w14:textId="6970CDE7" w:rsidR="003E226A" w:rsidRPr="003E226A" w:rsidRDefault="003E226A" w:rsidP="003E226A">
            <w:pPr>
              <w:pStyle w:val="TableParagraph"/>
              <w:spacing w:line="360" w:lineRule="auto"/>
              <w:ind w:left="107"/>
              <w:jc w:val="both"/>
              <w:rPr>
                <w:spacing w:val="-2"/>
                <w:sz w:val="20"/>
                <w:szCs w:val="20"/>
              </w:rPr>
            </w:pPr>
            <w:r w:rsidRPr="003E226A">
              <w:rPr>
                <w:spacing w:val="-2"/>
                <w:sz w:val="20"/>
                <w:szCs w:val="20"/>
              </w:rPr>
              <w:t>9.45%</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7E9836D8" w14:textId="279815B3" w:rsidR="003E226A" w:rsidRPr="003E226A" w:rsidRDefault="003E226A" w:rsidP="003E226A">
            <w:pPr>
              <w:pStyle w:val="TableParagraph"/>
              <w:spacing w:line="360" w:lineRule="auto"/>
              <w:jc w:val="both"/>
              <w:rPr>
                <w:spacing w:val="-2"/>
                <w:sz w:val="20"/>
                <w:szCs w:val="20"/>
              </w:rPr>
            </w:pPr>
            <w:r w:rsidRPr="003E226A">
              <w:rPr>
                <w:spacing w:val="-2"/>
                <w:sz w:val="20"/>
                <w:szCs w:val="20"/>
              </w:rPr>
              <w:t>9.44%</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307CEAD7" w14:textId="10853465" w:rsidR="003E226A" w:rsidRPr="003E226A" w:rsidRDefault="003E226A" w:rsidP="003E226A">
            <w:pPr>
              <w:pStyle w:val="TableParagraph"/>
              <w:spacing w:line="360" w:lineRule="auto"/>
              <w:jc w:val="both"/>
              <w:rPr>
                <w:spacing w:val="-2"/>
                <w:sz w:val="20"/>
                <w:szCs w:val="20"/>
              </w:rPr>
            </w:pPr>
            <w:r w:rsidRPr="003E226A">
              <w:rPr>
                <w:spacing w:val="-2"/>
                <w:sz w:val="20"/>
                <w:szCs w:val="20"/>
              </w:rPr>
              <w:t>8.33%</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34A0303" w14:textId="6137BB4A" w:rsidR="003E226A" w:rsidRPr="003E226A" w:rsidRDefault="003E226A" w:rsidP="003E226A">
            <w:pPr>
              <w:pStyle w:val="TableParagraph"/>
              <w:spacing w:line="360" w:lineRule="auto"/>
              <w:jc w:val="both"/>
              <w:rPr>
                <w:spacing w:val="-2"/>
                <w:sz w:val="20"/>
                <w:szCs w:val="20"/>
              </w:rPr>
            </w:pPr>
            <w:r w:rsidRPr="003E226A">
              <w:rPr>
                <w:spacing w:val="-2"/>
                <w:sz w:val="20"/>
                <w:szCs w:val="20"/>
              </w:rPr>
              <w:t>6.87%</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096259D1" w14:textId="3218F35B" w:rsidR="003E226A" w:rsidRPr="003E226A" w:rsidRDefault="003E226A" w:rsidP="003E226A">
            <w:pPr>
              <w:pStyle w:val="TableParagraph"/>
              <w:spacing w:line="360" w:lineRule="auto"/>
              <w:jc w:val="both"/>
              <w:rPr>
                <w:spacing w:val="-2"/>
                <w:sz w:val="20"/>
                <w:szCs w:val="20"/>
              </w:rPr>
            </w:pPr>
            <w:r w:rsidRPr="003E226A">
              <w:rPr>
                <w:spacing w:val="-2"/>
                <w:sz w:val="20"/>
                <w:szCs w:val="20"/>
              </w:rPr>
              <w:t>5.19%</w:t>
            </w:r>
          </w:p>
        </w:tc>
      </w:tr>
      <w:tr w:rsidR="003E226A" w:rsidRPr="003E226A" w14:paraId="0B13147F" w14:textId="77777777" w:rsidTr="002A2389">
        <w:trPr>
          <w:trHeight w:val="275"/>
        </w:trPr>
        <w:tc>
          <w:tcPr>
            <w:tcW w:w="3804" w:type="dxa"/>
            <w:tcBorders>
              <w:top w:val="single" w:sz="4" w:space="0" w:color="9CC2E4"/>
              <w:left w:val="single" w:sz="4" w:space="0" w:color="9CC2E4"/>
              <w:bottom w:val="single" w:sz="4" w:space="0" w:color="9CC2E4"/>
              <w:right w:val="single" w:sz="4" w:space="0" w:color="9CC2E4"/>
            </w:tcBorders>
            <w:shd w:val="clear" w:color="auto" w:fill="DEEAF6"/>
          </w:tcPr>
          <w:p w14:paraId="7F50FAD4" w14:textId="4E13B707" w:rsidR="003E226A" w:rsidRPr="003E226A" w:rsidRDefault="003E226A" w:rsidP="003E226A">
            <w:pPr>
              <w:pStyle w:val="TableParagraph"/>
              <w:spacing w:line="360" w:lineRule="auto"/>
              <w:ind w:left="107"/>
              <w:jc w:val="both"/>
              <w:rPr>
                <w:sz w:val="20"/>
                <w:szCs w:val="20"/>
              </w:rPr>
            </w:pPr>
            <w:r w:rsidRPr="003E226A">
              <w:rPr>
                <w:b/>
                <w:spacing w:val="-7"/>
                <w:w w:val="85"/>
                <w:sz w:val="20"/>
                <w:szCs w:val="20"/>
              </w:rPr>
              <w:t>Total</w:t>
            </w:r>
            <w:r w:rsidRPr="003E226A">
              <w:rPr>
                <w:b/>
                <w:spacing w:val="-9"/>
                <w:sz w:val="20"/>
                <w:szCs w:val="20"/>
              </w:rPr>
              <w:t xml:space="preserve"> </w:t>
            </w:r>
            <w:r w:rsidRPr="003E226A">
              <w:rPr>
                <w:b/>
                <w:spacing w:val="-4"/>
                <w:sz w:val="20"/>
                <w:szCs w:val="20"/>
              </w:rPr>
              <w:t>Taka</w:t>
            </w:r>
          </w:p>
        </w:tc>
        <w:tc>
          <w:tcPr>
            <w:tcW w:w="1298" w:type="dxa"/>
            <w:tcBorders>
              <w:top w:val="single" w:sz="4" w:space="0" w:color="9CC2E4"/>
              <w:left w:val="single" w:sz="4" w:space="0" w:color="9CC2E4"/>
              <w:bottom w:val="single" w:sz="4" w:space="0" w:color="9CC2E4"/>
              <w:right w:val="single" w:sz="4" w:space="0" w:color="9CC2E4"/>
            </w:tcBorders>
            <w:shd w:val="clear" w:color="auto" w:fill="DEEAF6"/>
          </w:tcPr>
          <w:p w14:paraId="60B387C8" w14:textId="65616C2B" w:rsidR="003E226A" w:rsidRPr="003E226A" w:rsidRDefault="003E226A" w:rsidP="003E226A">
            <w:pPr>
              <w:pStyle w:val="TableParagraph"/>
              <w:spacing w:line="360" w:lineRule="auto"/>
              <w:ind w:left="107"/>
              <w:jc w:val="both"/>
              <w:rPr>
                <w:spacing w:val="-2"/>
                <w:sz w:val="20"/>
                <w:szCs w:val="20"/>
              </w:rPr>
            </w:pPr>
            <w:r w:rsidRPr="003E226A">
              <w:rPr>
                <w:spacing w:val="-2"/>
                <w:sz w:val="20"/>
                <w:szCs w:val="20"/>
              </w:rPr>
              <w:t>10.57%</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626CEBBB" w14:textId="657FABA6" w:rsidR="003E226A" w:rsidRPr="003E226A" w:rsidRDefault="003E226A" w:rsidP="003E226A">
            <w:pPr>
              <w:pStyle w:val="TableParagraph"/>
              <w:spacing w:line="360" w:lineRule="auto"/>
              <w:jc w:val="both"/>
              <w:rPr>
                <w:spacing w:val="-2"/>
                <w:sz w:val="20"/>
                <w:szCs w:val="20"/>
              </w:rPr>
            </w:pPr>
            <w:r w:rsidRPr="003E226A">
              <w:rPr>
                <w:spacing w:val="-2"/>
                <w:sz w:val="20"/>
                <w:szCs w:val="20"/>
              </w:rPr>
              <w:t>10.07%</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079C4A3E" w14:textId="6DE8ED12" w:rsidR="003E226A" w:rsidRPr="003E226A" w:rsidRDefault="003E226A" w:rsidP="003E226A">
            <w:pPr>
              <w:pStyle w:val="TableParagraph"/>
              <w:spacing w:line="360" w:lineRule="auto"/>
              <w:jc w:val="both"/>
              <w:rPr>
                <w:spacing w:val="-2"/>
                <w:sz w:val="20"/>
                <w:szCs w:val="20"/>
              </w:rPr>
            </w:pPr>
            <w:r w:rsidRPr="003E226A">
              <w:rPr>
                <w:spacing w:val="-2"/>
                <w:sz w:val="20"/>
                <w:szCs w:val="20"/>
              </w:rPr>
              <w:t>7.71%</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11D8CFD1" w14:textId="1BDBCFB7" w:rsidR="003E226A" w:rsidRPr="003E226A" w:rsidRDefault="003E226A" w:rsidP="003E226A">
            <w:pPr>
              <w:pStyle w:val="TableParagraph"/>
              <w:spacing w:line="360" w:lineRule="auto"/>
              <w:jc w:val="both"/>
              <w:rPr>
                <w:spacing w:val="-2"/>
                <w:sz w:val="20"/>
                <w:szCs w:val="20"/>
              </w:rPr>
            </w:pPr>
            <w:r w:rsidRPr="003E226A">
              <w:rPr>
                <w:spacing w:val="-2"/>
                <w:sz w:val="20"/>
                <w:szCs w:val="20"/>
              </w:rPr>
              <w:t>6.90%</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5A94D9B" w14:textId="5ABC62D7" w:rsidR="003E226A" w:rsidRPr="003E226A" w:rsidRDefault="003E226A" w:rsidP="003E226A">
            <w:pPr>
              <w:pStyle w:val="TableParagraph"/>
              <w:spacing w:line="360" w:lineRule="auto"/>
              <w:jc w:val="both"/>
              <w:rPr>
                <w:spacing w:val="-2"/>
                <w:sz w:val="20"/>
                <w:szCs w:val="20"/>
              </w:rPr>
            </w:pPr>
            <w:r w:rsidRPr="003E226A">
              <w:rPr>
                <w:spacing w:val="-2"/>
                <w:sz w:val="20"/>
                <w:szCs w:val="20"/>
              </w:rPr>
              <w:t>3.65%</w:t>
            </w:r>
          </w:p>
        </w:tc>
      </w:tr>
    </w:tbl>
    <w:p w14:paraId="4CCD7339" w14:textId="77777777" w:rsidR="00FC0925" w:rsidRPr="003E226A" w:rsidRDefault="00FC0925" w:rsidP="00321DEC">
      <w:pPr>
        <w:spacing w:line="360" w:lineRule="auto"/>
        <w:jc w:val="both"/>
        <w:rPr>
          <w:rFonts w:ascii="Times New Roman" w:hAnsi="Times New Roman" w:cs="Times New Roman"/>
          <w:sz w:val="20"/>
          <w:szCs w:val="20"/>
        </w:rPr>
        <w:sectPr w:rsidR="00FC0925" w:rsidRPr="003E226A" w:rsidSect="00977F5E">
          <w:headerReference w:type="default" r:id="rId12"/>
          <w:footerReference w:type="even" r:id="rId13"/>
          <w:footerReference w:type="default" r:id="rId14"/>
          <w:pgSz w:w="12240" w:h="15840"/>
          <w:pgMar w:top="1380" w:right="1060" w:bottom="1534" w:left="1060" w:header="720" w:footer="720" w:gutter="0"/>
          <w:cols w:space="720"/>
        </w:sectPr>
      </w:pPr>
    </w:p>
    <w:p w14:paraId="7B3E5B20" w14:textId="448D4BEF" w:rsidR="002C1521" w:rsidRPr="00321DEC" w:rsidRDefault="008D2452" w:rsidP="002A6472">
      <w:pPr>
        <w:spacing w:line="360" w:lineRule="auto"/>
        <w:jc w:val="both"/>
        <w:rPr>
          <w:rFonts w:ascii="Times New Roman" w:hAnsi="Times New Roman" w:cs="Times New Roman"/>
        </w:rPr>
      </w:pPr>
      <w:r w:rsidRPr="00321DEC">
        <w:rPr>
          <w:rFonts w:ascii="Times New Roman" w:hAnsi="Times New Roman" w:cs="Times New Roman"/>
        </w:rPr>
        <w:lastRenderedPageBreak/>
        <w:t>The</w:t>
      </w:r>
      <w:r w:rsidR="002C1521" w:rsidRPr="00321DEC">
        <w:rPr>
          <w:rFonts w:ascii="Times New Roman" w:hAnsi="Times New Roman" w:cs="Times New Roman"/>
        </w:rPr>
        <w:t xml:space="preserve"> horizontal analysis of Life Revenue Accounts for National Life Insurance Company Ltd. From 2015 to 2022 provides a detailed look into the company’s financial performance in terms of premium collections, reinsurance, income generation, and claims management. Here’s a focused analytical discussion based on the provided data:</w:t>
      </w:r>
    </w:p>
    <w:p w14:paraId="74CAFB12" w14:textId="77777777" w:rsidR="006F6917" w:rsidRDefault="006F6917" w:rsidP="006F6917">
      <w:pPr>
        <w:pStyle w:val="Heading1"/>
        <w:jc w:val="left"/>
      </w:pPr>
    </w:p>
    <w:p w14:paraId="11476B6A" w14:textId="1A3B6CD6" w:rsidR="00B7119B" w:rsidRPr="00321DEC" w:rsidRDefault="002F16A4" w:rsidP="006F6917">
      <w:pPr>
        <w:pStyle w:val="Heading1"/>
      </w:pPr>
      <w:bookmarkStart w:id="18" w:name="_Toc188056441"/>
      <w:r w:rsidRPr="00321DEC">
        <w:t>Chapter-05: Findings</w:t>
      </w:r>
      <w:r w:rsidR="006C5C84">
        <w:t xml:space="preserve"> </w:t>
      </w:r>
      <w:r w:rsidRPr="00321DEC">
        <w:t>and Conclusion</w:t>
      </w:r>
      <w:bookmarkEnd w:id="18"/>
    </w:p>
    <w:p w14:paraId="39849995" w14:textId="3A897785" w:rsidR="00B7119B" w:rsidRPr="00321DEC" w:rsidRDefault="00562DA4" w:rsidP="002C0C4F">
      <w:pPr>
        <w:pStyle w:val="Heading2"/>
        <w:numPr>
          <w:ilvl w:val="0"/>
          <w:numId w:val="31"/>
        </w:numPr>
      </w:pPr>
      <w:bookmarkStart w:id="19" w:name="_Toc188056442"/>
      <w:r w:rsidRPr="00321DEC">
        <w:t>Findings</w:t>
      </w:r>
      <w:bookmarkEnd w:id="19"/>
      <w:r w:rsidRPr="00321DEC">
        <w:t xml:space="preserve"> </w:t>
      </w:r>
    </w:p>
    <w:p w14:paraId="0C995E41" w14:textId="40FE5F3F" w:rsidR="00787F23" w:rsidRPr="00321DEC" w:rsidRDefault="00792908" w:rsidP="00321DEC">
      <w:pPr>
        <w:spacing w:line="360" w:lineRule="auto"/>
        <w:jc w:val="both"/>
        <w:rPr>
          <w:rFonts w:ascii="Times New Roman" w:hAnsi="Times New Roman" w:cs="Times New Roman"/>
        </w:rPr>
      </w:pPr>
      <w:r w:rsidRPr="00321DEC">
        <w:rPr>
          <w:rFonts w:ascii="Times New Roman" w:hAnsi="Times New Roman" w:cs="Times New Roman"/>
        </w:rPr>
        <w:tab/>
      </w:r>
      <w:r w:rsidR="00791507" w:rsidRPr="00321DEC">
        <w:rPr>
          <w:rFonts w:ascii="Times New Roman" w:hAnsi="Times New Roman" w:cs="Times New Roman"/>
        </w:rPr>
        <w:t>The findings from the financial analysis of National Life Insurance Company Ltd. From 2015 to 2022 highlight a trajectory of robust growth, improved liquidity and solvency, and increasing profitability despite facing significant external economic challenges. The company has successfully managed its assets, liabilities, and life fund, while also enhancing shareholder returns through prudent dividend policies. The strategic financial management practices observed are crucial for sustaining growth, enhancing investor confidence, and maintaining the company’s competitive position in the insurance industry. Moving forward, continued focus on adapting to economic conditions and leveraging opportunities for innovation will be key to sustaining success.</w:t>
      </w:r>
    </w:p>
    <w:p w14:paraId="7D11E313" w14:textId="32415D4B" w:rsidR="00787F23" w:rsidRPr="00321DEC" w:rsidRDefault="001D6D2E" w:rsidP="00786588">
      <w:pPr>
        <w:pStyle w:val="ListParagraph"/>
        <w:numPr>
          <w:ilvl w:val="0"/>
          <w:numId w:val="5"/>
        </w:numPr>
        <w:spacing w:line="360" w:lineRule="auto"/>
        <w:jc w:val="both"/>
        <w:rPr>
          <w:rFonts w:ascii="Times New Roman" w:hAnsi="Times New Roman" w:cs="Times New Roman"/>
        </w:rPr>
      </w:pPr>
      <w:r w:rsidRPr="00321DEC">
        <w:rPr>
          <w:rFonts w:ascii="Times New Roman" w:hAnsi="Times New Roman" w:cs="Times New Roman"/>
          <w:b/>
          <w:bCs/>
        </w:rPr>
        <w:t xml:space="preserve">Asset Growth and Liability </w:t>
      </w:r>
      <w:r w:rsidR="00791507" w:rsidRPr="00321DEC">
        <w:rPr>
          <w:rFonts w:ascii="Times New Roman" w:hAnsi="Times New Roman" w:cs="Times New Roman"/>
          <w:b/>
          <w:bCs/>
        </w:rPr>
        <w:t xml:space="preserve">Management: </w:t>
      </w:r>
      <w:r w:rsidR="00791507" w:rsidRPr="00321DEC">
        <w:rPr>
          <w:rFonts w:ascii="Times New Roman" w:hAnsi="Times New Roman" w:cs="Times New Roman"/>
        </w:rPr>
        <w:t>The</w:t>
      </w:r>
      <w:r w:rsidRPr="00321DEC">
        <w:rPr>
          <w:rFonts w:ascii="Times New Roman" w:hAnsi="Times New Roman" w:cs="Times New Roman"/>
        </w:rPr>
        <w:t xml:space="preserve"> company's total assets demonstrated substantial growth, increasing from BDT 37,661.96 million in 2015 to BDT 55,127.60 million in 2022. Liabilities also grew but were well-managed, reflecting strategic financial planning and robust risk management</w:t>
      </w:r>
      <w:r w:rsidR="00787F23" w:rsidRPr="00321DEC">
        <w:rPr>
          <w:rFonts w:ascii="Times New Roman" w:hAnsi="Times New Roman" w:cs="Times New Roman"/>
        </w:rPr>
        <w:t>.</w:t>
      </w:r>
    </w:p>
    <w:p w14:paraId="175FB765" w14:textId="77777777" w:rsidR="00787F23" w:rsidRPr="00321DEC" w:rsidRDefault="001D6D2E" w:rsidP="00786588">
      <w:pPr>
        <w:pStyle w:val="ListParagraph"/>
        <w:numPr>
          <w:ilvl w:val="0"/>
          <w:numId w:val="5"/>
        </w:numPr>
        <w:spacing w:line="360" w:lineRule="auto"/>
        <w:jc w:val="both"/>
        <w:rPr>
          <w:rFonts w:ascii="Times New Roman" w:hAnsi="Times New Roman" w:cs="Times New Roman"/>
        </w:rPr>
      </w:pPr>
      <w:r w:rsidRPr="00321DEC">
        <w:rPr>
          <w:rFonts w:ascii="Times New Roman" w:hAnsi="Times New Roman" w:cs="Times New Roman"/>
          <w:b/>
          <w:bCs/>
        </w:rPr>
        <w:t xml:space="preserve">Solvency and Liquidity </w:t>
      </w:r>
      <w:r w:rsidR="00791507" w:rsidRPr="00321DEC">
        <w:rPr>
          <w:rFonts w:ascii="Times New Roman" w:hAnsi="Times New Roman" w:cs="Times New Roman"/>
          <w:b/>
          <w:bCs/>
        </w:rPr>
        <w:t>Enhancements:</w:t>
      </w:r>
      <w:r w:rsidR="00791507" w:rsidRPr="00321DEC">
        <w:rPr>
          <w:rFonts w:ascii="Times New Roman" w:hAnsi="Times New Roman" w:cs="Times New Roman"/>
        </w:rPr>
        <w:t xml:space="preserve"> Solvency</w:t>
      </w:r>
      <w:r w:rsidRPr="00321DEC">
        <w:rPr>
          <w:rFonts w:ascii="Times New Roman" w:hAnsi="Times New Roman" w:cs="Times New Roman"/>
        </w:rPr>
        <w:t xml:space="preserve"> ratios improved from 1.09 in 2021 to 1.71 in 2022, indicating a stronger capacity to meet long-term liabilities. Liquidity ratios such as the current ratio and cash ratio saw an upward trend, culminating at 5.49 and 3.77 respectively in 2022, showcasing improved liquidity management.</w:t>
      </w:r>
    </w:p>
    <w:p w14:paraId="0C15206C" w14:textId="77777777" w:rsidR="00787F23" w:rsidRPr="00321DEC" w:rsidRDefault="001D6D2E" w:rsidP="00786588">
      <w:pPr>
        <w:pStyle w:val="ListParagraph"/>
        <w:numPr>
          <w:ilvl w:val="0"/>
          <w:numId w:val="5"/>
        </w:numPr>
        <w:spacing w:line="360" w:lineRule="auto"/>
        <w:jc w:val="both"/>
        <w:rPr>
          <w:rFonts w:ascii="Times New Roman" w:hAnsi="Times New Roman" w:cs="Times New Roman"/>
        </w:rPr>
      </w:pPr>
      <w:r w:rsidRPr="00321DEC">
        <w:rPr>
          <w:rFonts w:ascii="Times New Roman" w:hAnsi="Times New Roman" w:cs="Times New Roman"/>
          <w:b/>
          <w:bCs/>
        </w:rPr>
        <w:t xml:space="preserve">Market Value and Shareholder </w:t>
      </w:r>
      <w:r w:rsidR="00791507" w:rsidRPr="00321DEC">
        <w:rPr>
          <w:rFonts w:ascii="Times New Roman" w:hAnsi="Times New Roman" w:cs="Times New Roman"/>
          <w:b/>
          <w:bCs/>
        </w:rPr>
        <w:t xml:space="preserve">Perception: </w:t>
      </w:r>
      <w:r w:rsidR="00791507" w:rsidRPr="00321DEC">
        <w:rPr>
          <w:rFonts w:ascii="Times New Roman" w:hAnsi="Times New Roman" w:cs="Times New Roman"/>
        </w:rPr>
        <w:t>The</w:t>
      </w:r>
      <w:r w:rsidRPr="00321DEC">
        <w:rPr>
          <w:rFonts w:ascii="Times New Roman" w:hAnsi="Times New Roman" w:cs="Times New Roman"/>
        </w:rPr>
        <w:t xml:space="preserve"> market value per share experienced a decline, especially pronounced from BDT 216.2 in 2018 to BDT 179.0 in 2022, influenced significantly by external economic conditions like the COVID-19 pandemic.</w:t>
      </w:r>
    </w:p>
    <w:p w14:paraId="40780B33" w14:textId="77777777" w:rsidR="00787F23" w:rsidRPr="00321DEC" w:rsidRDefault="001D6D2E" w:rsidP="00786588">
      <w:pPr>
        <w:pStyle w:val="ListParagraph"/>
        <w:numPr>
          <w:ilvl w:val="0"/>
          <w:numId w:val="5"/>
        </w:numPr>
        <w:spacing w:line="360" w:lineRule="auto"/>
        <w:jc w:val="both"/>
        <w:rPr>
          <w:rFonts w:ascii="Times New Roman" w:hAnsi="Times New Roman" w:cs="Times New Roman"/>
        </w:rPr>
      </w:pPr>
      <w:r w:rsidRPr="00321DEC">
        <w:rPr>
          <w:rFonts w:ascii="Times New Roman" w:hAnsi="Times New Roman" w:cs="Times New Roman"/>
          <w:b/>
          <w:bCs/>
        </w:rPr>
        <w:t xml:space="preserve">Profitability </w:t>
      </w:r>
      <w:r w:rsidR="00791507" w:rsidRPr="00321DEC">
        <w:rPr>
          <w:rFonts w:ascii="Times New Roman" w:hAnsi="Times New Roman" w:cs="Times New Roman"/>
          <w:b/>
          <w:bCs/>
        </w:rPr>
        <w:t xml:space="preserve">Indicators: </w:t>
      </w:r>
      <w:r w:rsidR="00791507" w:rsidRPr="00321DEC">
        <w:rPr>
          <w:rFonts w:ascii="Times New Roman" w:hAnsi="Times New Roman" w:cs="Times New Roman"/>
        </w:rPr>
        <w:t>Return</w:t>
      </w:r>
      <w:r w:rsidRPr="00321DEC">
        <w:rPr>
          <w:rFonts w:ascii="Times New Roman" w:hAnsi="Times New Roman" w:cs="Times New Roman"/>
        </w:rPr>
        <w:t xml:space="preserve"> on Assets (ROA) and Return on Equity (ROE) increased markedly, with ROA growing from 30.84% in 2018 to 57.82% in 2022 and ROE from 7.96% to 11.53%, indicating heightened profitability and efficient asset utilization.</w:t>
      </w:r>
    </w:p>
    <w:p w14:paraId="32694C7E" w14:textId="33BAB359" w:rsidR="00E52B7E" w:rsidRPr="006C5C84" w:rsidRDefault="00562DA4" w:rsidP="002C0C4F">
      <w:pPr>
        <w:pStyle w:val="Heading2"/>
      </w:pPr>
      <w:bookmarkStart w:id="20" w:name="_Toc188056443"/>
      <w:r w:rsidRPr="00321DEC">
        <w:lastRenderedPageBreak/>
        <w:t>5.</w:t>
      </w:r>
      <w:r w:rsidR="002C0C4F">
        <w:t xml:space="preserve">2 </w:t>
      </w:r>
      <w:r w:rsidRPr="00321DEC">
        <w:t>Conclusion</w:t>
      </w:r>
      <w:bookmarkEnd w:id="20"/>
      <w:r w:rsidR="00E52B7E" w:rsidRPr="00321DEC">
        <w:t xml:space="preserve"> </w:t>
      </w:r>
    </w:p>
    <w:p w14:paraId="010B8BE8" w14:textId="1E5067D3" w:rsidR="005E1585" w:rsidRPr="00DB39A4" w:rsidRDefault="00E52B7E" w:rsidP="00321DEC">
      <w:pPr>
        <w:spacing w:line="360" w:lineRule="auto"/>
        <w:jc w:val="both"/>
        <w:rPr>
          <w:rFonts w:ascii="Times New Roman" w:hAnsi="Times New Roman" w:cs="Times New Roman"/>
        </w:rPr>
      </w:pPr>
      <w:r>
        <w:rPr>
          <w:rFonts w:ascii="Times New Roman" w:hAnsi="Times New Roman" w:cs="Times New Roman"/>
        </w:rPr>
        <w:tab/>
      </w:r>
      <w:r w:rsidRPr="00321DEC">
        <w:rPr>
          <w:rFonts w:ascii="Times New Roman" w:hAnsi="Times New Roman" w:cs="Times New Roman"/>
        </w:rPr>
        <w:t>In</w:t>
      </w:r>
      <w:r w:rsidR="00321DEC" w:rsidRPr="00321DEC">
        <w:rPr>
          <w:rFonts w:ascii="Times New Roman" w:hAnsi="Times New Roman" w:cs="Times New Roman"/>
        </w:rPr>
        <w:t xml:space="preserve"> conclusion, National Life Insurance Company Ltd. stands as a resilient entity in the competitive insurance market of Bangladesh, with solid foundations and promising growth prospects. The insights derived from this internship will not only contribute to academic knowledge but also aid in strategic planning and decision-making within the company. As </w:t>
      </w:r>
      <w:r w:rsidR="006F6917" w:rsidRPr="00321DEC">
        <w:rPr>
          <w:rFonts w:ascii="Times New Roman" w:hAnsi="Times New Roman" w:cs="Times New Roman"/>
        </w:rPr>
        <w:t>the insurance</w:t>
      </w:r>
      <w:r w:rsidR="00321DEC" w:rsidRPr="00321DEC">
        <w:rPr>
          <w:rFonts w:ascii="Times New Roman" w:hAnsi="Times New Roman" w:cs="Times New Roman"/>
        </w:rPr>
        <w:t xml:space="preserve"> market continues to evolve, the company's ongoing adaptation to market conditions and regulatory environments will be crucial for its sustained success and long-term viability.</w:t>
      </w:r>
    </w:p>
    <w:p w14:paraId="11545E16" w14:textId="77777777" w:rsidR="005E1585" w:rsidRDefault="005E1585" w:rsidP="00321DEC">
      <w:pPr>
        <w:spacing w:line="360" w:lineRule="auto"/>
        <w:jc w:val="both"/>
        <w:rPr>
          <w:rFonts w:ascii="Times New Roman" w:hAnsi="Times New Roman" w:cs="Times New Roman"/>
          <w:b/>
          <w:bCs/>
        </w:rPr>
      </w:pPr>
    </w:p>
    <w:p w14:paraId="593F2DBD" w14:textId="77777777" w:rsidR="005E1585" w:rsidRDefault="005E1585" w:rsidP="00321DEC">
      <w:pPr>
        <w:spacing w:line="360" w:lineRule="auto"/>
        <w:jc w:val="both"/>
        <w:rPr>
          <w:rFonts w:ascii="Times New Roman" w:hAnsi="Times New Roman" w:cs="Times New Roman"/>
          <w:b/>
          <w:bCs/>
        </w:rPr>
      </w:pPr>
    </w:p>
    <w:p w14:paraId="6227F1E0" w14:textId="77777777" w:rsidR="005E1585" w:rsidRDefault="005E1585" w:rsidP="00321DEC">
      <w:pPr>
        <w:spacing w:line="360" w:lineRule="auto"/>
        <w:jc w:val="both"/>
        <w:rPr>
          <w:rFonts w:ascii="Times New Roman" w:hAnsi="Times New Roman" w:cs="Times New Roman"/>
          <w:b/>
          <w:bCs/>
        </w:rPr>
      </w:pPr>
    </w:p>
    <w:p w14:paraId="3C11A82C" w14:textId="77777777" w:rsidR="005E1585" w:rsidRDefault="005E1585" w:rsidP="00321DEC">
      <w:pPr>
        <w:spacing w:line="360" w:lineRule="auto"/>
        <w:jc w:val="both"/>
        <w:rPr>
          <w:rFonts w:ascii="Times New Roman" w:hAnsi="Times New Roman" w:cs="Times New Roman"/>
          <w:b/>
          <w:bCs/>
        </w:rPr>
      </w:pPr>
    </w:p>
    <w:p w14:paraId="5B8ECBDD" w14:textId="77777777" w:rsidR="005E1585" w:rsidRDefault="005E1585" w:rsidP="00321DEC">
      <w:pPr>
        <w:spacing w:line="360" w:lineRule="auto"/>
        <w:jc w:val="both"/>
        <w:rPr>
          <w:rFonts w:ascii="Times New Roman" w:hAnsi="Times New Roman" w:cs="Times New Roman"/>
          <w:b/>
          <w:bCs/>
        </w:rPr>
      </w:pPr>
    </w:p>
    <w:p w14:paraId="1191184D" w14:textId="77777777" w:rsidR="005E1585" w:rsidRDefault="005E1585" w:rsidP="00321DEC">
      <w:pPr>
        <w:spacing w:line="360" w:lineRule="auto"/>
        <w:jc w:val="both"/>
        <w:rPr>
          <w:rFonts w:ascii="Times New Roman" w:hAnsi="Times New Roman" w:cs="Times New Roman"/>
          <w:b/>
          <w:bCs/>
        </w:rPr>
      </w:pPr>
    </w:p>
    <w:p w14:paraId="5D8CCF39" w14:textId="77777777" w:rsidR="005E1585" w:rsidRDefault="005E1585" w:rsidP="00321DEC">
      <w:pPr>
        <w:spacing w:line="360" w:lineRule="auto"/>
        <w:jc w:val="both"/>
        <w:rPr>
          <w:rFonts w:ascii="Times New Roman" w:hAnsi="Times New Roman" w:cs="Times New Roman"/>
          <w:b/>
          <w:bCs/>
        </w:rPr>
      </w:pPr>
    </w:p>
    <w:p w14:paraId="7BC3FDA0" w14:textId="77777777" w:rsidR="005E1585" w:rsidRDefault="005E1585" w:rsidP="00321DEC">
      <w:pPr>
        <w:spacing w:line="360" w:lineRule="auto"/>
        <w:jc w:val="both"/>
        <w:rPr>
          <w:rFonts w:ascii="Times New Roman" w:hAnsi="Times New Roman" w:cs="Times New Roman"/>
          <w:b/>
          <w:bCs/>
        </w:rPr>
      </w:pPr>
    </w:p>
    <w:p w14:paraId="1762D2DA" w14:textId="77777777" w:rsidR="005E1585" w:rsidRDefault="005E1585" w:rsidP="00321DEC">
      <w:pPr>
        <w:spacing w:line="360" w:lineRule="auto"/>
        <w:jc w:val="both"/>
        <w:rPr>
          <w:rFonts w:ascii="Times New Roman" w:hAnsi="Times New Roman" w:cs="Times New Roman"/>
          <w:b/>
          <w:bCs/>
        </w:rPr>
      </w:pPr>
    </w:p>
    <w:p w14:paraId="3564C999" w14:textId="77777777" w:rsidR="005E1585" w:rsidRDefault="005E1585" w:rsidP="00321DEC">
      <w:pPr>
        <w:spacing w:line="360" w:lineRule="auto"/>
        <w:jc w:val="both"/>
        <w:rPr>
          <w:rFonts w:ascii="Times New Roman" w:hAnsi="Times New Roman" w:cs="Times New Roman"/>
          <w:b/>
          <w:bCs/>
        </w:rPr>
      </w:pPr>
    </w:p>
    <w:p w14:paraId="11330829" w14:textId="77777777" w:rsidR="005E1585" w:rsidRDefault="005E1585" w:rsidP="00321DEC">
      <w:pPr>
        <w:spacing w:line="360" w:lineRule="auto"/>
        <w:jc w:val="both"/>
        <w:rPr>
          <w:rFonts w:ascii="Times New Roman" w:hAnsi="Times New Roman" w:cs="Times New Roman"/>
          <w:b/>
          <w:bCs/>
        </w:rPr>
      </w:pPr>
    </w:p>
    <w:p w14:paraId="64EB37F0" w14:textId="77777777" w:rsidR="005E1585" w:rsidRDefault="005E1585" w:rsidP="00321DEC">
      <w:pPr>
        <w:spacing w:line="360" w:lineRule="auto"/>
        <w:jc w:val="both"/>
        <w:rPr>
          <w:rFonts w:ascii="Times New Roman" w:hAnsi="Times New Roman" w:cs="Times New Roman"/>
          <w:b/>
          <w:bCs/>
        </w:rPr>
      </w:pPr>
    </w:p>
    <w:p w14:paraId="2B0FD813" w14:textId="77777777" w:rsidR="005E1585" w:rsidRDefault="005E1585" w:rsidP="00321DEC">
      <w:pPr>
        <w:spacing w:line="360" w:lineRule="auto"/>
        <w:jc w:val="both"/>
        <w:rPr>
          <w:rFonts w:ascii="Times New Roman" w:hAnsi="Times New Roman" w:cs="Times New Roman"/>
          <w:b/>
          <w:bCs/>
        </w:rPr>
      </w:pPr>
    </w:p>
    <w:p w14:paraId="6C0F6544" w14:textId="77777777" w:rsidR="005E1585" w:rsidRDefault="005E1585" w:rsidP="00321DEC">
      <w:pPr>
        <w:spacing w:line="360" w:lineRule="auto"/>
        <w:jc w:val="both"/>
        <w:rPr>
          <w:rFonts w:ascii="Times New Roman" w:hAnsi="Times New Roman" w:cs="Times New Roman"/>
          <w:b/>
          <w:bCs/>
        </w:rPr>
      </w:pPr>
    </w:p>
    <w:p w14:paraId="16A1B793" w14:textId="19E11C82" w:rsidR="005E1585" w:rsidRDefault="005E1585" w:rsidP="005E1585">
      <w:pPr>
        <w:pStyle w:val="Heading2"/>
      </w:pPr>
      <w:bookmarkStart w:id="21" w:name="_Toc188056444"/>
      <w:r w:rsidRPr="005E1585">
        <w:t>Reference</w:t>
      </w:r>
      <w:bookmarkEnd w:id="21"/>
    </w:p>
    <w:p w14:paraId="65DAAF21" w14:textId="77777777" w:rsidR="003A55B9" w:rsidRPr="003A55B9" w:rsidRDefault="003A55B9" w:rsidP="003A55B9">
      <w:pPr>
        <w:spacing w:line="480" w:lineRule="auto"/>
        <w:ind w:left="994" w:hanging="720"/>
        <w:contextualSpacing/>
        <w:jc w:val="both"/>
        <w:rPr>
          <w:rFonts w:ascii="Times New Roman" w:hAnsi="Times New Roman"/>
        </w:rPr>
      </w:pPr>
      <w:r w:rsidRPr="003A55B9">
        <w:rPr>
          <w:rFonts w:ascii="Times New Roman" w:hAnsi="Times New Roman"/>
        </w:rPr>
        <w:t>Azam, M., &amp; Khan, S. (2018). Threshold effects in the relationship between inflation and economic growth: Further empirical evidence from the developed and developing world.</w:t>
      </w:r>
    </w:p>
    <w:p w14:paraId="117D8498" w14:textId="77777777" w:rsidR="003A55B9" w:rsidRPr="003A55B9" w:rsidRDefault="003A55B9" w:rsidP="003A55B9">
      <w:pPr>
        <w:spacing w:line="480" w:lineRule="auto"/>
        <w:ind w:left="994" w:hanging="720"/>
        <w:contextualSpacing/>
        <w:jc w:val="both"/>
        <w:rPr>
          <w:rFonts w:ascii="Times New Roman" w:hAnsi="Times New Roman"/>
        </w:rPr>
      </w:pPr>
      <w:r w:rsidRPr="003A55B9">
        <w:rPr>
          <w:rFonts w:ascii="Times New Roman" w:hAnsi="Times New Roman"/>
        </w:rPr>
        <w:lastRenderedPageBreak/>
        <w:t>Halim, H., Astuty, P., &amp; Hubei, M. (2022). Effect of inflation and consumption credit on purchase power of the community.</w:t>
      </w:r>
    </w:p>
    <w:p w14:paraId="17547B83" w14:textId="77777777" w:rsidR="003A55B9" w:rsidRPr="003A55B9" w:rsidRDefault="003A55B9" w:rsidP="003A55B9">
      <w:pPr>
        <w:spacing w:line="480" w:lineRule="auto"/>
        <w:ind w:left="994" w:hanging="720"/>
        <w:contextualSpacing/>
        <w:jc w:val="both"/>
        <w:rPr>
          <w:rFonts w:ascii="Times New Roman" w:hAnsi="Times New Roman"/>
        </w:rPr>
      </w:pPr>
      <w:r w:rsidRPr="003A55B9">
        <w:rPr>
          <w:rFonts w:ascii="Times New Roman" w:hAnsi="Times New Roman"/>
        </w:rPr>
        <w:t>Bagus, P., Gabriel, A., &amp; Howden, D. (2014). Causes and consequences of inflation.</w:t>
      </w:r>
    </w:p>
    <w:p w14:paraId="1F12FE39" w14:textId="77777777" w:rsidR="003A55B9" w:rsidRPr="003A55B9" w:rsidRDefault="003A55B9" w:rsidP="003A55B9">
      <w:pPr>
        <w:spacing w:line="480" w:lineRule="auto"/>
        <w:ind w:left="994" w:hanging="720"/>
        <w:contextualSpacing/>
        <w:jc w:val="both"/>
        <w:rPr>
          <w:rFonts w:ascii="Times New Roman" w:hAnsi="Times New Roman"/>
        </w:rPr>
      </w:pPr>
      <w:r w:rsidRPr="003A55B9">
        <w:rPr>
          <w:rFonts w:ascii="Times New Roman" w:hAnsi="Times New Roman"/>
        </w:rPr>
        <w:t>Andiroba, G. A., Okolie, P. I. P., &amp; Oleka, D. C. (2018). Analysis of inflation and its effect on economic growth in Nigeria.</w:t>
      </w:r>
    </w:p>
    <w:p w14:paraId="36AF9BF0" w14:textId="77777777" w:rsidR="003A55B9" w:rsidRPr="003A55B9" w:rsidRDefault="003A55B9" w:rsidP="003A55B9">
      <w:pPr>
        <w:spacing w:line="480" w:lineRule="auto"/>
        <w:ind w:left="994" w:hanging="720"/>
        <w:contextualSpacing/>
        <w:jc w:val="both"/>
        <w:rPr>
          <w:rFonts w:ascii="Times New Roman" w:hAnsi="Times New Roman"/>
        </w:rPr>
      </w:pPr>
      <w:r w:rsidRPr="003A55B9">
        <w:rPr>
          <w:rFonts w:ascii="Times New Roman" w:hAnsi="Times New Roman"/>
        </w:rPr>
        <w:t xml:space="preserve">Asaduzzaman, M. (n.d.). Analysis of inflation dynamics. Retrieved from </w:t>
      </w:r>
      <w:hyperlink r:id="rId15" w:tgtFrame="_new" w:history="1">
        <w:r w:rsidRPr="003A55B9">
          <w:rPr>
            <w:rStyle w:val="Hyperlink"/>
            <w:rFonts w:ascii="Times New Roman" w:hAnsi="Times New Roman"/>
          </w:rPr>
          <w:t>https://mpra.ub.uni-muenchen.de/110333/</w:t>
        </w:r>
      </w:hyperlink>
    </w:p>
    <w:p w14:paraId="09FE07C1" w14:textId="77777777" w:rsidR="003A55B9" w:rsidRPr="003A55B9" w:rsidRDefault="003A55B9" w:rsidP="003A55B9">
      <w:pPr>
        <w:spacing w:line="480" w:lineRule="auto"/>
        <w:ind w:left="994" w:hanging="720"/>
        <w:contextualSpacing/>
        <w:jc w:val="both"/>
        <w:rPr>
          <w:rFonts w:ascii="Times New Roman" w:hAnsi="Times New Roman"/>
        </w:rPr>
      </w:pPr>
      <w:r w:rsidRPr="003A55B9">
        <w:rPr>
          <w:rFonts w:ascii="Times New Roman" w:hAnsi="Times New Roman"/>
        </w:rPr>
        <w:t>Abidemi, O. I., &amp; Maliq, S. A. (2010). Analysis of inflation and its determination in Nigeria.</w:t>
      </w:r>
    </w:p>
    <w:p w14:paraId="717C281D" w14:textId="77777777" w:rsidR="003A55B9" w:rsidRPr="003A55B9" w:rsidRDefault="003A55B9" w:rsidP="003A55B9">
      <w:pPr>
        <w:spacing w:line="480" w:lineRule="auto"/>
        <w:ind w:left="994" w:hanging="720"/>
        <w:contextualSpacing/>
        <w:jc w:val="both"/>
        <w:rPr>
          <w:rFonts w:ascii="Times New Roman" w:hAnsi="Times New Roman"/>
        </w:rPr>
      </w:pPr>
      <w:r w:rsidRPr="003A55B9">
        <w:rPr>
          <w:rFonts w:ascii="Times New Roman" w:hAnsi="Times New Roman"/>
        </w:rPr>
        <w:t xml:space="preserve">Ahmed, N., &amp; Mortaza, M. (2005). Inflation and economic growth in Bangladesh: 1981–2005. </w:t>
      </w:r>
      <w:r w:rsidRPr="003A55B9">
        <w:rPr>
          <w:rFonts w:ascii="Times New Roman" w:hAnsi="Times New Roman"/>
          <w:i/>
          <w:iCs/>
        </w:rPr>
        <w:t>Working Paper Series: WP 0604</w:t>
      </w:r>
      <w:r w:rsidRPr="003A55B9">
        <w:rPr>
          <w:rFonts w:ascii="Times New Roman" w:hAnsi="Times New Roman"/>
        </w:rPr>
        <w:t>. Policy Analysis Unit, Research Department, Bangladesh Bank.</w:t>
      </w:r>
    </w:p>
    <w:p w14:paraId="431BD8CC" w14:textId="77777777" w:rsidR="003A55B9" w:rsidRPr="003A55B9" w:rsidRDefault="003A55B9" w:rsidP="003A55B9">
      <w:pPr>
        <w:spacing w:line="480" w:lineRule="auto"/>
        <w:ind w:left="994" w:hanging="720"/>
        <w:contextualSpacing/>
        <w:jc w:val="both"/>
        <w:rPr>
          <w:rFonts w:ascii="Times New Roman" w:hAnsi="Times New Roman"/>
        </w:rPr>
      </w:pPr>
      <w:r w:rsidRPr="003A55B9">
        <w:rPr>
          <w:rFonts w:ascii="Times New Roman" w:hAnsi="Times New Roman"/>
        </w:rPr>
        <w:t xml:space="preserve">Barro, R. J. (1995). Inflation and economic growth. </w:t>
      </w:r>
      <w:r w:rsidRPr="003A55B9">
        <w:rPr>
          <w:rFonts w:ascii="Times New Roman" w:hAnsi="Times New Roman"/>
          <w:i/>
          <w:iCs/>
        </w:rPr>
        <w:t>National Bureau of Economic Research (NBER) Working Paper No. 5326</w:t>
      </w:r>
      <w:r w:rsidRPr="003A55B9">
        <w:rPr>
          <w:rFonts w:ascii="Times New Roman" w:hAnsi="Times New Roman"/>
        </w:rPr>
        <w:t>.</w:t>
      </w:r>
    </w:p>
    <w:p w14:paraId="1E58D21E" w14:textId="77777777" w:rsidR="003A55B9" w:rsidRPr="003A55B9" w:rsidRDefault="003A55B9" w:rsidP="003A55B9">
      <w:pPr>
        <w:spacing w:line="480" w:lineRule="auto"/>
        <w:ind w:left="994" w:hanging="720"/>
        <w:contextualSpacing/>
        <w:jc w:val="both"/>
        <w:rPr>
          <w:rFonts w:ascii="Times New Roman" w:hAnsi="Times New Roman"/>
        </w:rPr>
      </w:pPr>
      <w:r w:rsidRPr="003A55B9">
        <w:rPr>
          <w:rFonts w:ascii="Times New Roman" w:hAnsi="Times New Roman"/>
        </w:rPr>
        <w:t xml:space="preserve">Biswas, B. P., et al. (2016). Determining the growth-maximizing threshold level of inflation in Bangladesh. </w:t>
      </w:r>
      <w:r w:rsidRPr="003A55B9">
        <w:rPr>
          <w:rFonts w:ascii="Times New Roman" w:hAnsi="Times New Roman"/>
          <w:i/>
          <w:iCs/>
        </w:rPr>
        <w:t>Working Paper Series</w:t>
      </w:r>
      <w:r w:rsidRPr="003A55B9">
        <w:rPr>
          <w:rFonts w:ascii="Times New Roman" w:hAnsi="Times New Roman"/>
        </w:rPr>
        <w:t>. Research Department, Bangladesh Bank.</w:t>
      </w:r>
    </w:p>
    <w:p w14:paraId="508191BA" w14:textId="77777777" w:rsidR="003A55B9" w:rsidRPr="003A55B9" w:rsidRDefault="003A55B9" w:rsidP="003A55B9">
      <w:pPr>
        <w:spacing w:line="480" w:lineRule="auto"/>
        <w:ind w:left="994" w:hanging="720"/>
        <w:contextualSpacing/>
        <w:jc w:val="both"/>
        <w:rPr>
          <w:rFonts w:ascii="Times New Roman" w:hAnsi="Times New Roman"/>
        </w:rPr>
      </w:pPr>
      <w:r w:rsidRPr="003A55B9">
        <w:rPr>
          <w:rFonts w:ascii="Times New Roman" w:hAnsi="Times New Roman"/>
        </w:rPr>
        <w:t xml:space="preserve">Bruno, M., &amp; Easterly, W. (1998). Inflation crises and long-run growth. </w:t>
      </w:r>
      <w:r w:rsidRPr="003A55B9">
        <w:rPr>
          <w:rFonts w:ascii="Times New Roman" w:hAnsi="Times New Roman"/>
          <w:i/>
          <w:iCs/>
        </w:rPr>
        <w:t>Journal of Monetary Economics</w:t>
      </w:r>
      <w:r w:rsidRPr="003A55B9">
        <w:rPr>
          <w:rFonts w:ascii="Times New Roman" w:hAnsi="Times New Roman"/>
        </w:rPr>
        <w:t>.</w:t>
      </w:r>
    </w:p>
    <w:p w14:paraId="49F4E39B" w14:textId="6F95EE0F" w:rsidR="005E1585" w:rsidRPr="005E1585" w:rsidRDefault="005E1585" w:rsidP="003A55B9">
      <w:pPr>
        <w:spacing w:line="480" w:lineRule="auto"/>
        <w:ind w:left="994" w:hanging="720"/>
        <w:contextualSpacing/>
        <w:jc w:val="both"/>
      </w:pPr>
    </w:p>
    <w:p w14:paraId="1A0B03CA" w14:textId="77777777" w:rsidR="00D43E9F" w:rsidRPr="005E1585" w:rsidRDefault="00D43E9F">
      <w:pPr>
        <w:spacing w:line="480" w:lineRule="auto"/>
        <w:ind w:left="994" w:hanging="720"/>
        <w:contextualSpacing/>
        <w:jc w:val="both"/>
      </w:pPr>
    </w:p>
    <w:sectPr w:rsidR="00D43E9F" w:rsidRPr="005E158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69716" w14:textId="77777777" w:rsidR="00FD0C73" w:rsidRDefault="00FD0C73" w:rsidP="00901B50">
      <w:pPr>
        <w:spacing w:after="0" w:line="240" w:lineRule="auto"/>
      </w:pPr>
      <w:r>
        <w:separator/>
      </w:r>
    </w:p>
  </w:endnote>
  <w:endnote w:type="continuationSeparator" w:id="0">
    <w:p w14:paraId="58EDF70B" w14:textId="77777777" w:rsidR="00FD0C73" w:rsidRDefault="00FD0C73" w:rsidP="00901B50">
      <w:pPr>
        <w:spacing w:after="0" w:line="240" w:lineRule="auto"/>
      </w:pPr>
      <w:r>
        <w:continuationSeparator/>
      </w:r>
    </w:p>
  </w:endnote>
  <w:endnote w:type="continuationNotice" w:id="1">
    <w:p w14:paraId="64D2AF01" w14:textId="77777777" w:rsidR="00FD0C73" w:rsidRDefault="00FD0C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69205355"/>
      <w:docPartObj>
        <w:docPartGallery w:val="Page Numbers (Bottom of Page)"/>
        <w:docPartUnique/>
      </w:docPartObj>
    </w:sdtPr>
    <w:sdtContent>
      <w:p w14:paraId="5A57F2D2" w14:textId="7B30B716" w:rsidR="002A2389" w:rsidRDefault="002A2389" w:rsidP="002A23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E6263A" w14:textId="77777777" w:rsidR="002A2389" w:rsidRDefault="002A2389" w:rsidP="002B65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7714222"/>
      <w:docPartObj>
        <w:docPartGallery w:val="Page Numbers (Bottom of Page)"/>
        <w:docPartUnique/>
      </w:docPartObj>
    </w:sdtPr>
    <w:sdtContent>
      <w:p w14:paraId="31B4649F" w14:textId="2C1BC334" w:rsidR="002A2389" w:rsidRDefault="002A2389" w:rsidP="002A23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8E2550" w14:textId="77777777" w:rsidR="002A2389" w:rsidRDefault="002A2389" w:rsidP="002B650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70454356"/>
      <w:docPartObj>
        <w:docPartGallery w:val="Page Numbers (Bottom of Page)"/>
        <w:docPartUnique/>
      </w:docPartObj>
    </w:sdtPr>
    <w:sdtContent>
      <w:p w14:paraId="16C52761" w14:textId="07324547" w:rsidR="002A2389" w:rsidRDefault="002A2389" w:rsidP="002B6501">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02151">
          <w:rPr>
            <w:rStyle w:val="PageNumber"/>
            <w:noProof/>
          </w:rPr>
          <w:t>1</w:t>
        </w:r>
        <w:r>
          <w:rPr>
            <w:rStyle w:val="PageNumber"/>
          </w:rPr>
          <w:fldChar w:fldCharType="end"/>
        </w:r>
      </w:p>
    </w:sdtContent>
  </w:sdt>
  <w:p w14:paraId="2484629F" w14:textId="77777777" w:rsidR="002A2389" w:rsidRDefault="002A2389" w:rsidP="00901B5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53414670"/>
      <w:docPartObj>
        <w:docPartGallery w:val="Page Numbers (Bottom of Page)"/>
        <w:docPartUnique/>
      </w:docPartObj>
    </w:sdtPr>
    <w:sdtContent>
      <w:p w14:paraId="26C74691" w14:textId="0C17C8BC" w:rsidR="002A2389" w:rsidRDefault="002A2389" w:rsidP="002A23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47</w:t>
        </w:r>
        <w:r>
          <w:rPr>
            <w:rStyle w:val="PageNumber"/>
          </w:rPr>
          <w:fldChar w:fldCharType="end"/>
        </w:r>
      </w:p>
    </w:sdtContent>
  </w:sdt>
  <w:p w14:paraId="6C30F5FD" w14:textId="77777777" w:rsidR="002A2389" w:rsidRDefault="002A2389" w:rsidP="00901B50">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5CEC3" w14:textId="77777777" w:rsidR="002A2389" w:rsidRDefault="002A2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8C258" w14:textId="77777777" w:rsidR="00FD0C73" w:rsidRDefault="00FD0C73" w:rsidP="00901B50">
      <w:pPr>
        <w:spacing w:after="0" w:line="240" w:lineRule="auto"/>
      </w:pPr>
      <w:r>
        <w:separator/>
      </w:r>
    </w:p>
  </w:footnote>
  <w:footnote w:type="continuationSeparator" w:id="0">
    <w:p w14:paraId="3A39F287" w14:textId="77777777" w:rsidR="00FD0C73" w:rsidRDefault="00FD0C73" w:rsidP="00901B50">
      <w:pPr>
        <w:spacing w:after="0" w:line="240" w:lineRule="auto"/>
      </w:pPr>
      <w:r>
        <w:continuationSeparator/>
      </w:r>
    </w:p>
  </w:footnote>
  <w:footnote w:type="continuationNotice" w:id="1">
    <w:p w14:paraId="6B7F3F57" w14:textId="77777777" w:rsidR="00FD0C73" w:rsidRDefault="00FD0C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0A7D8" w14:textId="4EE6BF14" w:rsidR="002A2389" w:rsidRPr="00955DC1" w:rsidRDefault="00955DC1" w:rsidP="00955DC1">
    <w:pPr>
      <w:pStyle w:val="Header"/>
      <w:rPr>
        <w:rFonts w:ascii="Times New Roman" w:hAnsi="Times New Roman" w:cs="Times New Roman"/>
        <w:bCs/>
        <w:sz w:val="18"/>
        <w:szCs w:val="18"/>
      </w:rPr>
    </w:pPr>
    <w:r>
      <w:rPr>
        <w:rFonts w:ascii="Times New Roman" w:hAnsi="Times New Roman" w:cs="Times New Roman"/>
        <w:bCs/>
        <w:sz w:val="18"/>
        <w:szCs w:val="18"/>
      </w:rPr>
      <w:t>EDGE: BU</w:t>
    </w:r>
    <w:r>
      <w:rPr>
        <w:rFonts w:ascii="Times New Roman" w:hAnsi="Times New Roman" w:cs="Times New Roman"/>
        <w:bCs/>
        <w:sz w:val="18"/>
        <w:szCs w:val="18"/>
      </w:rPr>
      <w:tab/>
      <w:t>Batch: 63</w:t>
    </w:r>
    <w:r>
      <w:rPr>
        <w:rFonts w:ascii="Times New Roman" w:hAnsi="Times New Roman" w:cs="Times New Roman"/>
        <w:bCs/>
        <w:sz w:val="18"/>
        <w:szCs w:val="18"/>
      </w:rPr>
      <w:tab/>
      <w:t xml:space="preserve">Roll: </w:t>
    </w:r>
    <w:r w:rsidR="00012772">
      <w:rPr>
        <w:rFonts w:ascii="Times New Roman" w:hAnsi="Times New Roman" w:cs="Times New Roman"/>
        <w:bCs/>
        <w:sz w:val="18"/>
        <w:szCs w:val="18"/>
      </w:rPr>
      <w:t>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20584" w14:textId="77777777" w:rsidR="002A2389" w:rsidRDefault="002A23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4FEC2" w14:textId="49AE1BE1" w:rsidR="002A2389" w:rsidRPr="00157E05" w:rsidRDefault="002A2389" w:rsidP="00790AF1">
    <w:pPr>
      <w:pStyle w:val="Header"/>
      <w:jc w:val="right"/>
      <w:rPr>
        <w:rFonts w:ascii="Times New Roman" w:hAnsi="Times New Roman" w:cs="Times New Roman"/>
        <w:b/>
        <w:bCs/>
        <w:i/>
        <w:iCs/>
        <w:sz w:val="18"/>
        <w:szCs w:val="18"/>
      </w:rPr>
    </w:pPr>
    <w:r w:rsidRPr="00157E05">
      <w:rPr>
        <w:rFonts w:ascii="Times New Roman" w:hAnsi="Times New Roman" w:cs="Times New Roman"/>
        <w:b/>
        <w:bCs/>
        <w:i/>
        <w:iCs/>
        <w:sz w:val="18"/>
        <w:szCs w:val="18"/>
      </w:rPr>
      <w:t xml:space="preserve">Financial Trends and Growth Analysis of </w:t>
    </w:r>
    <w:r>
      <w:rPr>
        <w:rFonts w:ascii="Times New Roman" w:hAnsi="Times New Roman" w:cs="Times New Roman"/>
        <w:b/>
        <w:bCs/>
        <w:i/>
        <w:iCs/>
        <w:sz w:val="18"/>
        <w:szCs w:val="18"/>
      </w:rPr>
      <w:t>National Life Insurance Company Ltd.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E6702" w14:textId="77777777" w:rsidR="002A2389" w:rsidRDefault="002A23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5261"/>
    <w:multiLevelType w:val="hybridMultilevel"/>
    <w:tmpl w:val="24C0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F3B5E"/>
    <w:multiLevelType w:val="hybridMultilevel"/>
    <w:tmpl w:val="9EF4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D0B53"/>
    <w:multiLevelType w:val="hybridMultilevel"/>
    <w:tmpl w:val="392E1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03C3A"/>
    <w:multiLevelType w:val="hybridMultilevel"/>
    <w:tmpl w:val="90CC6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E0B60"/>
    <w:multiLevelType w:val="hybridMultilevel"/>
    <w:tmpl w:val="1156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354C08"/>
    <w:multiLevelType w:val="hybridMultilevel"/>
    <w:tmpl w:val="4606A8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43A2F22"/>
    <w:multiLevelType w:val="hybridMultilevel"/>
    <w:tmpl w:val="E14A6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45F62"/>
    <w:multiLevelType w:val="hybridMultilevel"/>
    <w:tmpl w:val="F4CA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85094"/>
    <w:multiLevelType w:val="hybridMultilevel"/>
    <w:tmpl w:val="CA98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67E26"/>
    <w:multiLevelType w:val="hybridMultilevel"/>
    <w:tmpl w:val="BDD0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B36F8"/>
    <w:multiLevelType w:val="hybridMultilevel"/>
    <w:tmpl w:val="329AC0A0"/>
    <w:lvl w:ilvl="0" w:tplc="0409000F">
      <w:start w:val="1"/>
      <w:numFmt w:val="decimal"/>
      <w:lvlText w:val="%1."/>
      <w:lvlJc w:val="left"/>
      <w:pPr>
        <w:ind w:left="5220" w:hanging="360"/>
      </w:p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11" w15:restartNumberingAfterBreak="0">
    <w:nsid w:val="29387A24"/>
    <w:multiLevelType w:val="hybridMultilevel"/>
    <w:tmpl w:val="140ECB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D0768"/>
    <w:multiLevelType w:val="hybridMultilevel"/>
    <w:tmpl w:val="C4F0D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641267"/>
    <w:multiLevelType w:val="hybridMultilevel"/>
    <w:tmpl w:val="B870400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7ED36EB"/>
    <w:multiLevelType w:val="hybridMultilevel"/>
    <w:tmpl w:val="3C108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656F01"/>
    <w:multiLevelType w:val="hybridMultilevel"/>
    <w:tmpl w:val="77509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C577B"/>
    <w:multiLevelType w:val="hybridMultilevel"/>
    <w:tmpl w:val="BDA85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792352"/>
    <w:multiLevelType w:val="hybridMultilevel"/>
    <w:tmpl w:val="95CA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926F35"/>
    <w:multiLevelType w:val="hybridMultilevel"/>
    <w:tmpl w:val="410E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162650"/>
    <w:multiLevelType w:val="hybridMultilevel"/>
    <w:tmpl w:val="1D3A9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C3751C"/>
    <w:multiLevelType w:val="hybridMultilevel"/>
    <w:tmpl w:val="FE2ED628"/>
    <w:lvl w:ilvl="0" w:tplc="A1BC4456">
      <w:start w:val="5"/>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4E6B35CF"/>
    <w:multiLevelType w:val="hybridMultilevel"/>
    <w:tmpl w:val="624E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197C93"/>
    <w:multiLevelType w:val="hybridMultilevel"/>
    <w:tmpl w:val="3622248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5B6965"/>
    <w:multiLevelType w:val="hybridMultilevel"/>
    <w:tmpl w:val="23306416"/>
    <w:lvl w:ilvl="0" w:tplc="0409000F">
      <w:start w:val="1"/>
      <w:numFmt w:val="decimal"/>
      <w:lvlText w:val="%1."/>
      <w:lvlJc w:val="left"/>
      <w:pPr>
        <w:ind w:left="63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351128A"/>
    <w:multiLevelType w:val="hybridMultilevel"/>
    <w:tmpl w:val="8B8AB0BA"/>
    <w:lvl w:ilvl="0" w:tplc="04090005">
      <w:start w:val="1"/>
      <w:numFmt w:val="bullet"/>
      <w:lvlText w:val=""/>
      <w:lvlJc w:val="left"/>
      <w:pPr>
        <w:ind w:left="720" w:hanging="360"/>
      </w:pPr>
      <w:rPr>
        <w:rFonts w:ascii="Wingdings" w:hAnsi="Wingdings" w:hint="default"/>
      </w:rPr>
    </w:lvl>
    <w:lvl w:ilvl="1" w:tplc="531E09E2">
      <w:start w:val="3"/>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D04120"/>
    <w:multiLevelType w:val="hybridMultilevel"/>
    <w:tmpl w:val="AF8AF86A"/>
    <w:lvl w:ilvl="0" w:tplc="04090001">
      <w:start w:val="1"/>
      <w:numFmt w:val="bullet"/>
      <w:lvlText w:val=""/>
      <w:lvlJc w:val="left"/>
      <w:pPr>
        <w:ind w:left="720" w:hanging="360"/>
      </w:pPr>
      <w:rPr>
        <w:rFonts w:ascii="Symbol" w:hAnsi="Symbol" w:hint="default"/>
      </w:rPr>
    </w:lvl>
    <w:lvl w:ilvl="1" w:tplc="E22AF58C">
      <w:start w:val="5"/>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D85576"/>
    <w:multiLevelType w:val="hybridMultilevel"/>
    <w:tmpl w:val="B7C6C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B65A2"/>
    <w:multiLevelType w:val="multilevel"/>
    <w:tmpl w:val="A5A646EA"/>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ACF2C43"/>
    <w:multiLevelType w:val="multilevel"/>
    <w:tmpl w:val="F550C838"/>
    <w:lvl w:ilvl="0">
      <w:start w:val="1"/>
      <w:numFmt w:val="decimal"/>
      <w:lvlText w:val="%1."/>
      <w:lvlJc w:val="left"/>
      <w:pPr>
        <w:ind w:left="810" w:hanging="360"/>
      </w:pPr>
      <w:rPr>
        <w:rFonts w:hint="default"/>
      </w:rPr>
    </w:lvl>
    <w:lvl w:ilvl="1">
      <w:start w:val="2"/>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DF856CA"/>
    <w:multiLevelType w:val="hybridMultilevel"/>
    <w:tmpl w:val="B544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0543C6"/>
    <w:multiLevelType w:val="multilevel"/>
    <w:tmpl w:val="FFFFFFFF"/>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601796319">
    <w:abstractNumId w:val="27"/>
  </w:num>
  <w:num w:numId="2" w16cid:durableId="981617086">
    <w:abstractNumId w:val="2"/>
  </w:num>
  <w:num w:numId="3" w16cid:durableId="1431051404">
    <w:abstractNumId w:val="29"/>
  </w:num>
  <w:num w:numId="4" w16cid:durableId="909653687">
    <w:abstractNumId w:val="25"/>
  </w:num>
  <w:num w:numId="5" w16cid:durableId="518743068">
    <w:abstractNumId w:val="23"/>
  </w:num>
  <w:num w:numId="6" w16cid:durableId="275062588">
    <w:abstractNumId w:val="19"/>
  </w:num>
  <w:num w:numId="7" w16cid:durableId="1085154221">
    <w:abstractNumId w:val="5"/>
  </w:num>
  <w:num w:numId="8" w16cid:durableId="122040134">
    <w:abstractNumId w:val="30"/>
  </w:num>
  <w:num w:numId="9" w16cid:durableId="1341664396">
    <w:abstractNumId w:val="21"/>
  </w:num>
  <w:num w:numId="10" w16cid:durableId="1126195148">
    <w:abstractNumId w:val="1"/>
  </w:num>
  <w:num w:numId="11" w16cid:durableId="942880644">
    <w:abstractNumId w:val="3"/>
  </w:num>
  <w:num w:numId="12" w16cid:durableId="635834975">
    <w:abstractNumId w:val="26"/>
  </w:num>
  <w:num w:numId="13" w16cid:durableId="991637662">
    <w:abstractNumId w:val="22"/>
  </w:num>
  <w:num w:numId="14" w16cid:durableId="1096827677">
    <w:abstractNumId w:val="9"/>
  </w:num>
  <w:num w:numId="15" w16cid:durableId="645207302">
    <w:abstractNumId w:val="6"/>
  </w:num>
  <w:num w:numId="16" w16cid:durableId="826088865">
    <w:abstractNumId w:val="15"/>
  </w:num>
  <w:num w:numId="17" w16cid:durableId="1918393555">
    <w:abstractNumId w:val="14"/>
  </w:num>
  <w:num w:numId="18" w16cid:durableId="1332836244">
    <w:abstractNumId w:val="11"/>
  </w:num>
  <w:num w:numId="19" w16cid:durableId="1242717112">
    <w:abstractNumId w:val="24"/>
  </w:num>
  <w:num w:numId="20" w16cid:durableId="865293872">
    <w:abstractNumId w:val="12"/>
  </w:num>
  <w:num w:numId="21" w16cid:durableId="1061487388">
    <w:abstractNumId w:val="13"/>
  </w:num>
  <w:num w:numId="22" w16cid:durableId="1553619639">
    <w:abstractNumId w:val="10"/>
  </w:num>
  <w:num w:numId="23" w16cid:durableId="1330254575">
    <w:abstractNumId w:val="16"/>
  </w:num>
  <w:num w:numId="24" w16cid:durableId="1527063331">
    <w:abstractNumId w:val="7"/>
  </w:num>
  <w:num w:numId="25" w16cid:durableId="30351772">
    <w:abstractNumId w:val="18"/>
  </w:num>
  <w:num w:numId="26" w16cid:durableId="1856798169">
    <w:abstractNumId w:val="17"/>
  </w:num>
  <w:num w:numId="27" w16cid:durableId="511143320">
    <w:abstractNumId w:val="8"/>
  </w:num>
  <w:num w:numId="28" w16cid:durableId="286395048">
    <w:abstractNumId w:val="4"/>
  </w:num>
  <w:num w:numId="29" w16cid:durableId="574359191">
    <w:abstractNumId w:val="0"/>
  </w:num>
  <w:num w:numId="30" w16cid:durableId="1051151644">
    <w:abstractNumId w:val="28"/>
  </w:num>
  <w:num w:numId="31" w16cid:durableId="1435318440">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7D"/>
    <w:rsid w:val="000005C6"/>
    <w:rsid w:val="000015FE"/>
    <w:rsid w:val="0000380E"/>
    <w:rsid w:val="00012772"/>
    <w:rsid w:val="0001277B"/>
    <w:rsid w:val="000163B5"/>
    <w:rsid w:val="000214DD"/>
    <w:rsid w:val="00021A0D"/>
    <w:rsid w:val="00027BAD"/>
    <w:rsid w:val="00030A9F"/>
    <w:rsid w:val="00034105"/>
    <w:rsid w:val="000354E0"/>
    <w:rsid w:val="00035F93"/>
    <w:rsid w:val="00036B51"/>
    <w:rsid w:val="000413C0"/>
    <w:rsid w:val="00041B9F"/>
    <w:rsid w:val="00045AEA"/>
    <w:rsid w:val="00050683"/>
    <w:rsid w:val="00050B50"/>
    <w:rsid w:val="00050DE1"/>
    <w:rsid w:val="000537D7"/>
    <w:rsid w:val="00060A34"/>
    <w:rsid w:val="00061CF2"/>
    <w:rsid w:val="00062D9F"/>
    <w:rsid w:val="00062FA9"/>
    <w:rsid w:val="00064C8F"/>
    <w:rsid w:val="00065BCF"/>
    <w:rsid w:val="00071143"/>
    <w:rsid w:val="0007142D"/>
    <w:rsid w:val="00071EA4"/>
    <w:rsid w:val="00071FFF"/>
    <w:rsid w:val="0008170F"/>
    <w:rsid w:val="00081CB2"/>
    <w:rsid w:val="000823C3"/>
    <w:rsid w:val="00082C02"/>
    <w:rsid w:val="00083BC6"/>
    <w:rsid w:val="000876DF"/>
    <w:rsid w:val="00095326"/>
    <w:rsid w:val="00096655"/>
    <w:rsid w:val="000A2CA7"/>
    <w:rsid w:val="000A78E0"/>
    <w:rsid w:val="000A7A62"/>
    <w:rsid w:val="000B2923"/>
    <w:rsid w:val="000B5270"/>
    <w:rsid w:val="000C2AC6"/>
    <w:rsid w:val="000D0BFB"/>
    <w:rsid w:val="000D296F"/>
    <w:rsid w:val="000D67C3"/>
    <w:rsid w:val="000D7BF1"/>
    <w:rsid w:val="000E3E92"/>
    <w:rsid w:val="000E47E4"/>
    <w:rsid w:val="000F5175"/>
    <w:rsid w:val="000F528E"/>
    <w:rsid w:val="001025A0"/>
    <w:rsid w:val="0010654E"/>
    <w:rsid w:val="00107A1F"/>
    <w:rsid w:val="00112970"/>
    <w:rsid w:val="0011689D"/>
    <w:rsid w:val="00125186"/>
    <w:rsid w:val="00125366"/>
    <w:rsid w:val="001303A4"/>
    <w:rsid w:val="00132B31"/>
    <w:rsid w:val="00136264"/>
    <w:rsid w:val="00136B02"/>
    <w:rsid w:val="00137490"/>
    <w:rsid w:val="0014724A"/>
    <w:rsid w:val="001527D1"/>
    <w:rsid w:val="001548BD"/>
    <w:rsid w:val="00154918"/>
    <w:rsid w:val="00157E05"/>
    <w:rsid w:val="00161D83"/>
    <w:rsid w:val="00165B02"/>
    <w:rsid w:val="00166DA6"/>
    <w:rsid w:val="00172CBA"/>
    <w:rsid w:val="00173DC3"/>
    <w:rsid w:val="001766DB"/>
    <w:rsid w:val="00182525"/>
    <w:rsid w:val="0019273E"/>
    <w:rsid w:val="0019791A"/>
    <w:rsid w:val="001A1788"/>
    <w:rsid w:val="001A2CE8"/>
    <w:rsid w:val="001A4259"/>
    <w:rsid w:val="001A7EEB"/>
    <w:rsid w:val="001B1347"/>
    <w:rsid w:val="001C11C7"/>
    <w:rsid w:val="001C12B3"/>
    <w:rsid w:val="001C2752"/>
    <w:rsid w:val="001C3B58"/>
    <w:rsid w:val="001C4409"/>
    <w:rsid w:val="001C771E"/>
    <w:rsid w:val="001D1F80"/>
    <w:rsid w:val="001D210F"/>
    <w:rsid w:val="001D2E74"/>
    <w:rsid w:val="001D4CE8"/>
    <w:rsid w:val="001D6D2E"/>
    <w:rsid w:val="001D6D34"/>
    <w:rsid w:val="001D7155"/>
    <w:rsid w:val="001E148E"/>
    <w:rsid w:val="001E3E7A"/>
    <w:rsid w:val="001E3F30"/>
    <w:rsid w:val="001F0256"/>
    <w:rsid w:val="001F0D97"/>
    <w:rsid w:val="001F13A5"/>
    <w:rsid w:val="001F4591"/>
    <w:rsid w:val="001F4D08"/>
    <w:rsid w:val="001F6DD3"/>
    <w:rsid w:val="001F70F1"/>
    <w:rsid w:val="002016AD"/>
    <w:rsid w:val="00201A28"/>
    <w:rsid w:val="00201C57"/>
    <w:rsid w:val="002040C4"/>
    <w:rsid w:val="00205820"/>
    <w:rsid w:val="00207AC8"/>
    <w:rsid w:val="002122DB"/>
    <w:rsid w:val="00214D29"/>
    <w:rsid w:val="00214F3B"/>
    <w:rsid w:val="00221F08"/>
    <w:rsid w:val="00225106"/>
    <w:rsid w:val="00226FC4"/>
    <w:rsid w:val="0022793F"/>
    <w:rsid w:val="00230183"/>
    <w:rsid w:val="002308ED"/>
    <w:rsid w:val="00233E8A"/>
    <w:rsid w:val="00234B62"/>
    <w:rsid w:val="002367E6"/>
    <w:rsid w:val="002374C2"/>
    <w:rsid w:val="00240B8A"/>
    <w:rsid w:val="0024244A"/>
    <w:rsid w:val="00243113"/>
    <w:rsid w:val="00247E1B"/>
    <w:rsid w:val="002540B0"/>
    <w:rsid w:val="002564C7"/>
    <w:rsid w:val="002601B7"/>
    <w:rsid w:val="002632DD"/>
    <w:rsid w:val="00264EDD"/>
    <w:rsid w:val="0027628C"/>
    <w:rsid w:val="00276611"/>
    <w:rsid w:val="002835CD"/>
    <w:rsid w:val="002908C0"/>
    <w:rsid w:val="00293089"/>
    <w:rsid w:val="0029527F"/>
    <w:rsid w:val="00295EE1"/>
    <w:rsid w:val="002A0FB3"/>
    <w:rsid w:val="002A2389"/>
    <w:rsid w:val="002A3192"/>
    <w:rsid w:val="002A342E"/>
    <w:rsid w:val="002A39E7"/>
    <w:rsid w:val="002A487D"/>
    <w:rsid w:val="002A6472"/>
    <w:rsid w:val="002A6B68"/>
    <w:rsid w:val="002B2EA8"/>
    <w:rsid w:val="002B4E8D"/>
    <w:rsid w:val="002B5163"/>
    <w:rsid w:val="002B6501"/>
    <w:rsid w:val="002C0087"/>
    <w:rsid w:val="002C0C4F"/>
    <w:rsid w:val="002C103D"/>
    <w:rsid w:val="002C1521"/>
    <w:rsid w:val="002D1565"/>
    <w:rsid w:val="002D446C"/>
    <w:rsid w:val="002D4FAA"/>
    <w:rsid w:val="002D6D00"/>
    <w:rsid w:val="002D703A"/>
    <w:rsid w:val="002E22E0"/>
    <w:rsid w:val="002E3B6B"/>
    <w:rsid w:val="002E46EE"/>
    <w:rsid w:val="002E4B90"/>
    <w:rsid w:val="002E6E62"/>
    <w:rsid w:val="002F0057"/>
    <w:rsid w:val="002F16A4"/>
    <w:rsid w:val="002F3282"/>
    <w:rsid w:val="002F3F0C"/>
    <w:rsid w:val="002F4210"/>
    <w:rsid w:val="002F6DC4"/>
    <w:rsid w:val="002F7D14"/>
    <w:rsid w:val="003079AF"/>
    <w:rsid w:val="003118BD"/>
    <w:rsid w:val="003142A3"/>
    <w:rsid w:val="003142D9"/>
    <w:rsid w:val="00314F67"/>
    <w:rsid w:val="00315974"/>
    <w:rsid w:val="00316E30"/>
    <w:rsid w:val="00320631"/>
    <w:rsid w:val="00321DEC"/>
    <w:rsid w:val="00324DF8"/>
    <w:rsid w:val="00325BF6"/>
    <w:rsid w:val="00331F37"/>
    <w:rsid w:val="00335ED1"/>
    <w:rsid w:val="00340D80"/>
    <w:rsid w:val="0034313B"/>
    <w:rsid w:val="003449DD"/>
    <w:rsid w:val="00347E2F"/>
    <w:rsid w:val="00350D7A"/>
    <w:rsid w:val="00351872"/>
    <w:rsid w:val="00353110"/>
    <w:rsid w:val="00353CF7"/>
    <w:rsid w:val="00354CD5"/>
    <w:rsid w:val="003575D7"/>
    <w:rsid w:val="0036169B"/>
    <w:rsid w:val="003656F4"/>
    <w:rsid w:val="00367C62"/>
    <w:rsid w:val="00367FB1"/>
    <w:rsid w:val="00370F6F"/>
    <w:rsid w:val="003755CA"/>
    <w:rsid w:val="00376421"/>
    <w:rsid w:val="0037791E"/>
    <w:rsid w:val="0038129D"/>
    <w:rsid w:val="00384D20"/>
    <w:rsid w:val="0038683E"/>
    <w:rsid w:val="0039344E"/>
    <w:rsid w:val="0039427C"/>
    <w:rsid w:val="00394618"/>
    <w:rsid w:val="00396081"/>
    <w:rsid w:val="003A2F18"/>
    <w:rsid w:val="003A44CA"/>
    <w:rsid w:val="003A4CBA"/>
    <w:rsid w:val="003A55B9"/>
    <w:rsid w:val="003A560E"/>
    <w:rsid w:val="003A5BD1"/>
    <w:rsid w:val="003B40CC"/>
    <w:rsid w:val="003B71EF"/>
    <w:rsid w:val="003C3A73"/>
    <w:rsid w:val="003C4056"/>
    <w:rsid w:val="003C54CC"/>
    <w:rsid w:val="003C5A98"/>
    <w:rsid w:val="003D2680"/>
    <w:rsid w:val="003D3437"/>
    <w:rsid w:val="003D42FC"/>
    <w:rsid w:val="003D5A28"/>
    <w:rsid w:val="003E033C"/>
    <w:rsid w:val="003E0AAF"/>
    <w:rsid w:val="003E226A"/>
    <w:rsid w:val="003E4A7B"/>
    <w:rsid w:val="003E6ED5"/>
    <w:rsid w:val="003E762B"/>
    <w:rsid w:val="003F0736"/>
    <w:rsid w:val="003F41BC"/>
    <w:rsid w:val="003F4353"/>
    <w:rsid w:val="003F4898"/>
    <w:rsid w:val="004013D1"/>
    <w:rsid w:val="00403447"/>
    <w:rsid w:val="0040550B"/>
    <w:rsid w:val="00406ACE"/>
    <w:rsid w:val="00406E0E"/>
    <w:rsid w:val="004104CE"/>
    <w:rsid w:val="0041138A"/>
    <w:rsid w:val="0041335D"/>
    <w:rsid w:val="004137D6"/>
    <w:rsid w:val="00414A07"/>
    <w:rsid w:val="00415B33"/>
    <w:rsid w:val="00425DA3"/>
    <w:rsid w:val="00442368"/>
    <w:rsid w:val="00442F40"/>
    <w:rsid w:val="004500F4"/>
    <w:rsid w:val="004504B7"/>
    <w:rsid w:val="00452ABD"/>
    <w:rsid w:val="00457887"/>
    <w:rsid w:val="0046201E"/>
    <w:rsid w:val="00464D26"/>
    <w:rsid w:val="0046636F"/>
    <w:rsid w:val="004673F3"/>
    <w:rsid w:val="00471434"/>
    <w:rsid w:val="00472E8B"/>
    <w:rsid w:val="0047525D"/>
    <w:rsid w:val="00477390"/>
    <w:rsid w:val="00477FBA"/>
    <w:rsid w:val="00482E91"/>
    <w:rsid w:val="004857B8"/>
    <w:rsid w:val="00486400"/>
    <w:rsid w:val="00487378"/>
    <w:rsid w:val="00487613"/>
    <w:rsid w:val="00493247"/>
    <w:rsid w:val="004941E0"/>
    <w:rsid w:val="0049512B"/>
    <w:rsid w:val="00495770"/>
    <w:rsid w:val="004A479F"/>
    <w:rsid w:val="004A5792"/>
    <w:rsid w:val="004A58D2"/>
    <w:rsid w:val="004A674B"/>
    <w:rsid w:val="004A6C8E"/>
    <w:rsid w:val="004A7AA5"/>
    <w:rsid w:val="004B3A7A"/>
    <w:rsid w:val="004B51B2"/>
    <w:rsid w:val="004B5F76"/>
    <w:rsid w:val="004B60C5"/>
    <w:rsid w:val="004B61DF"/>
    <w:rsid w:val="004B71B1"/>
    <w:rsid w:val="004C2F44"/>
    <w:rsid w:val="004D05B5"/>
    <w:rsid w:val="004E115C"/>
    <w:rsid w:val="004E4776"/>
    <w:rsid w:val="004E7CDA"/>
    <w:rsid w:val="004F1568"/>
    <w:rsid w:val="0050640C"/>
    <w:rsid w:val="00510F23"/>
    <w:rsid w:val="00511DB1"/>
    <w:rsid w:val="00513CFE"/>
    <w:rsid w:val="00517001"/>
    <w:rsid w:val="00517AF6"/>
    <w:rsid w:val="00521553"/>
    <w:rsid w:val="00523457"/>
    <w:rsid w:val="00523F19"/>
    <w:rsid w:val="00525631"/>
    <w:rsid w:val="00525D79"/>
    <w:rsid w:val="005313A3"/>
    <w:rsid w:val="00532AC9"/>
    <w:rsid w:val="005332C7"/>
    <w:rsid w:val="00536A6C"/>
    <w:rsid w:val="005410E6"/>
    <w:rsid w:val="005423A1"/>
    <w:rsid w:val="00545B72"/>
    <w:rsid w:val="005520FB"/>
    <w:rsid w:val="005601CA"/>
    <w:rsid w:val="00560E6E"/>
    <w:rsid w:val="005626A0"/>
    <w:rsid w:val="00562DA4"/>
    <w:rsid w:val="0056345F"/>
    <w:rsid w:val="0056415D"/>
    <w:rsid w:val="00565A2A"/>
    <w:rsid w:val="00566F41"/>
    <w:rsid w:val="00574058"/>
    <w:rsid w:val="00574A6B"/>
    <w:rsid w:val="00582D19"/>
    <w:rsid w:val="00583BCA"/>
    <w:rsid w:val="005843AB"/>
    <w:rsid w:val="00590353"/>
    <w:rsid w:val="00591E06"/>
    <w:rsid w:val="005923CF"/>
    <w:rsid w:val="00596911"/>
    <w:rsid w:val="005A002E"/>
    <w:rsid w:val="005A01BC"/>
    <w:rsid w:val="005A138D"/>
    <w:rsid w:val="005A143C"/>
    <w:rsid w:val="005A5286"/>
    <w:rsid w:val="005A6C7F"/>
    <w:rsid w:val="005A705A"/>
    <w:rsid w:val="005A763B"/>
    <w:rsid w:val="005A7E9D"/>
    <w:rsid w:val="005B0818"/>
    <w:rsid w:val="005B787D"/>
    <w:rsid w:val="005C19FA"/>
    <w:rsid w:val="005C3AB7"/>
    <w:rsid w:val="005C3C6C"/>
    <w:rsid w:val="005C5942"/>
    <w:rsid w:val="005C6E8B"/>
    <w:rsid w:val="005D0B7D"/>
    <w:rsid w:val="005D48DF"/>
    <w:rsid w:val="005D49FC"/>
    <w:rsid w:val="005D4FEA"/>
    <w:rsid w:val="005D7F60"/>
    <w:rsid w:val="005E133F"/>
    <w:rsid w:val="005E1585"/>
    <w:rsid w:val="005F04F2"/>
    <w:rsid w:val="005F1688"/>
    <w:rsid w:val="005F4996"/>
    <w:rsid w:val="005F6D09"/>
    <w:rsid w:val="006018EB"/>
    <w:rsid w:val="00601FDB"/>
    <w:rsid w:val="00602BB3"/>
    <w:rsid w:val="006056D5"/>
    <w:rsid w:val="00612D3C"/>
    <w:rsid w:val="00617CD3"/>
    <w:rsid w:val="00623E20"/>
    <w:rsid w:val="00625581"/>
    <w:rsid w:val="0062651C"/>
    <w:rsid w:val="00631CE1"/>
    <w:rsid w:val="00632135"/>
    <w:rsid w:val="00633F07"/>
    <w:rsid w:val="00633F70"/>
    <w:rsid w:val="00634892"/>
    <w:rsid w:val="006354C0"/>
    <w:rsid w:val="00635DB6"/>
    <w:rsid w:val="00636F35"/>
    <w:rsid w:val="006404F3"/>
    <w:rsid w:val="00641597"/>
    <w:rsid w:val="00641E4A"/>
    <w:rsid w:val="0064329B"/>
    <w:rsid w:val="006478F7"/>
    <w:rsid w:val="0065347A"/>
    <w:rsid w:val="00653526"/>
    <w:rsid w:val="00654FE0"/>
    <w:rsid w:val="006617C6"/>
    <w:rsid w:val="006629EA"/>
    <w:rsid w:val="00664348"/>
    <w:rsid w:val="006659A0"/>
    <w:rsid w:val="0066676B"/>
    <w:rsid w:val="00671756"/>
    <w:rsid w:val="0067305B"/>
    <w:rsid w:val="006804CA"/>
    <w:rsid w:val="00680A77"/>
    <w:rsid w:val="00682847"/>
    <w:rsid w:val="006835CD"/>
    <w:rsid w:val="006840A9"/>
    <w:rsid w:val="00691BA2"/>
    <w:rsid w:val="00693379"/>
    <w:rsid w:val="0069442B"/>
    <w:rsid w:val="00696091"/>
    <w:rsid w:val="006975E5"/>
    <w:rsid w:val="006977AB"/>
    <w:rsid w:val="006A0156"/>
    <w:rsid w:val="006B2003"/>
    <w:rsid w:val="006C1665"/>
    <w:rsid w:val="006C20EE"/>
    <w:rsid w:val="006C5C84"/>
    <w:rsid w:val="006C74D6"/>
    <w:rsid w:val="006C7AC9"/>
    <w:rsid w:val="006D01B8"/>
    <w:rsid w:val="006D35C3"/>
    <w:rsid w:val="006D37AE"/>
    <w:rsid w:val="006D4541"/>
    <w:rsid w:val="006E2FE2"/>
    <w:rsid w:val="006E3878"/>
    <w:rsid w:val="006F049F"/>
    <w:rsid w:val="006F2664"/>
    <w:rsid w:val="006F3AB9"/>
    <w:rsid w:val="006F3AE1"/>
    <w:rsid w:val="006F67EF"/>
    <w:rsid w:val="006F6917"/>
    <w:rsid w:val="006F7CDE"/>
    <w:rsid w:val="00705325"/>
    <w:rsid w:val="00705789"/>
    <w:rsid w:val="007076C5"/>
    <w:rsid w:val="00711CB3"/>
    <w:rsid w:val="00713B0D"/>
    <w:rsid w:val="00714C34"/>
    <w:rsid w:val="007217DE"/>
    <w:rsid w:val="00723258"/>
    <w:rsid w:val="0072465B"/>
    <w:rsid w:val="00727AA2"/>
    <w:rsid w:val="00734933"/>
    <w:rsid w:val="0073582D"/>
    <w:rsid w:val="00737EA6"/>
    <w:rsid w:val="0074080B"/>
    <w:rsid w:val="00742DBA"/>
    <w:rsid w:val="007450A8"/>
    <w:rsid w:val="00754433"/>
    <w:rsid w:val="007548DA"/>
    <w:rsid w:val="00757563"/>
    <w:rsid w:val="00761944"/>
    <w:rsid w:val="00761D4C"/>
    <w:rsid w:val="00764C1B"/>
    <w:rsid w:val="00765253"/>
    <w:rsid w:val="007658ED"/>
    <w:rsid w:val="00766227"/>
    <w:rsid w:val="00766D66"/>
    <w:rsid w:val="00767B21"/>
    <w:rsid w:val="00771CBF"/>
    <w:rsid w:val="007734B8"/>
    <w:rsid w:val="00777392"/>
    <w:rsid w:val="00777BFD"/>
    <w:rsid w:val="007818E3"/>
    <w:rsid w:val="00782757"/>
    <w:rsid w:val="0078490E"/>
    <w:rsid w:val="00784BBA"/>
    <w:rsid w:val="00786588"/>
    <w:rsid w:val="00787884"/>
    <w:rsid w:val="00787E3A"/>
    <w:rsid w:val="00787F23"/>
    <w:rsid w:val="00790AF1"/>
    <w:rsid w:val="00790D47"/>
    <w:rsid w:val="00791507"/>
    <w:rsid w:val="00792908"/>
    <w:rsid w:val="00797785"/>
    <w:rsid w:val="007A1E14"/>
    <w:rsid w:val="007A2021"/>
    <w:rsid w:val="007A5670"/>
    <w:rsid w:val="007A608E"/>
    <w:rsid w:val="007A719A"/>
    <w:rsid w:val="007A7857"/>
    <w:rsid w:val="007B1950"/>
    <w:rsid w:val="007B1F1B"/>
    <w:rsid w:val="007B4472"/>
    <w:rsid w:val="007B48C6"/>
    <w:rsid w:val="007B4AEA"/>
    <w:rsid w:val="007B5D58"/>
    <w:rsid w:val="007B6718"/>
    <w:rsid w:val="007B68C7"/>
    <w:rsid w:val="007C0640"/>
    <w:rsid w:val="007C5300"/>
    <w:rsid w:val="007D30F4"/>
    <w:rsid w:val="007D6DF7"/>
    <w:rsid w:val="007D7328"/>
    <w:rsid w:val="007E2160"/>
    <w:rsid w:val="007E4058"/>
    <w:rsid w:val="007E5474"/>
    <w:rsid w:val="007E58DF"/>
    <w:rsid w:val="007F1906"/>
    <w:rsid w:val="007F418C"/>
    <w:rsid w:val="00801208"/>
    <w:rsid w:val="00804730"/>
    <w:rsid w:val="00805D9C"/>
    <w:rsid w:val="00805F86"/>
    <w:rsid w:val="0080752C"/>
    <w:rsid w:val="00811F72"/>
    <w:rsid w:val="00814138"/>
    <w:rsid w:val="00814953"/>
    <w:rsid w:val="00815106"/>
    <w:rsid w:val="008157B7"/>
    <w:rsid w:val="008164E1"/>
    <w:rsid w:val="0082160F"/>
    <w:rsid w:val="00832DB8"/>
    <w:rsid w:val="008330AF"/>
    <w:rsid w:val="00833EF2"/>
    <w:rsid w:val="008359D2"/>
    <w:rsid w:val="00840777"/>
    <w:rsid w:val="00844942"/>
    <w:rsid w:val="008459E4"/>
    <w:rsid w:val="00845A3E"/>
    <w:rsid w:val="008557E7"/>
    <w:rsid w:val="008636B6"/>
    <w:rsid w:val="0086626A"/>
    <w:rsid w:val="0087070A"/>
    <w:rsid w:val="00872FB1"/>
    <w:rsid w:val="00873704"/>
    <w:rsid w:val="00873F13"/>
    <w:rsid w:val="00875E69"/>
    <w:rsid w:val="00877B41"/>
    <w:rsid w:val="0088211E"/>
    <w:rsid w:val="008851E9"/>
    <w:rsid w:val="008900EE"/>
    <w:rsid w:val="00895234"/>
    <w:rsid w:val="008A14B4"/>
    <w:rsid w:val="008A46D9"/>
    <w:rsid w:val="008A75F2"/>
    <w:rsid w:val="008B547D"/>
    <w:rsid w:val="008B5FFC"/>
    <w:rsid w:val="008B671F"/>
    <w:rsid w:val="008B781A"/>
    <w:rsid w:val="008C418A"/>
    <w:rsid w:val="008C4DBA"/>
    <w:rsid w:val="008C53D1"/>
    <w:rsid w:val="008D0B1F"/>
    <w:rsid w:val="008D2452"/>
    <w:rsid w:val="008D3565"/>
    <w:rsid w:val="008D3D87"/>
    <w:rsid w:val="008D3FAD"/>
    <w:rsid w:val="008D4BE3"/>
    <w:rsid w:val="008E0BB2"/>
    <w:rsid w:val="008E1B99"/>
    <w:rsid w:val="008E3153"/>
    <w:rsid w:val="008E4027"/>
    <w:rsid w:val="008E6E11"/>
    <w:rsid w:val="008E767E"/>
    <w:rsid w:val="008E7917"/>
    <w:rsid w:val="008F4E13"/>
    <w:rsid w:val="008F578C"/>
    <w:rsid w:val="008F5923"/>
    <w:rsid w:val="008F630B"/>
    <w:rsid w:val="00900C09"/>
    <w:rsid w:val="00901B50"/>
    <w:rsid w:val="00902151"/>
    <w:rsid w:val="0090431A"/>
    <w:rsid w:val="00905C75"/>
    <w:rsid w:val="00907A46"/>
    <w:rsid w:val="009122EA"/>
    <w:rsid w:val="00912E42"/>
    <w:rsid w:val="009134F9"/>
    <w:rsid w:val="00915C96"/>
    <w:rsid w:val="00917097"/>
    <w:rsid w:val="00920564"/>
    <w:rsid w:val="00920891"/>
    <w:rsid w:val="00924D4C"/>
    <w:rsid w:val="00931CC0"/>
    <w:rsid w:val="0093281F"/>
    <w:rsid w:val="00933475"/>
    <w:rsid w:val="0093561E"/>
    <w:rsid w:val="009370A7"/>
    <w:rsid w:val="00937745"/>
    <w:rsid w:val="00937A8A"/>
    <w:rsid w:val="0094382B"/>
    <w:rsid w:val="0094588E"/>
    <w:rsid w:val="0095152D"/>
    <w:rsid w:val="009527AD"/>
    <w:rsid w:val="00955DC1"/>
    <w:rsid w:val="00961BBB"/>
    <w:rsid w:val="00963A5E"/>
    <w:rsid w:val="009658C0"/>
    <w:rsid w:val="00965C48"/>
    <w:rsid w:val="0096645B"/>
    <w:rsid w:val="0096659A"/>
    <w:rsid w:val="0097180B"/>
    <w:rsid w:val="00977F5E"/>
    <w:rsid w:val="00985A78"/>
    <w:rsid w:val="009866F5"/>
    <w:rsid w:val="00986FB9"/>
    <w:rsid w:val="00994053"/>
    <w:rsid w:val="00994415"/>
    <w:rsid w:val="009A3F53"/>
    <w:rsid w:val="009A4660"/>
    <w:rsid w:val="009A5609"/>
    <w:rsid w:val="009A6B40"/>
    <w:rsid w:val="009B02C9"/>
    <w:rsid w:val="009B515A"/>
    <w:rsid w:val="009B5636"/>
    <w:rsid w:val="009B5D43"/>
    <w:rsid w:val="009C252E"/>
    <w:rsid w:val="009C27BC"/>
    <w:rsid w:val="009D25DE"/>
    <w:rsid w:val="009D5D6D"/>
    <w:rsid w:val="009D6D9B"/>
    <w:rsid w:val="009E24C8"/>
    <w:rsid w:val="009E2BB6"/>
    <w:rsid w:val="009E4F81"/>
    <w:rsid w:val="009E61EC"/>
    <w:rsid w:val="009F2007"/>
    <w:rsid w:val="00A00DE9"/>
    <w:rsid w:val="00A0640A"/>
    <w:rsid w:val="00A06912"/>
    <w:rsid w:val="00A06B04"/>
    <w:rsid w:val="00A10F81"/>
    <w:rsid w:val="00A12F9F"/>
    <w:rsid w:val="00A17571"/>
    <w:rsid w:val="00A2327D"/>
    <w:rsid w:val="00A244FD"/>
    <w:rsid w:val="00A25BA3"/>
    <w:rsid w:val="00A30108"/>
    <w:rsid w:val="00A32CA2"/>
    <w:rsid w:val="00A377D3"/>
    <w:rsid w:val="00A406EE"/>
    <w:rsid w:val="00A45436"/>
    <w:rsid w:val="00A45C3C"/>
    <w:rsid w:val="00A46527"/>
    <w:rsid w:val="00A4792A"/>
    <w:rsid w:val="00A509B2"/>
    <w:rsid w:val="00A51ECD"/>
    <w:rsid w:val="00A52D39"/>
    <w:rsid w:val="00A54387"/>
    <w:rsid w:val="00A63321"/>
    <w:rsid w:val="00A63AAC"/>
    <w:rsid w:val="00A663B6"/>
    <w:rsid w:val="00A66948"/>
    <w:rsid w:val="00A70C86"/>
    <w:rsid w:val="00A73790"/>
    <w:rsid w:val="00A81158"/>
    <w:rsid w:val="00A85E04"/>
    <w:rsid w:val="00A86203"/>
    <w:rsid w:val="00A94DA6"/>
    <w:rsid w:val="00A94FE1"/>
    <w:rsid w:val="00AA2E61"/>
    <w:rsid w:val="00AB0A89"/>
    <w:rsid w:val="00AB0FDB"/>
    <w:rsid w:val="00AB720A"/>
    <w:rsid w:val="00AC00F5"/>
    <w:rsid w:val="00AC4A2F"/>
    <w:rsid w:val="00AD17EF"/>
    <w:rsid w:val="00AD2398"/>
    <w:rsid w:val="00AD46BC"/>
    <w:rsid w:val="00AD6736"/>
    <w:rsid w:val="00AD73E7"/>
    <w:rsid w:val="00AE0B8A"/>
    <w:rsid w:val="00AE1A79"/>
    <w:rsid w:val="00AE36B6"/>
    <w:rsid w:val="00AE6FD6"/>
    <w:rsid w:val="00AF0C9E"/>
    <w:rsid w:val="00AF0E90"/>
    <w:rsid w:val="00AF1C7A"/>
    <w:rsid w:val="00AF7C15"/>
    <w:rsid w:val="00B0181A"/>
    <w:rsid w:val="00B02D22"/>
    <w:rsid w:val="00B05F18"/>
    <w:rsid w:val="00B06D45"/>
    <w:rsid w:val="00B10BFE"/>
    <w:rsid w:val="00B10CD4"/>
    <w:rsid w:val="00B15108"/>
    <w:rsid w:val="00B15E13"/>
    <w:rsid w:val="00B21A57"/>
    <w:rsid w:val="00B252A9"/>
    <w:rsid w:val="00B2662D"/>
    <w:rsid w:val="00B31ACD"/>
    <w:rsid w:val="00B330FB"/>
    <w:rsid w:val="00B36867"/>
    <w:rsid w:val="00B40CC7"/>
    <w:rsid w:val="00B45337"/>
    <w:rsid w:val="00B525BD"/>
    <w:rsid w:val="00B52CCA"/>
    <w:rsid w:val="00B54CA0"/>
    <w:rsid w:val="00B54D51"/>
    <w:rsid w:val="00B603A9"/>
    <w:rsid w:val="00B609D1"/>
    <w:rsid w:val="00B6143D"/>
    <w:rsid w:val="00B6484E"/>
    <w:rsid w:val="00B7119B"/>
    <w:rsid w:val="00B712E3"/>
    <w:rsid w:val="00B72B3B"/>
    <w:rsid w:val="00B80A86"/>
    <w:rsid w:val="00B91DF1"/>
    <w:rsid w:val="00B947BF"/>
    <w:rsid w:val="00BA14C9"/>
    <w:rsid w:val="00BA1AA5"/>
    <w:rsid w:val="00BA34E8"/>
    <w:rsid w:val="00BB1441"/>
    <w:rsid w:val="00BB2029"/>
    <w:rsid w:val="00BB5228"/>
    <w:rsid w:val="00BC09BA"/>
    <w:rsid w:val="00BC31D2"/>
    <w:rsid w:val="00BC4F1E"/>
    <w:rsid w:val="00BD1BF1"/>
    <w:rsid w:val="00BE0C83"/>
    <w:rsid w:val="00BE42E9"/>
    <w:rsid w:val="00BE5D52"/>
    <w:rsid w:val="00BF0EA1"/>
    <w:rsid w:val="00BF1891"/>
    <w:rsid w:val="00BF4455"/>
    <w:rsid w:val="00BF782E"/>
    <w:rsid w:val="00C003F5"/>
    <w:rsid w:val="00C05E77"/>
    <w:rsid w:val="00C062AC"/>
    <w:rsid w:val="00C0733B"/>
    <w:rsid w:val="00C07B6B"/>
    <w:rsid w:val="00C07C98"/>
    <w:rsid w:val="00C13805"/>
    <w:rsid w:val="00C13C5C"/>
    <w:rsid w:val="00C13DF0"/>
    <w:rsid w:val="00C16B35"/>
    <w:rsid w:val="00C16D9D"/>
    <w:rsid w:val="00C229AA"/>
    <w:rsid w:val="00C234FD"/>
    <w:rsid w:val="00C23E8C"/>
    <w:rsid w:val="00C27D23"/>
    <w:rsid w:val="00C27D84"/>
    <w:rsid w:val="00C31DCB"/>
    <w:rsid w:val="00C32500"/>
    <w:rsid w:val="00C33ADF"/>
    <w:rsid w:val="00C346B2"/>
    <w:rsid w:val="00C3599F"/>
    <w:rsid w:val="00C370CE"/>
    <w:rsid w:val="00C45ED4"/>
    <w:rsid w:val="00C47B56"/>
    <w:rsid w:val="00C51B17"/>
    <w:rsid w:val="00C51B52"/>
    <w:rsid w:val="00C52837"/>
    <w:rsid w:val="00C564B1"/>
    <w:rsid w:val="00C61C9F"/>
    <w:rsid w:val="00C640CB"/>
    <w:rsid w:val="00C81EC4"/>
    <w:rsid w:val="00C8281B"/>
    <w:rsid w:val="00C84C7F"/>
    <w:rsid w:val="00C856A1"/>
    <w:rsid w:val="00C90F1F"/>
    <w:rsid w:val="00C920A0"/>
    <w:rsid w:val="00C9303B"/>
    <w:rsid w:val="00C952AF"/>
    <w:rsid w:val="00C9671C"/>
    <w:rsid w:val="00CA1025"/>
    <w:rsid w:val="00CA124E"/>
    <w:rsid w:val="00CA1977"/>
    <w:rsid w:val="00CB184B"/>
    <w:rsid w:val="00CB245A"/>
    <w:rsid w:val="00CB5207"/>
    <w:rsid w:val="00CB596F"/>
    <w:rsid w:val="00CB79A4"/>
    <w:rsid w:val="00CC0A0D"/>
    <w:rsid w:val="00CC3479"/>
    <w:rsid w:val="00CC3761"/>
    <w:rsid w:val="00CC3DB8"/>
    <w:rsid w:val="00CC43E6"/>
    <w:rsid w:val="00CC4624"/>
    <w:rsid w:val="00CD2C65"/>
    <w:rsid w:val="00CD3935"/>
    <w:rsid w:val="00CD664A"/>
    <w:rsid w:val="00CD7987"/>
    <w:rsid w:val="00CD7F92"/>
    <w:rsid w:val="00CE00D8"/>
    <w:rsid w:val="00CE1057"/>
    <w:rsid w:val="00CF7A94"/>
    <w:rsid w:val="00D0008C"/>
    <w:rsid w:val="00D021B9"/>
    <w:rsid w:val="00D077B8"/>
    <w:rsid w:val="00D101B5"/>
    <w:rsid w:val="00D13779"/>
    <w:rsid w:val="00D13F32"/>
    <w:rsid w:val="00D146A2"/>
    <w:rsid w:val="00D22E02"/>
    <w:rsid w:val="00D2304A"/>
    <w:rsid w:val="00D241A1"/>
    <w:rsid w:val="00D33709"/>
    <w:rsid w:val="00D349B5"/>
    <w:rsid w:val="00D34A31"/>
    <w:rsid w:val="00D369EA"/>
    <w:rsid w:val="00D36FB8"/>
    <w:rsid w:val="00D43E9F"/>
    <w:rsid w:val="00D44A82"/>
    <w:rsid w:val="00D5060F"/>
    <w:rsid w:val="00D50F27"/>
    <w:rsid w:val="00D52DD2"/>
    <w:rsid w:val="00D52FFC"/>
    <w:rsid w:val="00D57684"/>
    <w:rsid w:val="00D57A0A"/>
    <w:rsid w:val="00D72830"/>
    <w:rsid w:val="00D76338"/>
    <w:rsid w:val="00D76F0C"/>
    <w:rsid w:val="00D839B2"/>
    <w:rsid w:val="00D865EF"/>
    <w:rsid w:val="00D871FD"/>
    <w:rsid w:val="00D87330"/>
    <w:rsid w:val="00D9124A"/>
    <w:rsid w:val="00DA1EC7"/>
    <w:rsid w:val="00DA3B90"/>
    <w:rsid w:val="00DA49B0"/>
    <w:rsid w:val="00DA5110"/>
    <w:rsid w:val="00DA7B76"/>
    <w:rsid w:val="00DA7F1E"/>
    <w:rsid w:val="00DB39A4"/>
    <w:rsid w:val="00DB3C10"/>
    <w:rsid w:val="00DB4287"/>
    <w:rsid w:val="00DB44F8"/>
    <w:rsid w:val="00DB4CD0"/>
    <w:rsid w:val="00DC035D"/>
    <w:rsid w:val="00DC1E08"/>
    <w:rsid w:val="00DC21A0"/>
    <w:rsid w:val="00DC45D7"/>
    <w:rsid w:val="00DC4B67"/>
    <w:rsid w:val="00DC7288"/>
    <w:rsid w:val="00DD0021"/>
    <w:rsid w:val="00DD2B32"/>
    <w:rsid w:val="00DD5BB5"/>
    <w:rsid w:val="00DD662A"/>
    <w:rsid w:val="00DE2A8B"/>
    <w:rsid w:val="00DE41FB"/>
    <w:rsid w:val="00DE5361"/>
    <w:rsid w:val="00DE70B3"/>
    <w:rsid w:val="00DF33BA"/>
    <w:rsid w:val="00DF4A85"/>
    <w:rsid w:val="00DF5F29"/>
    <w:rsid w:val="00E03A3E"/>
    <w:rsid w:val="00E04069"/>
    <w:rsid w:val="00E06059"/>
    <w:rsid w:val="00E125B9"/>
    <w:rsid w:val="00E12E89"/>
    <w:rsid w:val="00E150D2"/>
    <w:rsid w:val="00E174A3"/>
    <w:rsid w:val="00E22CE0"/>
    <w:rsid w:val="00E2466B"/>
    <w:rsid w:val="00E300A0"/>
    <w:rsid w:val="00E339A5"/>
    <w:rsid w:val="00E35702"/>
    <w:rsid w:val="00E419DB"/>
    <w:rsid w:val="00E4348A"/>
    <w:rsid w:val="00E468BD"/>
    <w:rsid w:val="00E471C6"/>
    <w:rsid w:val="00E52B7E"/>
    <w:rsid w:val="00E53C3E"/>
    <w:rsid w:val="00E56A85"/>
    <w:rsid w:val="00E61201"/>
    <w:rsid w:val="00E61713"/>
    <w:rsid w:val="00E61C76"/>
    <w:rsid w:val="00E624CF"/>
    <w:rsid w:val="00E62A86"/>
    <w:rsid w:val="00E638F3"/>
    <w:rsid w:val="00E63FC7"/>
    <w:rsid w:val="00E64734"/>
    <w:rsid w:val="00E65119"/>
    <w:rsid w:val="00E729FA"/>
    <w:rsid w:val="00E740A0"/>
    <w:rsid w:val="00E748EA"/>
    <w:rsid w:val="00E77D2F"/>
    <w:rsid w:val="00E83F9D"/>
    <w:rsid w:val="00E9211B"/>
    <w:rsid w:val="00E9564E"/>
    <w:rsid w:val="00E95775"/>
    <w:rsid w:val="00E95D73"/>
    <w:rsid w:val="00E96089"/>
    <w:rsid w:val="00E96C27"/>
    <w:rsid w:val="00E96EEF"/>
    <w:rsid w:val="00EA1B10"/>
    <w:rsid w:val="00EA5027"/>
    <w:rsid w:val="00EA64FC"/>
    <w:rsid w:val="00EA6A9F"/>
    <w:rsid w:val="00EA6E0D"/>
    <w:rsid w:val="00EA73E9"/>
    <w:rsid w:val="00EC2CD6"/>
    <w:rsid w:val="00EC391D"/>
    <w:rsid w:val="00EC7989"/>
    <w:rsid w:val="00ED0821"/>
    <w:rsid w:val="00ED10D3"/>
    <w:rsid w:val="00ED50CA"/>
    <w:rsid w:val="00EE2353"/>
    <w:rsid w:val="00EE26E6"/>
    <w:rsid w:val="00EF0178"/>
    <w:rsid w:val="00EF09E9"/>
    <w:rsid w:val="00EF33BC"/>
    <w:rsid w:val="00EF67E5"/>
    <w:rsid w:val="00EF6F7C"/>
    <w:rsid w:val="00F12B1C"/>
    <w:rsid w:val="00F1375E"/>
    <w:rsid w:val="00F1532A"/>
    <w:rsid w:val="00F16325"/>
    <w:rsid w:val="00F166A0"/>
    <w:rsid w:val="00F254A3"/>
    <w:rsid w:val="00F26644"/>
    <w:rsid w:val="00F310A8"/>
    <w:rsid w:val="00F31DC0"/>
    <w:rsid w:val="00F33D1E"/>
    <w:rsid w:val="00F35649"/>
    <w:rsid w:val="00F43ABA"/>
    <w:rsid w:val="00F442F7"/>
    <w:rsid w:val="00F448EE"/>
    <w:rsid w:val="00F45210"/>
    <w:rsid w:val="00F461C3"/>
    <w:rsid w:val="00F47987"/>
    <w:rsid w:val="00F5091C"/>
    <w:rsid w:val="00F50BB3"/>
    <w:rsid w:val="00F514C4"/>
    <w:rsid w:val="00F52609"/>
    <w:rsid w:val="00F555DC"/>
    <w:rsid w:val="00F609BA"/>
    <w:rsid w:val="00F63189"/>
    <w:rsid w:val="00F719F7"/>
    <w:rsid w:val="00F75A84"/>
    <w:rsid w:val="00F836C4"/>
    <w:rsid w:val="00F86E9E"/>
    <w:rsid w:val="00F90673"/>
    <w:rsid w:val="00F957C2"/>
    <w:rsid w:val="00FA3F83"/>
    <w:rsid w:val="00FB005F"/>
    <w:rsid w:val="00FB04DD"/>
    <w:rsid w:val="00FB35EE"/>
    <w:rsid w:val="00FB57AB"/>
    <w:rsid w:val="00FB6AE5"/>
    <w:rsid w:val="00FB736B"/>
    <w:rsid w:val="00FC0925"/>
    <w:rsid w:val="00FC23C5"/>
    <w:rsid w:val="00FC6B06"/>
    <w:rsid w:val="00FC7E9C"/>
    <w:rsid w:val="00FD0C73"/>
    <w:rsid w:val="00FE121E"/>
    <w:rsid w:val="00FE34F1"/>
    <w:rsid w:val="00FE6513"/>
    <w:rsid w:val="00FE6E14"/>
    <w:rsid w:val="00FF5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0CF4"/>
  <w15:chartTrackingRefBased/>
  <w15:docId w15:val="{EFC68F19-BC8D-3545-9E3F-E5C2AB60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C84"/>
    <w:pPr>
      <w:keepNext/>
      <w:keepLines/>
      <w:spacing w:before="360" w:after="80"/>
      <w:jc w:val="center"/>
      <w:outlineLvl w:val="0"/>
    </w:pPr>
    <w:rPr>
      <w:rFonts w:ascii="Times New Roman" w:eastAsiaTheme="majorEastAsia" w:hAnsi="Times New Roman" w:cstheme="majorBidi"/>
      <w:b/>
      <w:color w:val="000000" w:themeColor="text1"/>
      <w:szCs w:val="40"/>
    </w:rPr>
  </w:style>
  <w:style w:type="paragraph" w:styleId="Heading2">
    <w:name w:val="heading 2"/>
    <w:basedOn w:val="Normal"/>
    <w:next w:val="Normal"/>
    <w:link w:val="Heading2Char"/>
    <w:uiPriority w:val="9"/>
    <w:unhideWhenUsed/>
    <w:qFormat/>
    <w:rsid w:val="006C5C84"/>
    <w:pPr>
      <w:keepNext/>
      <w:keepLines/>
      <w:spacing w:before="160" w:after="8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A23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C84"/>
    <w:rPr>
      <w:rFonts w:ascii="Times New Roman" w:eastAsiaTheme="majorEastAsia" w:hAnsi="Times New Roman" w:cstheme="majorBidi"/>
      <w:b/>
      <w:color w:val="000000" w:themeColor="text1"/>
      <w:szCs w:val="40"/>
    </w:rPr>
  </w:style>
  <w:style w:type="character" w:customStyle="1" w:styleId="Heading2Char">
    <w:name w:val="Heading 2 Char"/>
    <w:basedOn w:val="DefaultParagraphFont"/>
    <w:link w:val="Heading2"/>
    <w:uiPriority w:val="9"/>
    <w:rsid w:val="006C5C84"/>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A23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27D"/>
    <w:rPr>
      <w:rFonts w:eastAsiaTheme="majorEastAsia" w:cstheme="majorBidi"/>
      <w:color w:val="272727" w:themeColor="text1" w:themeTint="D8"/>
    </w:rPr>
  </w:style>
  <w:style w:type="paragraph" w:styleId="Title">
    <w:name w:val="Title"/>
    <w:basedOn w:val="Normal"/>
    <w:next w:val="Normal"/>
    <w:link w:val="TitleChar"/>
    <w:uiPriority w:val="10"/>
    <w:qFormat/>
    <w:rsid w:val="00A2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27D"/>
    <w:pPr>
      <w:spacing w:before="160"/>
      <w:jc w:val="center"/>
    </w:pPr>
    <w:rPr>
      <w:i/>
      <w:iCs/>
      <w:color w:val="404040" w:themeColor="text1" w:themeTint="BF"/>
    </w:rPr>
  </w:style>
  <w:style w:type="character" w:customStyle="1" w:styleId="QuoteChar">
    <w:name w:val="Quote Char"/>
    <w:basedOn w:val="DefaultParagraphFont"/>
    <w:link w:val="Quote"/>
    <w:uiPriority w:val="29"/>
    <w:rsid w:val="00A2327D"/>
    <w:rPr>
      <w:i/>
      <w:iCs/>
      <w:color w:val="404040" w:themeColor="text1" w:themeTint="BF"/>
    </w:rPr>
  </w:style>
  <w:style w:type="paragraph" w:styleId="ListParagraph">
    <w:name w:val="List Paragraph"/>
    <w:basedOn w:val="Normal"/>
    <w:uiPriority w:val="1"/>
    <w:qFormat/>
    <w:rsid w:val="00A2327D"/>
    <w:pPr>
      <w:ind w:left="720"/>
      <w:contextualSpacing/>
    </w:pPr>
  </w:style>
  <w:style w:type="character" w:styleId="IntenseEmphasis">
    <w:name w:val="Intense Emphasis"/>
    <w:basedOn w:val="DefaultParagraphFont"/>
    <w:uiPriority w:val="21"/>
    <w:qFormat/>
    <w:rsid w:val="00A2327D"/>
    <w:rPr>
      <w:i/>
      <w:iCs/>
      <w:color w:val="0F4761" w:themeColor="accent1" w:themeShade="BF"/>
    </w:rPr>
  </w:style>
  <w:style w:type="paragraph" w:styleId="IntenseQuote">
    <w:name w:val="Intense Quote"/>
    <w:basedOn w:val="Normal"/>
    <w:next w:val="Normal"/>
    <w:link w:val="IntenseQuoteChar"/>
    <w:uiPriority w:val="30"/>
    <w:qFormat/>
    <w:rsid w:val="00A2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27D"/>
    <w:rPr>
      <w:i/>
      <w:iCs/>
      <w:color w:val="0F4761" w:themeColor="accent1" w:themeShade="BF"/>
    </w:rPr>
  </w:style>
  <w:style w:type="character" w:styleId="IntenseReference">
    <w:name w:val="Intense Reference"/>
    <w:basedOn w:val="DefaultParagraphFont"/>
    <w:uiPriority w:val="32"/>
    <w:qFormat/>
    <w:rsid w:val="00A2327D"/>
    <w:rPr>
      <w:b/>
      <w:bCs/>
      <w:smallCaps/>
      <w:color w:val="0F4761" w:themeColor="accent1" w:themeShade="BF"/>
      <w:spacing w:val="5"/>
    </w:rPr>
  </w:style>
  <w:style w:type="paragraph" w:styleId="Header">
    <w:name w:val="header"/>
    <w:basedOn w:val="Normal"/>
    <w:link w:val="HeaderChar"/>
    <w:uiPriority w:val="99"/>
    <w:unhideWhenUsed/>
    <w:rsid w:val="00901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B50"/>
  </w:style>
  <w:style w:type="paragraph" w:styleId="Footer">
    <w:name w:val="footer"/>
    <w:basedOn w:val="Normal"/>
    <w:link w:val="FooterChar"/>
    <w:uiPriority w:val="99"/>
    <w:unhideWhenUsed/>
    <w:rsid w:val="00901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B50"/>
  </w:style>
  <w:style w:type="character" w:styleId="PageNumber">
    <w:name w:val="page number"/>
    <w:basedOn w:val="DefaultParagraphFont"/>
    <w:uiPriority w:val="99"/>
    <w:semiHidden/>
    <w:unhideWhenUsed/>
    <w:rsid w:val="00901B50"/>
  </w:style>
  <w:style w:type="table" w:styleId="TableGrid">
    <w:name w:val="Table Grid"/>
    <w:basedOn w:val="TableNormal"/>
    <w:uiPriority w:val="39"/>
    <w:rsid w:val="007E5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3282"/>
    <w:rPr>
      <w:color w:val="467886" w:themeColor="hyperlink"/>
      <w:u w:val="single"/>
    </w:rPr>
  </w:style>
  <w:style w:type="character" w:styleId="UnresolvedMention">
    <w:name w:val="Unresolved Mention"/>
    <w:basedOn w:val="DefaultParagraphFont"/>
    <w:uiPriority w:val="99"/>
    <w:semiHidden/>
    <w:unhideWhenUsed/>
    <w:rsid w:val="002F3282"/>
    <w:rPr>
      <w:color w:val="605E5C"/>
      <w:shd w:val="clear" w:color="auto" w:fill="E1DFDD"/>
    </w:rPr>
  </w:style>
  <w:style w:type="table" w:styleId="GridTable5Dark-Accent1">
    <w:name w:val="Grid Table 5 Dark Accent 1"/>
    <w:basedOn w:val="TableNormal"/>
    <w:uiPriority w:val="50"/>
    <w:rsid w:val="004013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Accent1">
    <w:name w:val="Grid Table 4 Accent 1"/>
    <w:basedOn w:val="TableNormal"/>
    <w:uiPriority w:val="49"/>
    <w:rsid w:val="004013D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TableParagraph">
    <w:name w:val="Table Paragraph"/>
    <w:basedOn w:val="Normal"/>
    <w:uiPriority w:val="1"/>
    <w:qFormat/>
    <w:rsid w:val="00D22E02"/>
    <w:pPr>
      <w:widowControl w:val="0"/>
      <w:autoSpaceDE w:val="0"/>
      <w:autoSpaceDN w:val="0"/>
      <w:spacing w:after="0" w:line="255" w:lineRule="exact"/>
      <w:ind w:left="108"/>
    </w:pPr>
    <w:rPr>
      <w:rFonts w:ascii="Times New Roman" w:eastAsia="Times New Roman" w:hAnsi="Times New Roman" w:cs="Times New Roman"/>
      <w:kern w:val="0"/>
      <w:sz w:val="22"/>
      <w:szCs w:val="22"/>
      <w14:ligatures w14:val="none"/>
    </w:rPr>
  </w:style>
  <w:style w:type="paragraph" w:styleId="BodyText">
    <w:name w:val="Body Text"/>
    <w:basedOn w:val="Normal"/>
    <w:link w:val="BodyTextChar"/>
    <w:uiPriority w:val="1"/>
    <w:qFormat/>
    <w:rsid w:val="0080752C"/>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80752C"/>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F0736"/>
    <w:pPr>
      <w:spacing w:before="100" w:beforeAutospacing="1" w:after="100" w:afterAutospacing="1" w:line="240" w:lineRule="auto"/>
    </w:pPr>
    <w:rPr>
      <w:rFonts w:ascii="Times New Roman" w:hAnsi="Times New Roman" w:cs="Times New Roman"/>
      <w:kern w:val="0"/>
      <w14:ligatures w14:val="none"/>
    </w:rPr>
  </w:style>
  <w:style w:type="paragraph" w:styleId="TOCHeading">
    <w:name w:val="TOC Heading"/>
    <w:basedOn w:val="Heading1"/>
    <w:next w:val="Normal"/>
    <w:uiPriority w:val="39"/>
    <w:unhideWhenUsed/>
    <w:qFormat/>
    <w:rsid w:val="00994053"/>
    <w:pPr>
      <w:spacing w:before="240"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994053"/>
    <w:pPr>
      <w:spacing w:after="100"/>
    </w:pPr>
  </w:style>
  <w:style w:type="paragraph" w:styleId="TOC2">
    <w:name w:val="toc 2"/>
    <w:basedOn w:val="Normal"/>
    <w:next w:val="Normal"/>
    <w:autoRedefine/>
    <w:uiPriority w:val="39"/>
    <w:unhideWhenUsed/>
    <w:rsid w:val="0099405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009660">
      <w:bodyDiv w:val="1"/>
      <w:marLeft w:val="0"/>
      <w:marRight w:val="0"/>
      <w:marTop w:val="0"/>
      <w:marBottom w:val="0"/>
      <w:divBdr>
        <w:top w:val="none" w:sz="0" w:space="0" w:color="auto"/>
        <w:left w:val="none" w:sz="0" w:space="0" w:color="auto"/>
        <w:bottom w:val="none" w:sz="0" w:space="0" w:color="auto"/>
        <w:right w:val="none" w:sz="0" w:space="0" w:color="auto"/>
      </w:divBdr>
    </w:div>
    <w:div w:id="1327125056">
      <w:bodyDiv w:val="1"/>
      <w:marLeft w:val="0"/>
      <w:marRight w:val="0"/>
      <w:marTop w:val="0"/>
      <w:marBottom w:val="0"/>
      <w:divBdr>
        <w:top w:val="none" w:sz="0" w:space="0" w:color="auto"/>
        <w:left w:val="none" w:sz="0" w:space="0" w:color="auto"/>
        <w:bottom w:val="none" w:sz="0" w:space="0" w:color="auto"/>
        <w:right w:val="none" w:sz="0" w:space="0" w:color="auto"/>
      </w:divBdr>
    </w:div>
    <w:div w:id="163332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mpra.ub.uni-muenchen.de/110333/" TargetMode="Externa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sz="1400"/>
              <a:t>Management Expenses to Premium(%) </a:t>
            </a:r>
          </a:p>
        </c:rich>
      </c:tx>
      <c:layout>
        <c:manualLayout>
          <c:xMode val="edge"/>
          <c:yMode val="edge"/>
          <c:x val="0.26164676744783755"/>
          <c:y val="0"/>
        </c:manualLayout>
      </c:layout>
      <c:overlay val="0"/>
      <c:spPr>
        <a:noFill/>
        <a:ln>
          <a:noFill/>
        </a:ln>
        <a:effectLst/>
      </c:spPr>
      <c:txPr>
        <a:bodyPr rot="0" spcFirstLastPara="1" vertOverflow="ellipsis" vert="horz" wrap="square" anchor="ctr" anchorCtr="1"/>
        <a:lstStyle/>
        <a:p>
          <a:pPr>
            <a:defRPr sz="14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'[premium claim growth mgt exp, claim.%.xlsx]Sheet1'!$B$26</c:f>
              <c:strCache>
                <c:ptCount val="1"/>
                <c:pt idx="0">
                  <c:v>Commission Exp.</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'[premium claim growth mgt exp, claim.%.xlsx]Sheet1'!$A$27:$A$34</c:f>
              <c:numCache>
                <c:formatCode>General</c:formatCode>
                <c:ptCount val="8"/>
                <c:pt idx="0">
                  <c:v>2015</c:v>
                </c:pt>
                <c:pt idx="1">
                  <c:v>2016</c:v>
                </c:pt>
                <c:pt idx="2">
                  <c:v>2017</c:v>
                </c:pt>
                <c:pt idx="3">
                  <c:v>2018</c:v>
                </c:pt>
                <c:pt idx="4">
                  <c:v>2019</c:v>
                </c:pt>
                <c:pt idx="5">
                  <c:v>2020</c:v>
                </c:pt>
                <c:pt idx="6">
                  <c:v>2021</c:v>
                </c:pt>
                <c:pt idx="7">
                  <c:v>2022</c:v>
                </c:pt>
              </c:numCache>
            </c:numRef>
          </c:cat>
          <c:val>
            <c:numRef>
              <c:f>'[premium claim growth mgt exp, claim.%.xlsx]Sheet1'!$B$27:$B$34</c:f>
              <c:numCache>
                <c:formatCode>0.00%</c:formatCode>
                <c:ptCount val="8"/>
                <c:pt idx="0">
                  <c:v>0.13750000000000001</c:v>
                </c:pt>
                <c:pt idx="1">
                  <c:v>0.14080000000000001</c:v>
                </c:pt>
                <c:pt idx="2">
                  <c:v>0.1449</c:v>
                </c:pt>
                <c:pt idx="3">
                  <c:v>0.1464</c:v>
                </c:pt>
                <c:pt idx="4">
                  <c:v>0.1658</c:v>
                </c:pt>
                <c:pt idx="5">
                  <c:v>0.153</c:v>
                </c:pt>
                <c:pt idx="6">
                  <c:v>0.15459999999999999</c:v>
                </c:pt>
                <c:pt idx="7">
                  <c:v>0.1444</c:v>
                </c:pt>
              </c:numCache>
            </c:numRef>
          </c:val>
          <c:extLst>
            <c:ext xmlns:c16="http://schemas.microsoft.com/office/drawing/2014/chart" uri="{C3380CC4-5D6E-409C-BE32-E72D297353CC}">
              <c16:uniqueId val="{00000000-683D-F848-B46D-967B32D01B27}"/>
            </c:ext>
          </c:extLst>
        </c:ser>
        <c:ser>
          <c:idx val="1"/>
          <c:order val="1"/>
          <c:tx>
            <c:strRef>
              <c:f>'[premium claim growth mgt exp, claim.%.xlsx]Sheet1'!$C$26</c:f>
              <c:strCache>
                <c:ptCount val="1"/>
                <c:pt idx="0">
                  <c:v>Other Add. Exp.</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'[premium claim growth mgt exp, claim.%.xlsx]Sheet1'!$A$27:$A$34</c:f>
              <c:numCache>
                <c:formatCode>General</c:formatCode>
                <c:ptCount val="8"/>
                <c:pt idx="0">
                  <c:v>2015</c:v>
                </c:pt>
                <c:pt idx="1">
                  <c:v>2016</c:v>
                </c:pt>
                <c:pt idx="2">
                  <c:v>2017</c:v>
                </c:pt>
                <c:pt idx="3">
                  <c:v>2018</c:v>
                </c:pt>
                <c:pt idx="4">
                  <c:v>2019</c:v>
                </c:pt>
                <c:pt idx="5">
                  <c:v>2020</c:v>
                </c:pt>
                <c:pt idx="6">
                  <c:v>2021</c:v>
                </c:pt>
                <c:pt idx="7">
                  <c:v>2022</c:v>
                </c:pt>
              </c:numCache>
            </c:numRef>
          </c:cat>
          <c:val>
            <c:numRef>
              <c:f>'[premium claim growth mgt exp, claim.%.xlsx]Sheet1'!$C$27:$C$34</c:f>
              <c:numCache>
                <c:formatCode>0.00%</c:formatCode>
                <c:ptCount val="8"/>
                <c:pt idx="0">
                  <c:v>0.1701</c:v>
                </c:pt>
                <c:pt idx="1">
                  <c:v>0.16389999999999999</c:v>
                </c:pt>
                <c:pt idx="2">
                  <c:v>0.16800000000000001</c:v>
                </c:pt>
                <c:pt idx="3">
                  <c:v>0.16259999999999999</c:v>
                </c:pt>
                <c:pt idx="4">
                  <c:v>0.15160000000000001</c:v>
                </c:pt>
                <c:pt idx="5">
                  <c:v>0.13650000000000001</c:v>
                </c:pt>
                <c:pt idx="6">
                  <c:v>0.123</c:v>
                </c:pt>
                <c:pt idx="7">
                  <c:v>0.1179</c:v>
                </c:pt>
              </c:numCache>
            </c:numRef>
          </c:val>
          <c:extLst>
            <c:ext xmlns:c16="http://schemas.microsoft.com/office/drawing/2014/chart" uri="{C3380CC4-5D6E-409C-BE32-E72D297353CC}">
              <c16:uniqueId val="{00000001-683D-F848-B46D-967B32D01B27}"/>
            </c:ext>
          </c:extLst>
        </c:ser>
        <c:dLbls>
          <c:dLblPos val="outEnd"/>
          <c:showLegendKey val="0"/>
          <c:showVal val="1"/>
          <c:showCatName val="0"/>
          <c:showSerName val="0"/>
          <c:showPercent val="0"/>
          <c:showBubbleSize val="0"/>
        </c:dLbls>
        <c:gapWidth val="100"/>
        <c:overlap val="-24"/>
        <c:axId val="831526399"/>
        <c:axId val="831526719"/>
      </c:barChart>
      <c:catAx>
        <c:axId val="83152639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31526719"/>
        <c:crosses val="autoZero"/>
        <c:auto val="1"/>
        <c:lblAlgn val="ctr"/>
        <c:lblOffset val="100"/>
        <c:noMultiLvlLbl val="0"/>
      </c:catAx>
      <c:valAx>
        <c:axId val="831526719"/>
        <c:scaling>
          <c:orientation val="minMax"/>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831526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rPr>
              <a:t>EPS &amp; Divided Rate</a:t>
            </a: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'[EpS &amp; Div.xlsx]Sheet1'!$B$1</c:f>
              <c:strCache>
                <c:ptCount val="1"/>
                <c:pt idx="0">
                  <c:v>EPS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dLbl>
              <c:idx val="4"/>
              <c:layout>
                <c:manualLayout>
                  <c:x val="-1.0635603508367681E-16"/>
                  <c:y val="4.669624095260331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52C-4D55-8BCC-537F47FE9E57}"/>
                </c:ext>
              </c:extLst>
            </c:dLbl>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'[EpS &amp; Div.xlsx]Sheet1'!$A$2:$A$6</c:f>
              <c:numCache>
                <c:formatCode>General</c:formatCode>
                <c:ptCount val="5"/>
                <c:pt idx="0">
                  <c:v>2018</c:v>
                </c:pt>
                <c:pt idx="1">
                  <c:v>2019</c:v>
                </c:pt>
                <c:pt idx="2">
                  <c:v>2020</c:v>
                </c:pt>
                <c:pt idx="3">
                  <c:v>2021</c:v>
                </c:pt>
                <c:pt idx="4">
                  <c:v>2022</c:v>
                </c:pt>
              </c:numCache>
            </c:numRef>
          </c:cat>
          <c:val>
            <c:numRef>
              <c:f>'[EpS &amp; Div.xlsx]Sheet1'!$B$2:$B$6</c:f>
              <c:numCache>
                <c:formatCode>General</c:formatCode>
                <c:ptCount val="5"/>
                <c:pt idx="0">
                  <c:v>3.08</c:v>
                </c:pt>
                <c:pt idx="1">
                  <c:v>2.92</c:v>
                </c:pt>
                <c:pt idx="2">
                  <c:v>3.76</c:v>
                </c:pt>
                <c:pt idx="3">
                  <c:v>3.84</c:v>
                </c:pt>
                <c:pt idx="4">
                  <c:v>5.78</c:v>
                </c:pt>
              </c:numCache>
            </c:numRef>
          </c:val>
          <c:extLst>
            <c:ext xmlns:c16="http://schemas.microsoft.com/office/drawing/2014/chart" uri="{C3380CC4-5D6E-409C-BE32-E72D297353CC}">
              <c16:uniqueId val="{00000000-929E-4C42-BEC2-BA1C0292F5E0}"/>
            </c:ext>
          </c:extLst>
        </c:ser>
        <c:dLbls>
          <c:showLegendKey val="0"/>
          <c:showVal val="1"/>
          <c:showCatName val="0"/>
          <c:showSerName val="0"/>
          <c:showPercent val="0"/>
          <c:showBubbleSize val="0"/>
        </c:dLbls>
        <c:gapWidth val="269"/>
        <c:axId val="1937785919"/>
        <c:axId val="1937788479"/>
      </c:barChart>
      <c:lineChart>
        <c:grouping val="standard"/>
        <c:varyColors val="0"/>
        <c:ser>
          <c:idx val="1"/>
          <c:order val="1"/>
          <c:tx>
            <c:strRef>
              <c:f>'[EpS &amp; Div.xlsx]Sheet1'!$C$1</c:f>
              <c:strCache>
                <c:ptCount val="1"/>
                <c:pt idx="0">
                  <c:v>Divided Rate</c:v>
                </c:pt>
              </c:strCache>
            </c:strRef>
          </c:tx>
          <c:spPr>
            <a:ln w="31750" cap="rnd">
              <a:solidFill>
                <a:schemeClr val="accent2"/>
              </a:solidFill>
              <a:round/>
            </a:ln>
            <a:effectLst/>
          </c:spPr>
          <c:marker>
            <c:symbol val="none"/>
          </c:marker>
          <c:dLbls>
            <c:dLbl>
              <c:idx val="0"/>
              <c:layout>
                <c:manualLayout>
                  <c:x val="-4.060913705583756E-2"/>
                  <c:y val="-2.80177445715619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52C-4D55-8BCC-537F47FE9E57}"/>
                </c:ext>
              </c:extLst>
            </c:dLbl>
            <c:dLbl>
              <c:idx val="1"/>
              <c:layout>
                <c:manualLayout>
                  <c:x val="-4.6410442349528645E-2"/>
                  <c:y val="3.73569927620826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52C-4D55-8BCC-537F47FE9E57}"/>
                </c:ext>
              </c:extLst>
            </c:dLbl>
            <c:dLbl>
              <c:idx val="2"/>
              <c:layout>
                <c:manualLayout>
                  <c:x val="-4.6410442349528645E-2"/>
                  <c:y val="-3.26873686668223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52C-4D55-8BCC-537F47FE9E57}"/>
                </c:ext>
              </c:extLst>
            </c:dLbl>
            <c:dLbl>
              <c:idx val="3"/>
              <c:layout>
                <c:manualLayout>
                  <c:x val="-4.9311094996374184E-2"/>
                  <c:y val="-3.73569927620826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52C-4D55-8BCC-537F47FE9E57}"/>
                </c:ext>
              </c:extLst>
            </c:dLbl>
            <c:dLbl>
              <c:idx val="4"/>
              <c:layout>
                <c:manualLayout>
                  <c:x val="-5.2211747643219723E-2"/>
                  <c:y val="-3.268736866682234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52C-4D55-8BCC-537F47FE9E57}"/>
                </c:ext>
              </c:extLst>
            </c:dLbl>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'[EpS &amp; Div.xlsx]Sheet1'!$A$2:$A$6</c:f>
              <c:numCache>
                <c:formatCode>General</c:formatCode>
                <c:ptCount val="5"/>
                <c:pt idx="0">
                  <c:v>2018</c:v>
                </c:pt>
                <c:pt idx="1">
                  <c:v>2019</c:v>
                </c:pt>
                <c:pt idx="2">
                  <c:v>2020</c:v>
                </c:pt>
                <c:pt idx="3">
                  <c:v>2021</c:v>
                </c:pt>
                <c:pt idx="4">
                  <c:v>2022</c:v>
                </c:pt>
              </c:numCache>
            </c:numRef>
          </c:cat>
          <c:val>
            <c:numRef>
              <c:f>'[EpS &amp; Div.xlsx]Sheet1'!$C$2:$C$6</c:f>
              <c:numCache>
                <c:formatCode>0%</c:formatCode>
                <c:ptCount val="5"/>
                <c:pt idx="0">
                  <c:v>0.3</c:v>
                </c:pt>
                <c:pt idx="1">
                  <c:v>0.28000000000000003</c:v>
                </c:pt>
                <c:pt idx="2">
                  <c:v>0.32</c:v>
                </c:pt>
                <c:pt idx="3">
                  <c:v>0.35</c:v>
                </c:pt>
                <c:pt idx="4">
                  <c:v>0.38</c:v>
                </c:pt>
              </c:numCache>
            </c:numRef>
          </c:val>
          <c:smooth val="0"/>
          <c:extLst>
            <c:ext xmlns:c16="http://schemas.microsoft.com/office/drawing/2014/chart" uri="{C3380CC4-5D6E-409C-BE32-E72D297353CC}">
              <c16:uniqueId val="{00000001-929E-4C42-BEC2-BA1C0292F5E0}"/>
            </c:ext>
          </c:extLst>
        </c:ser>
        <c:dLbls>
          <c:showLegendKey val="0"/>
          <c:showVal val="0"/>
          <c:showCatName val="0"/>
          <c:showSerName val="0"/>
          <c:showPercent val="0"/>
          <c:showBubbleSize val="0"/>
        </c:dLbls>
        <c:marker val="1"/>
        <c:smooth val="0"/>
        <c:axId val="659243519"/>
        <c:axId val="659243199"/>
      </c:lineChart>
      <c:catAx>
        <c:axId val="193778591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1937788479"/>
        <c:crosses val="autoZero"/>
        <c:auto val="1"/>
        <c:lblAlgn val="ctr"/>
        <c:lblOffset val="100"/>
        <c:noMultiLvlLbl val="0"/>
      </c:catAx>
      <c:valAx>
        <c:axId val="1937788479"/>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37785919"/>
        <c:crosses val="autoZero"/>
        <c:crossBetween val="between"/>
      </c:valAx>
      <c:valAx>
        <c:axId val="659243199"/>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659243519"/>
        <c:crosses val="max"/>
        <c:crossBetween val="between"/>
      </c:valAx>
      <c:catAx>
        <c:axId val="659243519"/>
        <c:scaling>
          <c:orientation val="minMax"/>
        </c:scaling>
        <c:delete val="1"/>
        <c:axPos val="b"/>
        <c:numFmt formatCode="General" sourceLinked="1"/>
        <c:majorTickMark val="out"/>
        <c:minorTickMark val="none"/>
        <c:tickLblPos val="nextTo"/>
        <c:crossAx val="65924319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stacked"/>
        <c:varyColors val="0"/>
        <c:ser>
          <c:idx val="0"/>
          <c:order val="0"/>
          <c:tx>
            <c:strRef>
              <c:f>'[solvency ratio.xlsx]Sheet1'!$B$1</c:f>
              <c:strCache>
                <c:ptCount val="1"/>
                <c:pt idx="0">
                  <c:v>Solvency Ratio</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'[solvency ratio.xlsx]Sheet1'!$A$2:$A$3</c:f>
              <c:numCache>
                <c:formatCode>General</c:formatCode>
                <c:ptCount val="2"/>
                <c:pt idx="0">
                  <c:v>2021</c:v>
                </c:pt>
                <c:pt idx="1">
                  <c:v>2022</c:v>
                </c:pt>
              </c:numCache>
            </c:numRef>
          </c:cat>
          <c:val>
            <c:numRef>
              <c:f>'[solvency ratio.xlsx]Sheet1'!$B$2:$B$3</c:f>
              <c:numCache>
                <c:formatCode>General</c:formatCode>
                <c:ptCount val="2"/>
                <c:pt idx="0">
                  <c:v>1.0900000000000001</c:v>
                </c:pt>
                <c:pt idx="1">
                  <c:v>1.71</c:v>
                </c:pt>
              </c:numCache>
            </c:numRef>
          </c:val>
          <c:extLst>
            <c:ext xmlns:c16="http://schemas.microsoft.com/office/drawing/2014/chart" uri="{C3380CC4-5D6E-409C-BE32-E72D297353CC}">
              <c16:uniqueId val="{00000000-76F5-F947-B003-C0B5270DECBC}"/>
            </c:ext>
          </c:extLst>
        </c:ser>
        <c:dLbls>
          <c:showLegendKey val="0"/>
          <c:showVal val="1"/>
          <c:showCatName val="0"/>
          <c:showSerName val="0"/>
          <c:showPercent val="0"/>
          <c:showBubbleSize val="0"/>
        </c:dLbls>
        <c:gapWidth val="219"/>
        <c:overlap val="100"/>
        <c:axId val="1712706367"/>
        <c:axId val="1712706687"/>
      </c:barChart>
      <c:catAx>
        <c:axId val="1712706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12706687"/>
        <c:crosses val="autoZero"/>
        <c:auto val="1"/>
        <c:lblAlgn val="ctr"/>
        <c:lblOffset val="100"/>
        <c:noMultiLvlLbl val="0"/>
      </c:catAx>
      <c:valAx>
        <c:axId val="1712706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12706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Times New Roman" panose="02020603050405020304" pitchFamily="18" charset="0"/>
          <a:cs typeface="Times New Roman" panose="02020603050405020304" pitchFamily="18" charset="0"/>
        </a:defRPr>
      </a:pPr>
      <a:endParaRPr lang="en-US"/>
    </a:p>
  </c:txPr>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67D58-4495-414F-B213-92DCE7F39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15</Pages>
  <Words>2582</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Mahamud Hossen</dc:creator>
  <cp:keywords/>
  <dc:description/>
  <cp:lastModifiedBy>MD Shawon</cp:lastModifiedBy>
  <cp:revision>19</cp:revision>
  <cp:lastPrinted>2025-01-22T14:55:00Z</cp:lastPrinted>
  <dcterms:created xsi:type="dcterms:W3CDTF">2025-01-17T18:59:00Z</dcterms:created>
  <dcterms:modified xsi:type="dcterms:W3CDTF">2025-01-22T16:44:00Z</dcterms:modified>
</cp:coreProperties>
</file>