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A5F"/>
          <w:sz w:val="36"/>
          <w:szCs w:val="36"/>
        </w:rPr>
        <w:t xml:space="preserve">Appendix — Security Audit Report</w:t>
      </w:r>
    </w:p>
    <w:p>
      <w:pPr>
        <w:spacing w:after="40"/>
        <w:jc w:val="center"/>
      </w:pPr>
      <w:r>
        <w:rPr>
          <w:b/>
          <w:bCs/>
          <w:sz w:val="26"/>
          <w:szCs w:val="26"/>
        </w:rPr>
        <w:t xml:space="preserve">ENUMGRID: The Enumeration Platform</w:t>
      </w:r>
    </w:p>
    <w:p>
      <w:pPr>
        <w:pBdr>
          <w:bottom w:val="single" w:color="1F3A5F" w:sz="6" w:space="8"/>
        </w:pBdr>
        <w:spacing w:after="200"/>
        <w:jc w:val="center"/>
      </w:pPr>
      <w:r>
        <w:rPr>
          <w:i/>
          <w:iCs/>
          <w:color w:val="475569"/>
          <w:sz w:val="22"/>
          <w:szCs w:val="22"/>
        </w:rPr>
        <w:t xml:space="preserve">White-box application security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Author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Santhakumar Parivallal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Programme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MSc Cyber Security, Birmingham City University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Artefact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ENUMGRID — CLI engine, FastAPI backend, React frontend, deployment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Assessment type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White-box source review (author-conducted)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Date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30 June 2026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Assessor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Author-conducted (self-assessment) — see §2.1</w:t>
            </w:r>
          </w:p>
        </w:tc>
      </w:tr>
    </w:tbl>
    <w:p>
      <w:pPr>
        <w:spacing w:after="200"/>
      </w:pPr>
    </w:p>
    <w:p>
      <w:pPr>
        <w:pStyle w:val="Heading1"/>
      </w:pPr>
      <w:r>
        <w:t xml:space="preserve">1  Executive Summary</w:t>
      </w:r>
    </w:p>
    <w:p>
      <w:pPr>
        <w:spacing w:after="120"/>
      </w:pPr>
      <w:r>
        <w:t xml:space="preserve">A full white-box security assessment was performed against the ENUMGRID codebase, covering the command-line engine, the FastAPI web service, the React frontend and the deployment configuration. The review combined OWASP-aligned manual code review by vulnerability class with automated static analysis (Bandit at full strength), software-composition analysis (pip-audit and npm audit) and the project's existing automated test and property-fuzzing corpus.</w:t>
      </w:r>
    </w:p>
    <w:p>
      <w:pPr>
        <w:spacing w:after="120"/>
      </w:pPr>
      <w:r>
        <w:t xml:space="preserve">No critical or remote-code-execution vulnerabilities were identified. The codebase was found to be well-engineered defensively: target scope validation is strict, the nmap command line is injection-safe by construction, and no dangerous language sinks (eval, exec, pickle, shell execution) are used. Seven findings were raised; four were remediated in code with accompanying regression tests, and three lower-severity items are documented as accepted risk or hardening guidance.</w:t>
      </w:r>
    </w:p>
    <w:p>
      <w:pPr>
        <w:spacing w:after="120"/>
      </w:pPr>
      <w:r>
        <w:t xml:space="preserve">The most significant finding (F-1) was that the zero-configuration deployment exposed the scanning API to the local network without authentication. This, and the related drive-by/DNS-rebinding vector (F-2), were resolved by making the no-token mode fail-closed to local clients. The inventory-disclosure inconsistency (F-3) was resolved by extending the existing role-based access control to the history endpoints.</w:t>
      </w:r>
    </w:p>
    <w:p>
      <w:pPr>
        <w:pStyle w:val="Heading1"/>
      </w:pPr>
      <w:r>
        <w:t xml:space="preserve">2  Scope and Methodology</w:t>
      </w:r>
    </w:p>
    <w:p>
      <w:pPr>
        <w:spacing w:after="120"/>
      </w:pPr>
      <w:r>
        <w:t xml:space="preserve">Scope: the entire application source tree — the single-file CLI engine (purple_recon.py), the backend service modules (backend/), the frontend (frontend/), and the container / launcher configuration.</w:t>
      </w:r>
    </w:p>
    <w:p>
      <w:pPr>
        <w:spacing w:after="120"/>
      </w:pPr>
      <w:r>
        <w:t xml:space="preserve">Methodology: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Attack-surface inventory: enumeration of entry points, external network I/O, file I/O, database access and trust boundaries.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review by vulnerability class: injection (OS command / nmap argument / SQL / LDAP), server-side request forgery, authentication and authorisation, secrets management, XML external entities and deserialization, denial of service and ReDoS, transport security and SSH host-key handling, and information disclosure.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Automated static analysis: Bandit executed at full strength (all severities and confidence levels, project skip-list disabled).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Software-composition analysis: pip-audit (Python) and npm audit (Node) against the shipped dependency sets.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Regression assurance: every code fix was accompanied by an automated test, and the full suite re-run.</w:t>
      </w:r>
    </w:p>
    <w:p>
      <w:pPr>
        <w:pStyle w:val="Heading2"/>
      </w:pPr>
      <w:r>
        <w:t xml:space="preserve">2.1  Tooling and Limitations</w:t>
      </w:r>
    </w:p>
    <w:p>
      <w:pPr>
        <w:spacing w:after="120"/>
      </w:pPr>
      <w:r>
        <w:t xml:space="preserve">The following tools were used. Versions are recorded for reproducibility.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51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Manual code review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OWASP-aligned source review by vulnerability class (CWE-mapped)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Bandit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1.9.4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static application security testing (SAST), run at full strength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pip-audit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2.10.0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dependency vulnerability scan (SCA)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npm audit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npm 11.12.1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 dependency vulnerability scan (SCA), shipped deps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Ruff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0.15.16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Static lint / code-quality checks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pytest + hypothesis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Regression and property-based fuzz tests (446 total)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3.14.5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Interpreter under which the assessment was run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Limitations. The following bound the assurance this assessment provides: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 is an author-conducted self-assessment carried out as part of the project, not an independent third-party penetration test; objectivity is therefore inherently bounded, and an external review would strengthen assurance.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 is a white-box source review. Dynamic black-box testing against a running instance was limited to the project's existing functional verification; no fuzzing of the live HTTP surface beyond the automated suite was performed.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is the application source at the reviewed revision. It excludes the host operating system, the third-party nmap binary, and external services consumed (NVD, OSV, CISA KEV, FIRST EPSS), which are trusted as out-of-scope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Severities are assigned qualitatively (High / Medium / Low / Informational) by reference to exploitability and impact, not a formal CVSS calculation.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assessment is a point-in-time snapshot; subsequent code changes should be re-reviewed.</w:t>
      </w:r>
    </w:p>
    <w:p>
      <w:pPr>
        <w:spacing w:after="120" w:before="80"/>
      </w:pPr>
      <w:r>
        <w:rPr>
          <w:b/>
          <w:bCs/>
        </w:rPr>
        <w:t xml:space="preserve">Author declaration. </w:t>
      </w:r>
      <w:r>
        <w:t xml:space="preserve">This assessment was conducted by the project author for the purpose of the MSc dissertation. All remediations were validated by automated tests and re-scanning. It documents the security posture of the artefact and the engineering response to the findings; it is not a substitute for an independent professional security audit.</w:t>
      </w:r>
    </w:p>
    <w:p>
      <w:pPr>
        <w:pStyle w:val="Heading1"/>
      </w:pPr>
      <w:r>
        <w:t xml:space="preserve">3  Summary of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1180"/>
        <w:gridCol w:w="5760"/>
        <w:gridCol w:w="1600"/>
      </w:tblGrid>
      <w:tr>
        <w:trPr>
          <w:tblHeader/>
        </w:trP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F-1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B91C1C"/>
                <w:sz w:val="19"/>
                <w:szCs w:val="19"/>
              </w:rPr>
              <w:t xml:space="preserve">High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Unauthenticated, LAN-exposed scanner in zero-config mode. docker-compose.yml defaults the token to empty and the container binds 0.0.0.0 via --network host; with no token the API granted admin to every caller, so any LAN host could launch scans / credentialed / AD / cloud actions and read the inventory.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Fixed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F-2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DNS-rebinding / drive-by scanning. State-changing GET endpoints (/api/scan/stream, /api/host/scan) could be triggered cross-origin (CORS does not block the request, only reading the response), letting a victim's browser drive the local scanner.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Fixed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F-3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B45309"/>
                <w:sz w:val="19"/>
                <w:szCs w:val="19"/>
              </w:rPr>
              <w:t xml:space="preserve">Medium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Inventory disclosure. /api/history and /api/history/diff had no RBAC gate (unlike /api/audit), leaking the device / port / vulnerability inventory even when tokens were configured.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Fixed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F-4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47857"/>
                <w:sz w:val="19"/>
                <w:szCs w:val="19"/>
              </w:rPr>
              <w:t xml:space="preserve">Low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Memory exhaustion via the PDF endpoint. An oversized POST body to /api/report/pdf could exhaust memory in reportlab.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Fixed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F-5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47857"/>
                <w:sz w:val="19"/>
                <w:szCs w:val="19"/>
              </w:rPr>
              <w:t xml:space="preserve">Low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token accepted via the ?token= query parameter, which can be written to access / proxy logs and browser history.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Guidance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F-6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475569"/>
                <w:sz w:val="19"/>
                <w:szCs w:val="19"/>
              </w:rPr>
              <w:t xml:space="preserve">Info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credscan key_filename and adscan dc_host are arbitrary client-supplied path / host values.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Accepted</w:t>
            </w:r>
          </w:p>
        </w:tc>
      </w:tr>
      <w:tr>
        <w:tc>
          <w:tcPr>
            <w:tcW w:type="dxa" w:w="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F-7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47857"/>
                <w:sz w:val="19"/>
                <w:szCs w:val="19"/>
              </w:rPr>
              <w:t xml:space="preserve">Low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 data at rest (history DB, CVE/KEV/EPSS caches, audit log) uses default file permissions on a shared host.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Recommend</w:t>
            </w:r>
          </w:p>
        </w:tc>
      </w:tr>
    </w:tbl>
    <w:p>
      <w:pPr>
        <w:spacing w:after="120" w:before="100"/>
      </w:pPr>
      <w:r>
        <w:rPr>
          <w:i/>
          <w:iCs/>
          <w:color w:val="475569"/>
          <w:sz w:val="18"/>
          <w:szCs w:val="18"/>
        </w:rPr>
        <w:t xml:space="preserve">Status legend: </w:t>
      </w:r>
      <w:r>
        <w:rPr>
          <w:b/>
          <w:bCs/>
          <w:sz w:val="18"/>
          <w:szCs w:val="18"/>
        </w:rPr>
        <w:t xml:space="preserve">Fixed</w:t>
      </w:r>
      <w:r>
        <w:rPr>
          <w:i/>
          <w:iCs/>
          <w:color w:val="475569"/>
          <w:sz w:val="18"/>
          <w:szCs w:val="18"/>
        </w:rPr>
        <w:t xml:space="preserve"> = remediated in code; </w:t>
      </w:r>
      <w:r>
        <w:rPr>
          <w:b/>
          <w:bCs/>
          <w:sz w:val="18"/>
          <w:szCs w:val="18"/>
        </w:rPr>
        <w:t xml:space="preserve">Guidance / Recommend</w:t>
      </w:r>
      <w:r>
        <w:rPr>
          <w:i/>
          <w:iCs/>
          <w:color w:val="475569"/>
          <w:sz w:val="18"/>
          <w:szCs w:val="18"/>
        </w:rPr>
        <w:t xml:space="preserve"> = documented mitigation; </w:t>
      </w:r>
      <w:r>
        <w:rPr>
          <w:b/>
          <w:bCs/>
          <w:sz w:val="18"/>
          <w:szCs w:val="18"/>
        </w:rPr>
        <w:t xml:space="preserve">Accepted</w:t>
      </w:r>
      <w:r>
        <w:rPr>
          <w:i/>
          <w:iCs/>
          <w:color w:val="475569"/>
          <w:sz w:val="18"/>
          <w:szCs w:val="18"/>
        </w:rPr>
        <w:t xml:space="preserve"> = by-design residual risk.</w:t>
      </w:r>
    </w:p>
    <w:p>
      <w:pPr>
        <w:pStyle w:val="Heading1"/>
        <w:pageBreakBefore/>
      </w:pPr>
      <w:r>
        <w:t xml:space="preserve">4  Detailed Findings</w:t>
      </w:r>
    </w:p>
    <w:p>
      <w:pPr>
        <w:pStyle w:val="Heading2"/>
        <w:spacing w:after="80" w:before="200"/>
      </w:pPr>
      <w:r>
        <w:t xml:space="preserve">F-1  Unauthenticated, LAN-exposed scanner in zero-config mode  </w:t>
      </w:r>
      <w:r>
        <w:rPr>
          <w:b/>
          <w:bCs/>
          <w:color w:val="B91C1C"/>
        </w:rPr>
        <w:t xml:space="preserve">[High]</w:t>
      </w:r>
    </w:p>
    <w:p>
      <w:pPr>
        <w:spacing w:after="80"/>
      </w:pPr>
      <w:r>
        <w:rPr>
          <w:b/>
          <w:bCs/>
        </w:rPr>
        <w:t xml:space="preserve">Impact.  </w:t>
      </w:r>
      <w:r>
        <w:t xml:space="preserve">With no token configured, the API's zero-config “open” mode grants administrative access to every caller. Combined with the container's 0.0.0.0 bind under Docker --network host, this exposed the full scanning capability — host discovery, credentialed SSH scans, Active Directory and AWS enumeration, and the stored inventory — to any host on the local network.</w:t>
      </w:r>
    </w:p>
    <w:p>
      <w:pPr>
        <w:spacing w:after="80"/>
      </w:pPr>
      <w:r>
        <w:rPr>
          <w:b/>
          <w:bCs/>
        </w:rPr>
        <w:t xml:space="preserve">Remediation.  </w:t>
      </w:r>
      <w:r>
        <w:t xml:space="preserve">Open mode is now fail-closed to local clients. A middleware (app.py:_local_only_in_open_mode) refuses any /api/* request from a non-loopback peer when no token is configured, so binding to 0.0.0.0 can no longer expose the scanner to the LAN; authenticated remote access is opt-in via ENUMGRID_ADMIN_TOKEN.</w:t>
      </w:r>
    </w:p>
    <w:p>
      <w:pPr>
        <w:spacing w:after="40"/>
      </w:pPr>
      <w:r>
        <w:rPr>
          <w:b/>
          <w:bCs/>
        </w:rPr>
        <w:t xml:space="preserve">Location.  </w:t>
      </w:r>
      <w:r>
        <w:rPr>
          <w:rFonts w:ascii="Consolas" w:cs="Consolas" w:eastAsia="Consolas" w:hAnsi="Consolas"/>
          <w:sz w:val="18"/>
          <w:szCs w:val="18"/>
        </w:rPr>
        <w:t xml:space="preserve">backend/app.py, backend/security.py (open_mode, client_is_local), docker-compose.yml</w:t>
      </w:r>
    </w:p>
    <w:p>
      <w:pPr>
        <w:spacing w:after="80"/>
      </w:pPr>
      <w:r>
        <w:rPr>
          <w:b/>
          <w:bCs/>
        </w:rPr>
        <w:t xml:space="preserve">References.  </w:t>
      </w:r>
      <w:r>
        <w:rPr>
          <w:color w:val="475569"/>
          <w:sz w:val="18"/>
          <w:szCs w:val="18"/>
        </w:rPr>
        <w:t xml:space="preserve">CWE-306 (Missing Authentication for a Critical Function); CWE-668 (Exposure of Resource to Wrong Sphere). OWASP A01:2021 Broken Access Control; A05:2021 Security Misconfiguration.</w:t>
      </w:r>
    </w:p>
    <w:p>
      <w:pPr>
        <w:pStyle w:val="Heading2"/>
        <w:spacing w:after="80" w:before="200"/>
      </w:pPr>
      <w:r>
        <w:t xml:space="preserve">F-2  DNS-rebinding / drive-by scanning  </w:t>
      </w:r>
      <w:r>
        <w:rPr>
          <w:b/>
          <w:bCs/>
          <w:color w:val="B45309"/>
        </w:rPr>
        <w:t xml:space="preserve">[Medium]</w:t>
      </w:r>
    </w:p>
    <w:p>
      <w:pPr>
        <w:spacing w:after="80"/>
      </w:pPr>
      <w:r>
        <w:rPr>
          <w:b/>
          <w:bCs/>
        </w:rPr>
        <w:t xml:space="preserve">Impact.  </w:t>
      </w:r>
      <w:r>
        <w:t xml:space="preserve">Browsers send cross-origin requests even when CORS prevents the response from being read. A malicious web page whose domain resolves to 127.0.0.1 (DNS rebinding), or a simple &lt;img&gt;/fetch to the localhost port, could therefore make the victim's own machine launch a scan of its local network without consent — contrary to the tool's authorised-use principle.</w:t>
      </w:r>
    </w:p>
    <w:p>
      <w:pPr>
        <w:spacing w:after="80"/>
      </w:pPr>
      <w:r>
        <w:rPr>
          <w:b/>
          <w:bCs/>
        </w:rPr>
        <w:t xml:space="preserve">Remediation.  </w:t>
      </w:r>
      <w:r>
        <w:t xml:space="preserve">The same open-mode middleware additionally validates that the HTTP Host header is local (security.host_header_local); a rebinding request carries Host: evil.example, which is rejected. State-changing JSON POSTs are independently protected by the CORS pre-flight, which is restricted to the development origin.</w:t>
      </w:r>
    </w:p>
    <w:p>
      <w:pPr>
        <w:spacing w:after="40"/>
      </w:pPr>
      <w:r>
        <w:rPr>
          <w:b/>
          <w:bCs/>
        </w:rPr>
        <w:t xml:space="preserve">Location.  </w:t>
      </w:r>
      <w:r>
        <w:rPr>
          <w:rFonts w:ascii="Consolas" w:cs="Consolas" w:eastAsia="Consolas" w:hAnsi="Consolas"/>
          <w:sz w:val="18"/>
          <w:szCs w:val="18"/>
        </w:rPr>
        <w:t xml:space="preserve">backend/app.py, backend/security.py (host_header_local)</w:t>
      </w:r>
    </w:p>
    <w:p>
      <w:pPr>
        <w:spacing w:after="80"/>
      </w:pPr>
      <w:r>
        <w:rPr>
          <w:b/>
          <w:bCs/>
        </w:rPr>
        <w:t xml:space="preserve">References.  </w:t>
      </w:r>
      <w:r>
        <w:rPr>
          <w:color w:val="475569"/>
          <w:sz w:val="18"/>
          <w:szCs w:val="18"/>
        </w:rPr>
        <w:t xml:space="preserve">CWE-350 (Reliance on Reverse DNS); CWE-352 (Cross-Site Request Forgery). OWASP A01:2021. Class: DNS rebinding against a localhost service.</w:t>
      </w:r>
    </w:p>
    <w:p>
      <w:pPr>
        <w:pStyle w:val="Heading2"/>
        <w:spacing w:after="80" w:before="200"/>
      </w:pPr>
      <w:r>
        <w:t xml:space="preserve">F-3  Inventory disclosure via history endpoints  </w:t>
      </w:r>
      <w:r>
        <w:rPr>
          <w:b/>
          <w:bCs/>
          <w:color w:val="B45309"/>
        </w:rPr>
        <w:t xml:space="preserve">[Medium]</w:t>
      </w:r>
    </w:p>
    <w:p>
      <w:pPr>
        <w:spacing w:after="80"/>
      </w:pPr>
      <w:r>
        <w:rPr>
          <w:b/>
          <w:bCs/>
        </w:rPr>
        <w:t xml:space="preserve">Impact.  </w:t>
      </w:r>
      <w:r>
        <w:t xml:space="preserve">/api/history and /api/history/diff returned the operator's device inventory, open ports and drift without any authentication — even when admin/viewer tokens were configured — an inconsistency with /api/audit, which was already RBAC-gated.</w:t>
      </w:r>
    </w:p>
    <w:p>
      <w:pPr>
        <w:spacing w:after="80"/>
      </w:pPr>
      <w:r>
        <w:rPr>
          <w:b/>
          <w:bCs/>
        </w:rPr>
        <w:t xml:space="preserve">Remediation.  </w:t>
      </w:r>
      <w:r>
        <w:t xml:space="preserve">Both endpoints now require a valid viewer or admin token (token_ok), matching /api/audit. Behaviour in zero-config dev mode is unchanged (token_ok returns true when no tokens are set).</w:t>
      </w:r>
    </w:p>
    <w:p>
      <w:pPr>
        <w:spacing w:after="40"/>
      </w:pPr>
      <w:r>
        <w:rPr>
          <w:b/>
          <w:bCs/>
        </w:rPr>
        <w:t xml:space="preserve">Location.  </w:t>
      </w:r>
      <w:r>
        <w:rPr>
          <w:rFonts w:ascii="Consolas" w:cs="Consolas" w:eastAsia="Consolas" w:hAnsi="Consolas"/>
          <w:sz w:val="18"/>
          <w:szCs w:val="18"/>
        </w:rPr>
        <w:t xml:space="preserve">backend/app.py (history_list, history_diff)</w:t>
      </w:r>
    </w:p>
    <w:p>
      <w:pPr>
        <w:spacing w:after="80"/>
      </w:pPr>
      <w:r>
        <w:rPr>
          <w:b/>
          <w:bCs/>
        </w:rPr>
        <w:t xml:space="preserve">References.  </w:t>
      </w:r>
      <w:r>
        <w:rPr>
          <w:color w:val="475569"/>
          <w:sz w:val="18"/>
          <w:szCs w:val="18"/>
        </w:rPr>
        <w:t xml:space="preserve">CWE-285 (Improper Authorization); CWE-200 (Exposure of Sensitive Information). OWASP A01:2021.</w:t>
      </w:r>
    </w:p>
    <w:p>
      <w:pPr>
        <w:pStyle w:val="Heading2"/>
        <w:spacing w:after="80" w:before="200"/>
      </w:pPr>
      <w:r>
        <w:t xml:space="preserve">F-4  Memory exhaustion via the PDF report endpoint  </w:t>
      </w:r>
      <w:r>
        <w:rPr>
          <w:b/>
          <w:bCs/>
          <w:color w:val="047857"/>
        </w:rPr>
        <w:t xml:space="preserve">[Low]</w:t>
      </w:r>
    </w:p>
    <w:p>
      <w:pPr>
        <w:spacing w:after="80"/>
      </w:pPr>
      <w:r>
        <w:rPr>
          <w:b/>
          <w:bCs/>
        </w:rPr>
        <w:t xml:space="preserve">Impact.  </w:t>
      </w:r>
      <w:r>
        <w:t xml:space="preserve">The /api/report/pdf endpoint renders a client-supplied host list with no upper bound; a crafted oversized body could exhaust memory in reportlab.</w:t>
      </w:r>
    </w:p>
    <w:p>
      <w:pPr>
        <w:spacing w:after="80"/>
      </w:pPr>
      <w:r>
        <w:rPr>
          <w:b/>
          <w:bCs/>
        </w:rPr>
        <w:t xml:space="preserve">Remediation.  </w:t>
      </w:r>
      <w:r>
        <w:t xml:space="preserve">build_pdf now caps the rendered host list (MAX_REPORT_HOSTS = 10,000, well above the scan host cap of 4,096) before rendering.</w:t>
      </w:r>
    </w:p>
    <w:p>
      <w:pPr>
        <w:spacing w:after="40"/>
      </w:pPr>
      <w:r>
        <w:rPr>
          <w:b/>
          <w:bCs/>
        </w:rPr>
        <w:t xml:space="preserve">Location.  </w:t>
      </w:r>
      <w:r>
        <w:rPr>
          <w:rFonts w:ascii="Consolas" w:cs="Consolas" w:eastAsia="Consolas" w:hAnsi="Consolas"/>
          <w:sz w:val="18"/>
          <w:szCs w:val="18"/>
        </w:rPr>
        <w:t xml:space="preserve">backend/report.py (build_pdf)</w:t>
      </w:r>
    </w:p>
    <w:p>
      <w:pPr>
        <w:spacing w:after="80"/>
      </w:pPr>
      <w:r>
        <w:rPr>
          <w:b/>
          <w:bCs/>
        </w:rPr>
        <w:t xml:space="preserve">References.  </w:t>
      </w:r>
      <w:r>
        <w:rPr>
          <w:color w:val="475569"/>
          <w:sz w:val="18"/>
          <w:szCs w:val="18"/>
        </w:rPr>
        <w:t xml:space="preserve">CWE-400 (Uncontrolled Resource Consumption). OWASP A05:2021.</w:t>
      </w:r>
    </w:p>
    <w:p>
      <w:pPr>
        <w:pStyle w:val="Heading2"/>
        <w:spacing w:after="80" w:before="200"/>
      </w:pPr>
      <w:r>
        <w:t xml:space="preserve">F-5  API token accepted in the URL query string  </w:t>
      </w:r>
      <w:r>
        <w:rPr>
          <w:b/>
          <w:bCs/>
          <w:color w:val="047857"/>
        </w:rPr>
        <w:t xml:space="preserve">[Low]</w:t>
      </w:r>
    </w:p>
    <w:p>
      <w:pPr>
        <w:spacing w:after="80"/>
      </w:pPr>
      <w:r>
        <w:rPr>
          <w:b/>
          <w:bCs/>
        </w:rPr>
        <w:t xml:space="preserve">Impact.  </w:t>
      </w:r>
      <w:r>
        <w:t xml:space="preserve">Tokens passed as ?token= can be written to web-server access logs, reverse-proxy logs and browser history.</w:t>
      </w:r>
    </w:p>
    <w:p>
      <w:pPr>
        <w:spacing w:after="80"/>
      </w:pPr>
      <w:r>
        <w:rPr>
          <w:b/>
          <w:bCs/>
        </w:rPr>
        <w:t xml:space="preserve">Remediation.  </w:t>
      </w:r>
      <w:r>
        <w:t xml:space="preserve">Documented guidance to prefer the Authorization: Bearer header (already supported by the application) and to front the API with TLS before any remote exposure. The query form is retained only for local convenience.</w:t>
      </w:r>
    </w:p>
    <w:p>
      <w:pPr>
        <w:spacing w:after="40"/>
      </w:pPr>
      <w:r>
        <w:rPr>
          <w:b/>
          <w:bCs/>
        </w:rPr>
        <w:t xml:space="preserve">Location.  </w:t>
      </w:r>
      <w:r>
        <w:rPr>
          <w:rFonts w:ascii="Consolas" w:cs="Consolas" w:eastAsia="Consolas" w:hAnsi="Consolas"/>
          <w:sz w:val="18"/>
          <w:szCs w:val="18"/>
        </w:rPr>
        <w:t xml:space="preserve">SECURITY.md, backend/README.md, docs/THREAT_MODEL.md</w:t>
      </w:r>
    </w:p>
    <w:p>
      <w:pPr>
        <w:spacing w:after="80"/>
      </w:pPr>
      <w:r>
        <w:rPr>
          <w:b/>
          <w:bCs/>
        </w:rPr>
        <w:t xml:space="preserve">References.  </w:t>
      </w:r>
      <w:r>
        <w:rPr>
          <w:color w:val="475569"/>
          <w:sz w:val="18"/>
          <w:szCs w:val="18"/>
        </w:rPr>
        <w:t xml:space="preserve">CWE-598 (Information Exposure Through Query Strings in GET). OWASP A09:2021 Security Logging and Monitoring Failures.</w:t>
      </w:r>
    </w:p>
    <w:p>
      <w:pPr>
        <w:pStyle w:val="Heading2"/>
        <w:spacing w:after="80" w:before="200"/>
      </w:pPr>
      <w:r>
        <w:t xml:space="preserve">F-6  Admin-trusted file path / host inputs  </w:t>
      </w:r>
      <w:r>
        <w:rPr>
          <w:b/>
          <w:bCs/>
          <w:color w:val="475569"/>
        </w:rPr>
        <w:t xml:space="preserve">[Info]</w:t>
      </w:r>
    </w:p>
    <w:p>
      <w:pPr>
        <w:spacing w:after="80"/>
      </w:pPr>
      <w:r>
        <w:rPr>
          <w:b/>
          <w:bCs/>
        </w:rPr>
        <w:t xml:space="preserve">Impact.  </w:t>
      </w:r>
      <w:r>
        <w:t xml:space="preserve">The credentialed SSH endpoint accepts a client-supplied private-key path, and the AD endpoint a client-supplied domain-controller host. These are arbitrary values.</w:t>
      </w:r>
    </w:p>
    <w:p>
      <w:pPr>
        <w:spacing w:after="80"/>
      </w:pPr>
      <w:r>
        <w:rPr>
          <w:b/>
          <w:bCs/>
        </w:rPr>
        <w:t xml:space="preserve">Remediation.  </w:t>
      </w:r>
      <w:r>
        <w:t xml:space="preserve">Accepted as by-design: both endpoints are admin-gated and intended for assets the operator administers using their own credentials; the inputs are the operator's own. Documented as residual risk.</w:t>
      </w:r>
    </w:p>
    <w:p>
      <w:pPr>
        <w:spacing w:after="40"/>
      </w:pPr>
      <w:r>
        <w:rPr>
          <w:b/>
          <w:bCs/>
        </w:rPr>
        <w:t xml:space="preserve">Location.  </w:t>
      </w:r>
      <w:r>
        <w:rPr>
          <w:rFonts w:ascii="Consolas" w:cs="Consolas" w:eastAsia="Consolas" w:hAnsi="Consolas"/>
          <w:sz w:val="18"/>
          <w:szCs w:val="18"/>
        </w:rPr>
        <w:t xml:space="preserve">backend/credscan.py, backend/adscan.py (admin-gated)</w:t>
      </w:r>
    </w:p>
    <w:p>
      <w:pPr>
        <w:spacing w:after="80"/>
      </w:pPr>
      <w:r>
        <w:rPr>
          <w:b/>
          <w:bCs/>
        </w:rPr>
        <w:t xml:space="preserve">References.  </w:t>
      </w:r>
      <w:r>
        <w:rPr>
          <w:color w:val="475569"/>
          <w:sz w:val="18"/>
          <w:szCs w:val="18"/>
        </w:rPr>
        <w:t xml:space="preserve">CWE-73 (External Control of File Name or Path). Mitigated by admin authorisation; accepted.</w:t>
      </w:r>
    </w:p>
    <w:p>
      <w:pPr>
        <w:pStyle w:val="Heading2"/>
        <w:spacing w:after="80" w:before="200"/>
      </w:pPr>
      <w:r>
        <w:t xml:space="preserve">F-7  Local data-at-rest permissions  </w:t>
      </w:r>
      <w:r>
        <w:rPr>
          <w:b/>
          <w:bCs/>
          <w:color w:val="047857"/>
        </w:rPr>
        <w:t xml:space="preserve">[Low]</w:t>
      </w:r>
    </w:p>
    <w:p>
      <w:pPr>
        <w:spacing w:after="80"/>
      </w:pPr>
      <w:r>
        <w:rPr>
          <w:b/>
          <w:bCs/>
        </w:rPr>
        <w:t xml:space="preserve">Impact.  </w:t>
      </w:r>
      <w:r>
        <w:t xml:space="preserve">On a shared host, the SQLite history DB, CVE/KEV/EPSS caches and the JSONL audit log are written with default permissions and may be readable by other local users.</w:t>
      </w:r>
    </w:p>
    <w:p>
      <w:pPr>
        <w:spacing w:after="80"/>
      </w:pPr>
      <w:r>
        <w:rPr>
          <w:b/>
          <w:bCs/>
        </w:rPr>
        <w:t xml:space="preserve">Remediation.  </w:t>
      </w:r>
      <w:r>
        <w:t xml:space="preserve">Documented hardening recommendation to restrict the working-directory permissions. The NVD API-key file is already written owner-only (0600).</w:t>
      </w:r>
    </w:p>
    <w:p>
      <w:pPr>
        <w:spacing w:after="40"/>
      </w:pPr>
      <w:r>
        <w:rPr>
          <w:b/>
          <w:bCs/>
        </w:rPr>
        <w:t xml:space="preserve">Location.  </w:t>
      </w:r>
      <w:r>
        <w:rPr>
          <w:rFonts w:ascii="Consolas" w:cs="Consolas" w:eastAsia="Consolas" w:hAnsi="Consolas"/>
          <w:sz w:val="18"/>
          <w:szCs w:val="18"/>
        </w:rPr>
        <w:t xml:space="preserve">docs/THREAT_MODEL.md, SECURITY.md</w:t>
      </w:r>
    </w:p>
    <w:p>
      <w:pPr>
        <w:spacing w:after="80"/>
      </w:pPr>
      <w:r>
        <w:rPr>
          <w:b/>
          <w:bCs/>
        </w:rPr>
        <w:t xml:space="preserve">References.  </w:t>
      </w:r>
      <w:r>
        <w:rPr>
          <w:color w:val="475569"/>
          <w:sz w:val="18"/>
          <w:szCs w:val="18"/>
        </w:rPr>
        <w:t xml:space="preserve">CWE-732 (Incorrect Permission Assignment for a Critical Resource).</w:t>
      </w:r>
    </w:p>
    <w:p>
      <w:pPr>
        <w:pStyle w:val="Heading1"/>
        <w:pageBreakBefore/>
      </w:pPr>
      <w:r>
        <w:t xml:space="preserve">5  Areas Assessed as Secure (Assurance)</w:t>
      </w:r>
    </w:p>
    <w:p>
      <w:pPr>
        <w:spacing w:after="120"/>
      </w:pPr>
      <w:r>
        <w:t xml:space="preserve">The following vulnerability classes were specifically examined and found to be adequately controlled. They are recorded here as positive assurance, not merely as the absence of a finding.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Class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Assessment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nmap argument injection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- server-defined profile allowlist + validated script/port tokens + list-form subprocess (no shell, no eval/exec).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SSRF (scan target / cloud metadata)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- ScopeValidator blocks loopback, link-local (incl. 169.254.169.254), multicast, broadcast and reserved; hostnames are rejected (IP/CIDR only); webscan/credscan targets are scope-validated; the SSDP LOCATION fetch is host-matched and scheme-checked.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SQL injection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- every query is parameterised; the only interpolated token is a hard-coded column constant.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XXE / insecure deserialization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- no XML parser on untrusted input (SSDP uses bounded regex, certs parsed from DER); JSON only; no pickle / yaml.load / eval / exec / shell=True.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LDAP injection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- LDAP search filters are static constants; no user input is placed in a filter.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Secrets handling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- tokens compared with hmac.compare_digest (constant time); NVD key file 0600; SSH/LDAP/AWS credentials in memory only, never logged; SSH RejectPolicy by default.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Regular-expression DoS (ReDoS)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Secure - all patterns are bounded with no catastrophic backtracking; network parsers are property-fuzzed (hypothesis).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SAST / dependencies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5F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Clean - Bandit (full strength) reports only low / informational items (subprocess-by-name, try/except/pass); pip-audit 0 and npm audit 0.</w:t>
            </w:r>
          </w:p>
        </w:tc>
      </w:tr>
    </w:tbl>
    <w:p>
      <w:pPr>
        <w:pStyle w:val="Heading1"/>
      </w:pPr>
      <w:r>
        <w:t xml:space="preserve">6  Remediation Verification</w:t>
      </w:r>
    </w:p>
    <w:p>
      <w:pPr>
        <w:spacing w:after="120"/>
      </w:pPr>
      <w:r>
        <w:t xml:space="preserve">All fixes were verified by automated testing and re-scanning: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suite: </w:t>
      </w:r>
      <w:r>
        <w:t xml:space="preserve">446 automated tests pass (CLI 84, backend 336, evaluation 7, frontend 19), including five new tests covering the open-mode locality guard, the Host-header anti-rebinding check, an end-to-end rebinding rejection, and the history-endpoint RBAC gate.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Static analysis: </w:t>
      </w:r>
      <w:r>
        <w:t xml:space="preserve">Bandit (CI configuration) exits clean; Ruff reports no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Dependencies: </w:t>
      </w:r>
      <w:r>
        <w:t xml:space="preserve">pip-audit and npm audit both report zero known vulnerabilities.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Build: </w:t>
      </w:r>
      <w:r>
        <w:t xml:space="preserve">the frontend production build completes without error.</w:t>
      </w:r>
    </w:p>
    <w:p>
      <w:pPr>
        <w:pStyle w:val="Heading1"/>
      </w:pPr>
      <w:r>
        <w:t xml:space="preserve">7  Conclusion and Residual Risk</w:t>
      </w:r>
    </w:p>
    <w:p>
      <w:pPr>
        <w:spacing w:after="120"/>
      </w:pPr>
      <w:r>
        <w:t xml:space="preserve">ENUMGRID demonstrated a strong baseline security posture, consistent with its stated “accuracy-first, authorised-use” design philosophy. Its core controls — a single, reused scope validator; injection-safe, list-form process invocation; and the deliberate avoidance of dangerous language features — are sound. The assessment's material contribution was to close the unauthenticated-exposure path (the open-mode / LAN / DNS-rebinding class) and the history-endpoint authorisation gap, both of which are now fail-closed and covered by regression tests.</w:t>
      </w:r>
    </w:p>
    <w:p>
      <w:pPr>
        <w:spacing w:after="120"/>
      </w:pPr>
      <w:r>
        <w:t xml:space="preserve">Residual risk is low and documented in docs/THREAT_MODEL.md (controls T15–T18) and SECURITY.md: operators should prefer the Authorization header over the query-string token, restrict working-directory permissions on shared hosts, and front the API with TLS and a token before any deliberate remote exposure. As an offensive-capable tool, ENUMGRID's safe operation ultimately depends on the operator confining its use to systems they own or are explicitly authorised to assess.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94A3B8"/>
        <w:sz w:val="16"/>
        <w:szCs w:val="16"/>
      </w:rPr>
      <w:t xml:space="preserve">Confidential — MSc dissertation appendix</w:t>
    </w:r>
    <w:r>
      <w:rPr>
        <w:color w:val="94A3B8"/>
        <w:sz w:val="16"/>
        <w:szCs w:val="16"/>
      </w:rPr>
      <w:t xml:space="preserve">	Page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of 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94A3B8"/>
        <w:sz w:val="16"/>
        <w:szCs w:val="16"/>
      </w:rPr>
      <w:t xml:space="preserve">ENUMGRID — Security Audit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2026-06-30T18:31:23.558Z</dcterms:created>
  <dcterms:modified xsi:type="dcterms:W3CDTF">2026-06-30T18:31:23.562Z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