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6"/>
          <w:szCs w:val="36"/>
        </w:rPr>
        <w:t xml:space="preserve">Appendix — Security Audit Report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ENUMGRID: The Enumeration Platform</w:t>
      </w:r>
    </w:p>
    <w:p>
      <w:pPr>
        <w:pBdr>
          <w:bottom w:val="single" w:color="1F3A5F" w:sz="6" w:space="8"/>
        </w:pBdr>
        <w:spacing w:after="200"/>
        <w:jc w:val="center"/>
      </w:pPr>
      <w:r>
        <w:rPr>
          <w:i/>
          <w:iCs/>
          <w:color w:val="475569"/>
          <w:sz w:val="22"/>
          <w:szCs w:val="22"/>
        </w:rPr>
        <w:t xml:space="preserve">White-box application security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Santhakumar Parivallal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Programme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 Cyber Security, Birmingham City University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Artefact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ENUMGRID — CLI engine, FastAPI backend, React frontend, deployment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Assessment type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White-box source review (author-conducted)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[insert date]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  Executive Summary</w:t>
      </w:r>
    </w:p>
    <w:p>
      <w:pPr>
        <w:spacing w:after="120"/>
      </w:pPr>
      <w:r>
        <w:t xml:space="preserve">A full white-box security assessment was performed against the ENUMGRID codebase, covering the command-line engine, the FastAPI web service, the React frontend and the deployment configuration. The review combined OWASP-aligned manual code review by vulnerability class with automated static analysis (Bandit at full strength), software-composition analysis (pip-audit and npm audit) and the project's existing automated test and property-fuzzing corpus.</w:t>
      </w:r>
    </w:p>
    <w:p>
      <w:pPr>
        <w:spacing w:after="120"/>
      </w:pPr>
      <w:r>
        <w:t xml:space="preserve">No critical or remote-code-execution vulnerabilities were identified. The codebase was found to be well-engineered defensively: target scope validation is strict, the nmap command line is injection-safe by construction, and no dangerous language sinks (eval, exec, pickle, shell execution) are used. Seven findings were raised; four were remediated in code with accompanying regression tests, and three lower-severity items are documented as accepted risk or hardening guidance.</w:t>
      </w:r>
    </w:p>
    <w:p>
      <w:pPr>
        <w:spacing w:after="120"/>
      </w:pPr>
      <w:r>
        <w:t xml:space="preserve">The most significant finding (F-1) was that the zero-configuration deployment exposed the scanning API to the local network without authentication. This, and the related drive-by/DNS-rebinding vector (F-2), were resolved by making the no-token mode fail-closed to local clients. The inventory-disclosure inconsistency (F-3) was resolved by extending the existing role-based access control to the history endpoints.</w:t>
      </w:r>
    </w:p>
    <w:p>
      <w:pPr>
        <w:pStyle w:val="Heading1"/>
      </w:pPr>
      <w:r>
        <w:t xml:space="preserve">2  Scope and Methodology</w:t>
      </w:r>
    </w:p>
    <w:p>
      <w:pPr>
        <w:spacing w:after="120"/>
      </w:pPr>
      <w:r>
        <w:t xml:space="preserve">Scope: the entire application source tree — the single-file CLI engine (purple_recon.py), the backend service modules (backend/), the frontend (frontend/), and the container / launcher configuration.</w:t>
      </w:r>
    </w:p>
    <w:p>
      <w:pPr>
        <w:spacing w:after="120"/>
      </w:pPr>
      <w:r>
        <w:t xml:space="preserve">Methodology: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Attack-surface inventory: enumeration of entry points, external network I/O, file I/O, database access and trust boundaries.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review by vulnerability class: injection (OS command / nmap argument / SQL / LDAP), server-side request forgery, authentication and authorisation, secrets management, XML external entities and deserialization, denial of service and ReDoS, transport security and SSH host-key handling, and information disclosure.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static analysis: Bandit executed at full strength (all severities and confidence levels, project skip-list disabled).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Software-composition analysis: pip-audit (Python) and npm audit (Node) against the shipped dependency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assurance: every code fix was accompanied by an automated test, and the full suite re-run.</w:t>
      </w:r>
    </w:p>
    <w:p>
      <w:pPr>
        <w:pStyle w:val="Heading1"/>
      </w:pPr>
      <w:r>
        <w:t xml:space="preserve">3  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80"/>
        <w:gridCol w:w="5760"/>
        <w:gridCol w:w="160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Unauthenticated, LAN-exposed scanner in zero-config mode. docker-compose.yml defaults the token to empty and the container binds 0.0.0.0 via --network host; with no token the API granted admin to every caller, so any LAN host could launch scans / credentialed / AD / cloud actions and read the inventory.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DNS-rebinding / drive-by scanning. State-changing GET endpoints (/api/scan/stream, /api/host/scan) could be triggered cross-origin (CORS does not block the request, only reading the response), letting a victim's browser drive the local scanner.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 disclosure. /api/history and /api/history/diff had no RBAC gate (unlike /api/audit), leaking the device / port / vulnerability inventory even when tokens were configured.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7857"/>
                <w:sz w:val="19"/>
                <w:szCs w:val="19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Memory exhaustion via the PDF endpoint. An oversized POST body to /api/report/pdf could exhaust memory in reportlab.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7857"/>
                <w:sz w:val="19"/>
                <w:szCs w:val="19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token accepted via the ?token= query parameter, which can be written to access / proxy logs and browser history.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Guidance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Info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credscan key_filename and adscan dc_host are arbitrary client-supplied path / host values.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F-7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7857"/>
                <w:sz w:val="19"/>
                <w:szCs w:val="19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data at rest (history DB, CVE/KEV/EPSS caches, audit log) uses default file permissions on a shared host.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Recommend</w:t>
            </w:r>
          </w:p>
        </w:tc>
      </w:tr>
    </w:tbl>
    <w:p>
      <w:pPr>
        <w:spacing w:after="120" w:before="100"/>
      </w:pPr>
      <w:r>
        <w:rPr>
          <w:i/>
          <w:iCs/>
          <w:color w:val="475569"/>
          <w:sz w:val="18"/>
          <w:szCs w:val="18"/>
        </w:rPr>
        <w:t xml:space="preserve">Status legend: </w:t>
      </w:r>
      <w:r>
        <w:rPr>
          <w:b/>
          <w:bCs/>
          <w:sz w:val="18"/>
          <w:szCs w:val="18"/>
        </w:rPr>
        <w:t xml:space="preserve">Fixed</w:t>
      </w:r>
      <w:r>
        <w:rPr>
          <w:i/>
          <w:iCs/>
          <w:color w:val="475569"/>
          <w:sz w:val="18"/>
          <w:szCs w:val="18"/>
        </w:rPr>
        <w:t xml:space="preserve"> = remediated in code; </w:t>
      </w:r>
      <w:r>
        <w:rPr>
          <w:b/>
          <w:bCs/>
          <w:sz w:val="18"/>
          <w:szCs w:val="18"/>
        </w:rPr>
        <w:t xml:space="preserve">Guidance / Recommend</w:t>
      </w:r>
      <w:r>
        <w:rPr>
          <w:i/>
          <w:iCs/>
          <w:color w:val="475569"/>
          <w:sz w:val="18"/>
          <w:szCs w:val="18"/>
        </w:rPr>
        <w:t xml:space="preserve"> = documented mitigation; </w:t>
      </w:r>
      <w:r>
        <w:rPr>
          <w:b/>
          <w:bCs/>
          <w:sz w:val="18"/>
          <w:szCs w:val="18"/>
        </w:rPr>
        <w:t xml:space="preserve">Accepted</w:t>
      </w:r>
      <w:r>
        <w:rPr>
          <w:i/>
          <w:iCs/>
          <w:color w:val="475569"/>
          <w:sz w:val="18"/>
          <w:szCs w:val="18"/>
        </w:rPr>
        <w:t xml:space="preserve"> = by-design residual risk.</w:t>
      </w:r>
    </w:p>
    <w:p>
      <w:pPr>
        <w:pStyle w:val="Heading1"/>
        <w:pageBreakBefore/>
      </w:pPr>
      <w:r>
        <w:t xml:space="preserve">4  Detailed Findings</w:t>
      </w:r>
    </w:p>
    <w:p>
      <w:pPr>
        <w:pStyle w:val="Heading2"/>
        <w:spacing w:after="80" w:before="200"/>
      </w:pPr>
      <w:r>
        <w:t xml:space="preserve">F-1  Unauthenticated, LAN-exposed scanner in zero-config mode  </w:t>
      </w:r>
      <w:r>
        <w:rPr>
          <w:b/>
          <w:bCs/>
          <w:color w:val="B91C1C"/>
        </w:rPr>
        <w:t xml:space="preserve">[High]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With no token configured, the API's zero-config “open” mode grants administrative access to every caller. Combined with the container's 0.0.0.0 bind under Docker --network host, this exposed the full scanning capability — host discovery, credentialed SSH scans, Active Directory and AWS enumeration, and the stored inventory — to any host on the local network.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Open mode is now fail-closed to local clients. A middleware (app.py:_local_only_in_open_mode) refuses any /api/* request from a non-loopback peer when no token is configured, so binding to 0.0.0.0 can no longer expose the scanner to the LAN; authenticated remote access is opt-in via ENUMGRID_ADMIN_TOKEN.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backend/app.py, backend/security.py (open_mode, client_is_local), docker-compose.yml</w:t>
      </w:r>
    </w:p>
    <w:p>
      <w:pPr>
        <w:pStyle w:val="Heading2"/>
        <w:spacing w:after="80" w:before="200"/>
      </w:pPr>
      <w:r>
        <w:t xml:space="preserve">F-2  DNS-rebinding / drive-by scanning  </w:t>
      </w:r>
      <w:r>
        <w:rPr>
          <w:b/>
          <w:bCs/>
          <w:color w:val="B45309"/>
        </w:rPr>
        <w:t xml:space="preserve">[Medium]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Browsers send cross-origin requests even when CORS prevents the response from being read. A malicious web page whose domain resolves to 127.0.0.1 (DNS rebinding), or a simple &lt;img&gt;/fetch to the localhost port, could therefore make the victim's own machine launch a scan of its local network without consent — contrary to the tool's authorised-use principle.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The same open-mode middleware additionally validates that the HTTP Host header is local (security.host_header_local); a rebinding request carries Host: evil.example, which is rejected. State-changing JSON POSTs are independently protected by the CORS pre-flight, which is restricted to the development origin.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backend/app.py, backend/security.py (host_header_local)</w:t>
      </w:r>
    </w:p>
    <w:p>
      <w:pPr>
        <w:pStyle w:val="Heading2"/>
        <w:spacing w:after="80" w:before="200"/>
      </w:pPr>
      <w:r>
        <w:t xml:space="preserve">F-3  Inventory disclosure via history endpoints  </w:t>
      </w:r>
      <w:r>
        <w:rPr>
          <w:b/>
          <w:bCs/>
          <w:color w:val="B45309"/>
        </w:rPr>
        <w:t xml:space="preserve">[Medium]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/api/history and /api/history/diff returned the operator's device inventory, open ports and drift without any authentication — even when admin/viewer tokens were configured — an inconsistency with /api/audit, which was already RBAC-gated.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Both endpoints now require a valid viewer or admin token (token_ok), matching /api/audit. Behaviour in zero-config dev mode is unchanged (token_ok returns true when no tokens are set).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backend/app.py (history_list, history_diff)</w:t>
      </w:r>
    </w:p>
    <w:p>
      <w:pPr>
        <w:pStyle w:val="Heading2"/>
        <w:spacing w:after="80" w:before="200"/>
      </w:pPr>
      <w:r>
        <w:t xml:space="preserve">F-4  Memory exhaustion via the PDF report endpoint  </w:t>
      </w:r>
      <w:r>
        <w:rPr>
          <w:b/>
          <w:bCs/>
          <w:color w:val="047857"/>
        </w:rPr>
        <w:t xml:space="preserve">[Low]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The /api/report/pdf endpoint renders a client-supplied host list with no upper bound; a crafted oversized body could exhaust memory in reportlab.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build_pdf now caps the rendered host list (MAX_REPORT_HOSTS = 10,000, well above the scan host cap of 4,096) before rendering.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backend/report.py (build_pdf)</w:t>
      </w:r>
    </w:p>
    <w:p>
      <w:pPr>
        <w:pStyle w:val="Heading2"/>
        <w:spacing w:after="80" w:before="200"/>
      </w:pPr>
      <w:r>
        <w:t xml:space="preserve">F-5  API token accepted in the URL query string  </w:t>
      </w:r>
      <w:r>
        <w:rPr>
          <w:b/>
          <w:bCs/>
          <w:color w:val="047857"/>
        </w:rPr>
        <w:t xml:space="preserve">[Low]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Tokens passed as ?token= can be written to web-server access logs, reverse-proxy logs and browser history.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Documented guidance to prefer the Authorization: Bearer header (already supported by the application) and to front the API with TLS before any remote exposure. The query form is retained only for local convenience.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SECURITY.md, backend/README.md, docs/THREAT_MODEL.md</w:t>
      </w:r>
    </w:p>
    <w:p>
      <w:pPr>
        <w:pStyle w:val="Heading2"/>
        <w:spacing w:after="80" w:before="200"/>
      </w:pPr>
      <w:r>
        <w:t xml:space="preserve">F-6  Admin-trusted file path / host inputs  </w:t>
      </w:r>
      <w:r>
        <w:rPr>
          <w:b/>
          <w:bCs/>
          <w:color w:val="475569"/>
        </w:rPr>
        <w:t xml:space="preserve">[Info]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The credentialed SSH endpoint accepts a client-supplied private-key path, and the AD endpoint a client-supplied domain-controller host. These are arbitrary values.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Accepted as by-design: both endpoints are admin-gated and intended for assets the operator administers using their own credentials; the inputs are the operator's own. Documented as residual risk.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backend/credscan.py, backend/adscan.py (admin-gated)</w:t>
      </w:r>
    </w:p>
    <w:p>
      <w:pPr>
        <w:pStyle w:val="Heading2"/>
        <w:spacing w:after="80" w:before="200"/>
      </w:pPr>
      <w:r>
        <w:t xml:space="preserve">F-7  Local data-at-rest permissions  </w:t>
      </w:r>
      <w:r>
        <w:rPr>
          <w:b/>
          <w:bCs/>
          <w:color w:val="047857"/>
        </w:rPr>
        <w:t xml:space="preserve">[Low]</w:t>
      </w:r>
    </w:p>
    <w:p>
      <w:pPr>
        <w:spacing w:after="80"/>
      </w:pPr>
      <w:r>
        <w:rPr>
          <w:b/>
          <w:bCs/>
        </w:rPr>
        <w:t xml:space="preserve">Impact.  </w:t>
      </w:r>
      <w:r>
        <w:t xml:space="preserve">On a shared host, the SQLite history DB, CVE/KEV/EPSS caches and the JSONL audit log are written with default permissions and may be readable by other local users.</w:t>
      </w:r>
    </w:p>
    <w:p>
      <w:pPr>
        <w:spacing w:after="80"/>
      </w:pPr>
      <w:r>
        <w:rPr>
          <w:b/>
          <w:bCs/>
        </w:rPr>
        <w:t xml:space="preserve">Remediation.  </w:t>
      </w:r>
      <w:r>
        <w:t xml:space="preserve">Documented hardening recommendation to restrict the working-directory permissions. The NVD API-key file is already written owner-only (0600).</w:t>
      </w:r>
    </w:p>
    <w:p>
      <w:pPr>
        <w:spacing w:after="80"/>
      </w:pPr>
      <w:r>
        <w:rPr>
          <w:b/>
          <w:bCs/>
        </w:rPr>
        <w:t xml:space="preserve">Location.  </w:t>
      </w:r>
      <w:r>
        <w:rPr>
          <w:rFonts w:ascii="Consolas" w:cs="Consolas" w:eastAsia="Consolas" w:hAnsi="Consolas"/>
          <w:sz w:val="18"/>
          <w:szCs w:val="18"/>
        </w:rPr>
        <w:t xml:space="preserve">docs/THREAT_MODEL.md, SECURITY.md</w:t>
      </w:r>
    </w:p>
    <w:p>
      <w:pPr>
        <w:pStyle w:val="Heading1"/>
        <w:pageBreakBefore/>
      </w:pPr>
      <w:r>
        <w:t xml:space="preserve">5  Areas Assessed as Secure (Assurance)</w:t>
      </w:r>
    </w:p>
    <w:p>
      <w:pPr>
        <w:spacing w:after="120"/>
      </w:pPr>
      <w:r>
        <w:t xml:space="preserve">The following vulnerability classes were specifically examined and found to be adequately controlled. They are recorded here as positive assurance, not merely as the absence of a finding.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nmap argument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server-defined profile allowlist + validated script/port tokens + list-form subprocess (no shell, no eval/exec).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SSRF (scan target / cloud metadata)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ScopeValidator blocks loopback, link-local (incl. 169.254.169.254), multicast, broadcast and reserved; hostnames are rejected (IP/CIDR only); webscan/credscan targets are scope-validated; the SSDP LOCATION fetch is host-matched and scheme-checked.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every query is parameterised; the only interpolated token is a hard-coded column constant.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XXE / insecure deserialization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no XML parser on untrusted input (SSDP uses bounded regex, certs parsed from DER); JSON only; no pickle / yaml.load / eval / exec / shell=True.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LDAP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LDAP search filters are static constants; no user input is placed in a filter.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Secrets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tokens compared with hmac.compare_digest (constant time); NVD key file 0600; SSH/LDAP/AWS credentials in memory only, never logged; SSH RejectPolicy by default.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Regular-expression DoS (ReDoS)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Secure - all patterns are bounded with no catastrophic backtracking; network parsers are property-fuzzed (hypothesis).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SAST / 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 - Bandit (full strength) reports only low / informational items (subprocess-by-name, try/except/pass); pip-audit 0 and npm audit 0.</w:t>
            </w:r>
          </w:p>
        </w:tc>
      </w:tr>
    </w:tbl>
    <w:p>
      <w:pPr>
        <w:pStyle w:val="Heading1"/>
      </w:pPr>
      <w:r>
        <w:t xml:space="preserve">6  Remediation Verification</w:t>
      </w:r>
    </w:p>
    <w:p>
      <w:pPr>
        <w:spacing w:after="120"/>
      </w:pPr>
      <w:r>
        <w:t xml:space="preserve">All fixes were verified by automated testing and re-scanning: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suite: </w:t>
      </w:r>
      <w:r>
        <w:t xml:space="preserve">446 automated tests pass (CLI 84, backend 336, evaluation 7, frontend 19), including five new tests covering the open-mode locality guard, the Host-header anti-rebinding check, an end-to-end rebinding rejection, and the history-endpoint RBAC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analysis: </w:t>
      </w:r>
      <w:r>
        <w:t xml:space="preserve">Bandit (CI configuration) exits clean; Ruff reports no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Dependencies: </w:t>
      </w:r>
      <w:r>
        <w:t xml:space="preserve">pip-audit and npm audit both report zero known vulnerabilities.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 xml:space="preserve">the frontend production build completes without error.</w:t>
      </w:r>
    </w:p>
    <w:p>
      <w:pPr>
        <w:pStyle w:val="Heading1"/>
      </w:pPr>
      <w:r>
        <w:t xml:space="preserve">7  Conclusion and Residual Risk</w:t>
      </w:r>
    </w:p>
    <w:p>
      <w:pPr>
        <w:spacing w:after="120"/>
      </w:pPr>
      <w:r>
        <w:t xml:space="preserve">ENUMGRID demonstrated a strong baseline security posture, consistent with its stated “accuracy-first, authorised-use” design philosophy. Its core controls — a single, reused scope validator; injection-safe, list-form process invocation; and the deliberate avoidance of dangerous language features — are sound. The assessment's material contribution was to close the unauthenticated-exposure path (the open-mode / LAN / DNS-rebinding class) and the history-endpoint authorisation gap, both of which are now fail-closed and covered by regression tests.</w:t>
      </w:r>
    </w:p>
    <w:p>
      <w:pPr>
        <w:spacing w:after="120"/>
      </w:pPr>
      <w:r>
        <w:t xml:space="preserve">Residual risk is low and documented in docs/THREAT_MODEL.md (controls T15–T18) and SECURITY.md: operators should prefer the Authorization header over the query-string token, restrict working-directory permissions on shared hosts, and front the API with TLS and a token before any deliberate remote exposure. As an offensive-capable tool, ENUMGRID's safe operation ultimately depends on the operator confining its use to systems they own or are explicitly authorised to assess.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3B8"/>
        <w:sz w:val="16"/>
        <w:szCs w:val="16"/>
      </w:rPr>
      <w:t xml:space="preserve">Confidential — MSc dissertation appendix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4A3B8"/>
        <w:sz w:val="16"/>
        <w:szCs w:val="16"/>
      </w:rPr>
      <w:t xml:space="preserve">ENUMGRID — Security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2026-06-30T18:22:46.795Z</dcterms:created>
  <dcterms:modified xsi:type="dcterms:W3CDTF">2026-06-30T18:22:46.800Z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