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Limitations &amp; Reviewer Response</w:t>
      </w:r>
    </w:p>
    <w:p>
      <w:pPr>
        <w:spacing w:after="40" w:before="0"/>
      </w:pPr>
      <w:r>
        <w:rPr>
          <w:rFonts w:ascii="Arial" w:cs="Arial" w:eastAsia="Arial" w:hAnsi="Arial"/>
          <w:color w:val="444444"/>
          <w:sz w:val="22"/>
          <w:szCs w:val="22"/>
        </w:rPr>
        <w:t xml:space="preserve">Motor Balance Analysis: Preliminary Welding Exposure Stages vs Hoehn &amp; Yahr Stages</w:t>
      </w:r>
    </w:p>
    <w:p>
      <w:pPr>
        <w:spacing w:after="280" w:before="0"/>
      </w:pPr>
      <w:r>
        <w:rPr>
          <w:rFonts w:ascii="Arial" w:cs="Arial" w:eastAsia="Arial" w:hAnsi="Arial"/>
          <w:i/>
          <w:iCs/>
          <w:color w:val="888888"/>
          <w:sz w:val="18"/>
          <w:szCs w:val="18"/>
        </w:rPr>
        <w:t xml:space="preserve">Pilot / Exploratory Study  •  PD n = 14  •  Welders n = 16  •  Total n = 30</w:t>
      </w: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1. Overview</w:t>
      </w:r>
    </w:p>
    <w:p>
      <w:pPr>
        <w:spacing w:after="100" w:before="60"/>
      </w:pPr>
      <w:r>
        <w:rPr>
          <w:rFonts w:ascii="Arial" w:cs="Arial" w:eastAsia="Arial" w:hAnsi="Arial"/>
          <w:sz w:val="20"/>
          <w:szCs w:val="20"/>
        </w:rPr>
        <w:t xml:space="preserve">This document consolidates the study’s methodological limitations and provides draft responses to anticipated peer-reviewer concerns. The analysis is genuinely valuable as a </w:t>
      </w:r>
      <w:r>
        <w:rPr>
          <w:rFonts w:ascii="Arial" w:cs="Arial" w:eastAsia="Arial" w:hAnsi="Arial"/>
          <w:b/>
          <w:bCs/>
          <w:sz w:val="20"/>
          <w:szCs w:val="20"/>
        </w:rPr>
        <w:t xml:space="preserve">pilot and hypothesis-generating</w:t>
      </w:r>
      <w:r>
        <w:rPr>
          <w:rFonts w:ascii="Arial" w:cs="Arial" w:eastAsia="Arial" w:hAnsi="Arial"/>
          <w:sz w:val="20"/>
          <w:szCs w:val="20"/>
        </w:rPr>
        <w:t xml:space="preserve"> framework. The goal of this document is to help reframe the contribution honestly and identify specific fixes before submission.</w:t>
      </w:r>
    </w:p>
    <w:p>
      <w:pPr>
        <w:spacing w:after="100" w:before="60"/>
      </w:pPr>
      <w:r>
        <w:rPr>
          <w:rFonts w:ascii="Arial" w:cs="Arial" w:eastAsia="Arial" w:hAnsi="Arial"/>
          <w:sz w:val="20"/>
          <w:szCs w:val="20"/>
        </w:rPr>
        <w:t xml:space="preserve">The core message should shift from “we achieved high classification accuracy” to “we developed a preliminary exposure staging framework, identified the boundaries of PD-to-welder stage transfer, and surfaced important null results that inform future study design.”</w:t>
      </w: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2. Limitations Summary</w:t>
      </w:r>
    </w:p>
    <w:p>
      <w:pPr>
        <w:spacing w:after="100" w:before="60"/>
      </w:pPr>
      <w:r>
        <w:rPr>
          <w:rFonts w:ascii="Arial" w:cs="Arial" w:eastAsia="Arial" w:hAnsi="Arial"/>
          <w:sz w:val="20"/>
          <w:szCs w:val="20"/>
        </w:rPr>
        <w:t xml:space="preserve">The table below classifies each limitation by severity. Critical issues must be addressed before submission; Major issues should be explicitly discussed; Moderate issues should be noted.</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8"/>
                <w:szCs w:val="18"/>
              </w:rPr>
              <w:t xml:space="preserve">Issue</w:t>
            </w:r>
          </w:p>
        </w:tc>
        <w:tc>
          <w:tcPr>
            <w:tcW w:type="dxa" w:w="1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556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2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Circular labelling</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55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Motor_Balance_Severity and high_fall_risk are derived from BBS thresholds, yet BBS is also used as a predictor. The resulting 100% classification metrics are artefacts, not evidence of genuine predictive validity.</w:t>
            </w:r>
          </w:p>
        </w:tc>
      </w:tr>
      <w:tr>
        <w:tc>
          <w:tcPr>
            <w:tcW w:type="dxa" w:w="26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Age confound</w:t>
            </w:r>
          </w:p>
        </w:tc>
        <w:tc>
          <w:tcPr>
            <w:tcW w:type="dxa" w:w="120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Critical</w:t>
            </w:r>
          </w:p>
        </w:tc>
        <w:tc>
          <w:tcPr>
            <w:tcW w:type="dxa" w:w="556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tcPr>
          <w:p>
            <w:r>
              <w:rPr>
                <w:rFonts w:ascii="Arial" w:cs="Arial" w:eastAsia="Arial" w:hAnsi="Arial"/>
                <w:b w:val="false"/>
                <w:bCs w:val="false"/>
                <w:sz w:val="18"/>
                <w:szCs w:val="18"/>
              </w:rPr>
              <w:t xml:space="preserve">PD patients (71.7 ± 6.2 yr) are ~30 years older than welders (41.8 ± 6.3 yr). Group differences in balance and fall risk may partly reflect age rather than disease or occupational exposure.</w:t>
            </w:r>
          </w:p>
        </w:tc>
      </w:tr>
      <w:tr>
        <w:tc>
          <w:tcPr>
            <w:tcW w:type="dxa" w:w="2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H&amp;Y stage-2 collapse</w:t>
            </w:r>
          </w:p>
        </w:tc>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Major</w:t>
            </w:r>
          </w:p>
        </w:tc>
        <w:tc>
          <w:tcPr>
            <w:tcW w:type="dxa" w:w="556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All 16 welders are assigned to Stage 2 by the aggregator model (std = 0.0). With n = 14 PD patients and 4 active stage classes, the model defaults to the central class. This is a degenerate result that limits clinical utility.</w:t>
            </w:r>
          </w:p>
        </w:tc>
      </w:tr>
      <w:tr>
        <w:tc>
          <w:tcPr>
            <w:tcW w:type="dxa" w:w="2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Null welding-stage correlations</w:t>
            </w:r>
          </w:p>
        </w:tc>
        <w:tc>
          <w:tcPr>
            <w:tcW w:type="dxa" w:w="12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Major</w:t>
            </w:r>
          </w:p>
        </w:tc>
        <w:tc>
          <w:tcPr>
            <w:tcW w:type="dxa" w:w="556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W-Stage vs BBS (ρ = −0.028, p = 0.917), Exposure Years vs BBS (ρ = 0.032, p = 0.908), Exposure Index vs BBS (ρ = −0.095, p = 0.726). These are important null findings and should be foregrounded.</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Missing H&amp;Y Stage 4 / sparse W-Stage 5</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PD patients at Stage 4; only n = 1 welder at W-Stage 5. Stage-by-stage comparisons for these cells produce NaN statistics and are uninterpretable.</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In-sample classification reports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Moderate</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Final classification reports call predict(X_scaled) on the full training set. Only LOOCV scores should be reported as model performance estimates.</w:t>
            </w:r>
          </w:p>
        </w:tc>
      </w:tr>
      <w:tr>
        <w:tc>
          <w:tcPr>
            <w:tcW w:type="dxa" w:w="2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Small n overall</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Inherent</w:t>
            </w:r>
          </w:p>
        </w:tc>
        <w:tc>
          <w:tcPr>
            <w:tcW w:type="dxa" w:w="5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 = 30 total (PD = 14, Welders = 16). All findings are hypothesis-generating. No statistical conclusions should be drawn about population-level effects.</w:t>
            </w:r>
          </w:p>
        </w:tc>
      </w:tr>
    </w:tbl>
    <w:p>
      <w:pPr>
        <w:spacing w:after="0" w:before="240"/>
      </w:pP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3. Recommended Fixes</w:t>
      </w:r>
    </w:p>
    <w:p>
      <w:pPr>
        <w:pStyle w:val="Heading2"/>
        <w:spacing w:after="120" w:before="240"/>
      </w:pPr>
      <w:r>
        <w:rPr>
          <w:rFonts w:ascii="Arial" w:cs="Arial" w:eastAsia="Arial" w:hAnsi="Arial"/>
          <w:b/>
          <w:bCs/>
          <w:color w:val="1F4E79"/>
          <w:sz w:val="26"/>
          <w:szCs w:val="26"/>
        </w:rPr>
        <w:t xml:space="preserve">3.1  Resolve circular labelling (Critical)</w:t>
      </w:r>
    </w:p>
    <w:p>
      <w:pPr>
        <w:spacing w:after="100" w:before="60"/>
      </w:pPr>
      <w:r>
        <w:rPr>
          <w:rFonts w:ascii="Arial" w:cs="Arial" w:eastAsia="Arial" w:hAnsi="Arial"/>
          <w:sz w:val="20"/>
          <w:szCs w:val="20"/>
        </w:rPr>
        <w:t xml:space="preserve">The two highest-reported accuracy figures (Motor Balance Severity ~97–99%, Fall Risk ~93–97%) are artefacts. They arise because the outcome labels are directly derived from the BBS threshold, and BBS is simultaneously used as a predictor.</w:t>
      </w:r>
    </w:p>
    <w:p>
      <w:pPr>
        <w:spacing w:after="100" w:before="60"/>
      </w:pPr>
      <w:r>
        <w:rPr>
          <w:rFonts w:ascii="Arial" w:cs="Arial" w:eastAsia="Arial" w:hAnsi="Arial"/>
          <w:sz w:val="20"/>
          <w:szCs w:val="20"/>
        </w:rPr>
        <w:t xml:space="preserve">Practical steps:</w:t>
      </w:r>
    </w:p>
    <w:p>
      <w:pPr>
        <w:pStyle w:val="ListParagraph"/>
        <w:numPr>
          <w:ilvl w:val="0"/>
          <w:numId w:val="2"/>
        </w:numPr>
        <w:spacing w:after="60" w:before="40"/>
      </w:pPr>
      <w:r>
        <w:rPr>
          <w:rFonts w:ascii="Arial" w:cs="Arial" w:eastAsia="Arial" w:hAnsi="Arial"/>
          <w:b w:val="false"/>
          <w:bCs w:val="false"/>
          <w:sz w:val="20"/>
          <w:szCs w:val="20"/>
        </w:rPr>
        <w:t xml:space="preserve">For </w:t>
      </w:r>
      <w:r>
        <w:rPr>
          <w:rFonts w:ascii="Arial" w:cs="Arial" w:eastAsia="Arial" w:hAnsi="Arial"/>
          <w:b/>
          <w:bCs/>
          <w:sz w:val="20"/>
          <w:szCs w:val="20"/>
        </w:rPr>
        <w:t xml:space="preserve">fall risk</w:t>
      </w:r>
      <w:r>
        <w:rPr>
          <w:rFonts w:ascii="Arial" w:cs="Arial" w:eastAsia="Arial" w:hAnsi="Arial"/>
          <w:sz w:val="20"/>
          <w:szCs w:val="20"/>
        </w:rPr>
        <w:t xml:space="preserve">: replace ‘BBS &lt; 45’ with the participant’s self-reported fall history, which is already in your dataset (column: ‘History of Fall’ for welders, ‘Number of Falls in Last 6 Months’ for PD). This gives an independent label.</w:t>
      </w:r>
    </w:p>
    <w:p>
      <w:pPr>
        <w:pStyle w:val="ListParagraph"/>
        <w:numPr>
          <w:ilvl w:val="0"/>
          <w:numId w:val="2"/>
        </w:numPr>
        <w:spacing w:after="60" w:before="40"/>
      </w:pPr>
      <w:r>
        <w:rPr>
          <w:rFonts w:ascii="Arial" w:cs="Arial" w:eastAsia="Arial" w:hAnsi="Arial"/>
          <w:b w:val="false"/>
          <w:bCs w:val="false"/>
          <w:sz w:val="20"/>
          <w:szCs w:val="20"/>
        </w:rPr>
        <w:t xml:space="preserve">For </w:t>
      </w:r>
      <w:r>
        <w:rPr>
          <w:rFonts w:ascii="Arial" w:cs="Arial" w:eastAsia="Arial" w:hAnsi="Arial"/>
          <w:b/>
          <w:bCs/>
          <w:sz w:val="20"/>
          <w:szCs w:val="20"/>
        </w:rPr>
        <w:t xml:space="preserve">Motor Balance Severity</w:t>
      </w:r>
      <w:r>
        <w:rPr>
          <w:rFonts w:ascii="Arial" w:cs="Arial" w:eastAsia="Arial" w:hAnsi="Arial"/>
          <w:sz w:val="20"/>
          <w:szCs w:val="20"/>
        </w:rPr>
        <w:t xml:space="preserve">: either (a) remove BBS and MiniBEST from the feature set and predict severity from age, FES, fall history, and exposure years only, or (b) drop the severity classification task entirely and treat the severity label purely as a descriptive grouping variable.</w:t>
      </w:r>
    </w:p>
    <w:p>
      <w:pPr>
        <w:pStyle w:val="ListParagraph"/>
        <w:numPr>
          <w:ilvl w:val="0"/>
          <w:numId w:val="2"/>
        </w:numPr>
        <w:spacing w:after="60" w:before="40"/>
      </w:pPr>
      <w:r>
        <w:rPr>
          <w:rFonts w:ascii="Arial" w:cs="Arial" w:eastAsia="Arial" w:hAnsi="Arial"/>
          <w:sz w:val="20"/>
          <w:szCs w:val="20"/>
        </w:rPr>
        <w:t xml:space="preserve">Remove any classification report that evaluates on training data. LOOCV accuracy is the only valid performance estimate to report.</w:t>
      </w:r>
    </w:p>
    <w:p>
      <w:pPr>
        <w:pStyle w:val="Heading2"/>
        <w:spacing w:after="120" w:before="240"/>
      </w:pPr>
      <w:r>
        <w:rPr>
          <w:rFonts w:ascii="Arial" w:cs="Arial" w:eastAsia="Arial" w:hAnsi="Arial"/>
          <w:b/>
          <w:bCs/>
          <w:color w:val="1F4E79"/>
          <w:sz w:val="26"/>
          <w:szCs w:val="26"/>
        </w:rPr>
        <w:t xml:space="preserve">3.2  Address the age confound (Critical)</w:t>
      </w:r>
    </w:p>
    <w:p>
      <w:pPr>
        <w:spacing w:after="100" w:before="60"/>
      </w:pPr>
      <w:r>
        <w:rPr>
          <w:rFonts w:ascii="Arial" w:cs="Arial" w:eastAsia="Arial" w:hAnsi="Arial"/>
          <w:sz w:val="20"/>
          <w:szCs w:val="20"/>
        </w:rPr>
        <w:t xml:space="preserve">The ~30-year age gap is the most likely alternative explanation for every group-level difference found.</w:t>
      </w:r>
    </w:p>
    <w:p>
      <w:pPr>
        <w:spacing w:after="100" w:before="60"/>
      </w:pPr>
      <w:r>
        <w:rPr>
          <w:rFonts w:ascii="Arial" w:cs="Arial" w:eastAsia="Arial" w:hAnsi="Arial"/>
          <w:sz w:val="20"/>
          <w:szCs w:val="20"/>
        </w:rPr>
        <w:t xml:space="preserve">Practical steps:</w:t>
      </w:r>
    </w:p>
    <w:p>
      <w:pPr>
        <w:pStyle w:val="ListParagraph"/>
        <w:numPr>
          <w:ilvl w:val="0"/>
          <w:numId w:val="2"/>
        </w:numPr>
        <w:spacing w:after="60" w:before="40"/>
      </w:pPr>
      <w:r>
        <w:rPr>
          <w:rFonts w:ascii="Arial" w:cs="Arial" w:eastAsia="Arial" w:hAnsi="Arial"/>
          <w:sz w:val="20"/>
          <w:szCs w:val="20"/>
        </w:rPr>
        <w:t xml:space="preserve">Add a dedicated ‘Age Confound’ paragraph to the Limitations section acknowledging this explicitly.</w:t>
      </w:r>
    </w:p>
    <w:p>
      <w:pPr>
        <w:pStyle w:val="ListParagraph"/>
        <w:numPr>
          <w:ilvl w:val="0"/>
          <w:numId w:val="2"/>
        </w:numPr>
        <w:spacing w:after="60" w:before="40"/>
      </w:pPr>
      <w:r>
        <w:rPr>
          <w:rFonts w:ascii="Arial" w:cs="Arial" w:eastAsia="Arial" w:hAnsi="Arial"/>
          <w:sz w:val="20"/>
          <w:szCs w:val="20"/>
        </w:rPr>
        <w:t xml:space="preserve">Consider adding age as a covariate in any regression or classification that compares groups, and report results with and without age adjustment side-by-side.</w:t>
      </w:r>
    </w:p>
    <w:p>
      <w:pPr>
        <w:pStyle w:val="ListParagraph"/>
        <w:numPr>
          <w:ilvl w:val="0"/>
          <w:numId w:val="2"/>
        </w:numPr>
        <w:spacing w:after="60" w:before="40"/>
      </w:pPr>
      <w:r>
        <w:rPr>
          <w:rFonts w:ascii="Arial" w:cs="Arial" w:eastAsia="Arial" w:hAnsi="Arial"/>
          <w:sz w:val="20"/>
          <w:szCs w:val="20"/>
        </w:rPr>
        <w:t xml:space="preserve">In the abstract and discussion, avoid claiming that observed balance differences are exposure- or disease-driven without qualifying that age is uncontrolled.</w:t>
      </w:r>
    </w:p>
    <w:p>
      <w:pPr>
        <w:pStyle w:val="Heading2"/>
        <w:spacing w:after="120" w:before="240"/>
      </w:pPr>
      <w:r>
        <w:rPr>
          <w:rFonts w:ascii="Arial" w:cs="Arial" w:eastAsia="Arial" w:hAnsi="Arial"/>
          <w:b/>
          <w:bCs/>
          <w:color w:val="1F4E79"/>
          <w:sz w:val="26"/>
          <w:szCs w:val="26"/>
        </w:rPr>
        <w:t xml:space="preserve">3.3  Reframe the H&amp;Y stage-2 collapse (Major)</w:t>
      </w:r>
    </w:p>
    <w:p>
      <w:pPr>
        <w:spacing w:after="100" w:before="60"/>
      </w:pPr>
      <w:r>
        <w:rPr>
          <w:rFonts w:ascii="Arial" w:cs="Arial" w:eastAsia="Arial" w:hAnsi="Arial"/>
          <w:sz w:val="20"/>
          <w:szCs w:val="20"/>
        </w:rPr>
        <w:t xml:space="preserve">All 16 welders receiving a predicted Stage 2 (std = 0.0) is not a modelling success — it means the model has collapsed to a single class. This is expected given n = 14 PD patients across 4 classes, but it should be reported honestly.</w:t>
      </w:r>
    </w:p>
    <w:p>
      <w:pPr>
        <w:spacing w:after="100" w:before="60"/>
      </w:pPr>
      <w:r>
        <w:rPr>
          <w:rFonts w:ascii="Arial" w:cs="Arial" w:eastAsia="Arial" w:hAnsi="Arial"/>
          <w:sz w:val="20"/>
          <w:szCs w:val="20"/>
        </w:rPr>
        <w:t xml:space="preserve">Practical steps:</w:t>
      </w:r>
    </w:p>
    <w:p>
      <w:pPr>
        <w:pStyle w:val="ListParagraph"/>
        <w:numPr>
          <w:ilvl w:val="0"/>
          <w:numId w:val="2"/>
        </w:numPr>
        <w:spacing w:after="60" w:before="40"/>
      </w:pPr>
      <w:r>
        <w:rPr>
          <w:rFonts w:ascii="Arial" w:cs="Arial" w:eastAsia="Arial" w:hAnsi="Arial"/>
          <w:sz w:val="20"/>
          <w:szCs w:val="20"/>
        </w:rPr>
        <w:t xml:space="preserve">In Section 7.0, add a paragraph titled ‘Degenerate Prediction Result’ explaining the collapse and what it implies.</w:t>
      </w:r>
    </w:p>
    <w:p>
      <w:pPr>
        <w:pStyle w:val="ListParagraph"/>
        <w:numPr>
          <w:ilvl w:val="0"/>
          <w:numId w:val="2"/>
        </w:numPr>
        <w:spacing w:after="60" w:before="40"/>
      </w:pPr>
      <w:r>
        <w:rPr>
          <w:rFonts w:ascii="Arial" w:cs="Arial" w:eastAsia="Arial" w:hAnsi="Arial"/>
          <w:sz w:val="20"/>
          <w:szCs w:val="20"/>
        </w:rPr>
        <w:t xml:space="preserve">Reframe the contribution as: “We tested whether a PD-trained H&amp;Y classifier transfers to welders; the result suggests it does not produce useful stage differentiation at this sample size, which is itself informative for future study design.”</w:t>
      </w:r>
    </w:p>
    <w:p>
      <w:pPr>
        <w:pStyle w:val="ListParagraph"/>
        <w:numPr>
          <w:ilvl w:val="0"/>
          <w:numId w:val="2"/>
        </w:numPr>
        <w:spacing w:after="60" w:before="40"/>
      </w:pPr>
      <w:r>
        <w:rPr>
          <w:rFonts w:ascii="Arial" w:cs="Arial" w:eastAsia="Arial" w:hAnsi="Arial"/>
          <w:sz w:val="20"/>
          <w:szCs w:val="20"/>
        </w:rPr>
        <w:t xml:space="preserve">Report the ±1 stage accuracy metric (which reaches 71.4% LOOCV) as a more informative measure than exact-match accuracy for ordinal outcomes.</w:t>
      </w:r>
    </w:p>
    <w:p>
      <w:pPr>
        <w:pStyle w:val="Heading2"/>
        <w:spacing w:after="120" w:before="240"/>
      </w:pPr>
      <w:r>
        <w:rPr>
          <w:rFonts w:ascii="Arial" w:cs="Arial" w:eastAsia="Arial" w:hAnsi="Arial"/>
          <w:b/>
          <w:bCs/>
          <w:color w:val="1F4E79"/>
          <w:sz w:val="26"/>
          <w:szCs w:val="26"/>
        </w:rPr>
        <w:t xml:space="preserve">3.4  Foreground null welding-stage correlations (Major)</w:t>
      </w:r>
    </w:p>
    <w:p>
      <w:pPr>
        <w:spacing w:after="100" w:before="60"/>
      </w:pPr>
      <w:r>
        <w:rPr>
          <w:rFonts w:ascii="Arial" w:cs="Arial" w:eastAsia="Arial" w:hAnsi="Arial"/>
          <w:sz w:val="20"/>
          <w:szCs w:val="20"/>
        </w:rPr>
        <w:t xml:space="preserve">The correlations between W-Stage / Exposure Years / Exposure Index and BBS are all non-significant. This is the most clinically important finding in the welder cohort and should not be buried.</w:t>
      </w:r>
    </w:p>
    <w:p>
      <w:pPr>
        <w:spacing w:after="100" w:before="60"/>
      </w:pPr>
      <w:r>
        <w:rPr>
          <w:rFonts w:ascii="Arial" w:cs="Arial" w:eastAsia="Arial" w:hAnsi="Arial"/>
          <w:sz w:val="20"/>
          <w:szCs w:val="20"/>
        </w:rPr>
        <w:t xml:space="preserve">Practical steps:</w:t>
      </w:r>
    </w:p>
    <w:p>
      <w:pPr>
        <w:pStyle w:val="ListParagraph"/>
        <w:numPr>
          <w:ilvl w:val="0"/>
          <w:numId w:val="2"/>
        </w:numPr>
        <w:spacing w:after="60" w:before="40"/>
      </w:pPr>
      <w:r>
        <w:rPr>
          <w:rFonts w:ascii="Arial" w:cs="Arial" w:eastAsia="Arial" w:hAnsi="Arial"/>
          <w:sz w:val="20"/>
          <w:szCs w:val="20"/>
        </w:rPr>
        <w:t xml:space="preserve">Add a dedicated results paragraph: “The preliminary W1–W5 staging system, based on years of exposure alone, did not show a statistically significant relationship with balance outcomes in this pilot sample (ρ range −0.028 to 0.032, all p &gt; 0.9). The sole significant predictor was FES fear-of-falling score vs exposure years (ρ = 0.52, p = 0.040).”</w:t>
      </w:r>
    </w:p>
    <w:p>
      <w:pPr>
        <w:pStyle w:val="ListParagraph"/>
        <w:numPr>
          <w:ilvl w:val="0"/>
          <w:numId w:val="2"/>
        </w:numPr>
        <w:spacing w:after="60" w:before="40"/>
      </w:pPr>
      <w:r>
        <w:rPr>
          <w:rFonts w:ascii="Arial" w:cs="Arial" w:eastAsia="Arial" w:hAnsi="Arial"/>
          <w:sz w:val="20"/>
          <w:szCs w:val="20"/>
        </w:rPr>
        <w:t xml:space="preserve">Interpret this as a hypothesis: cumulative exposure duration may not be the right construct; intensity-adjusted exposure (noise, vibration, fume hours) may be needed.</w:t>
      </w:r>
    </w:p>
    <w:p>
      <w:pPr>
        <w:pStyle w:val="ListParagraph"/>
        <w:numPr>
          <w:ilvl w:val="0"/>
          <w:numId w:val="2"/>
        </w:numPr>
        <w:spacing w:after="60" w:before="40"/>
      </w:pPr>
      <w:r>
        <w:rPr>
          <w:rFonts w:ascii="Arial" w:cs="Arial" w:eastAsia="Arial" w:hAnsi="Arial"/>
          <w:sz w:val="20"/>
          <w:szCs w:val="20"/>
        </w:rPr>
        <w:t xml:space="preserve">This positions the W1–W5 system as a starting point requiring refinement, which is an honest and publishable contribution from a pilot study.</w:t>
      </w: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4. Draft Reviewer Responses</w:t>
      </w:r>
    </w:p>
    <w:p>
      <w:pPr>
        <w:spacing w:after="100" w:before="60"/>
      </w:pPr>
      <w:r>
        <w:rPr>
          <w:rFonts w:ascii="Arial" w:cs="Arial" w:eastAsia="Arial" w:hAnsi="Arial"/>
          <w:sz w:val="20"/>
          <w:szCs w:val="20"/>
        </w:rPr>
        <w:t xml:space="preserve">The table below provides draft language for anticipated reviewer critiques. Text can be adapted for a rebuttal letter or incorporated into the manuscript revision.</w:t>
      </w:r>
    </w:p>
    <w:p>
      <w:pPr>
        <w:spacing w:after="1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8"/>
                <w:szCs w:val="18"/>
              </w:rPr>
              <w:t xml:space="preserve">Reviewer concern</w:t>
            </w:r>
          </w:p>
        </w:tc>
        <w:tc>
          <w:tcPr>
            <w:tcW w:type="dxa" w:w="468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18"/>
                <w:szCs w:val="18"/>
              </w:rPr>
              <w:t xml:space="preserve">Suggested response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100% accuracy figures are implausible for n = 30."</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"We agree. These figures reflect in-sample evaluation on labels derived from the same clinical scores used as predictors, and are artefacts of label construction. All reported performance metrics now come exclusively from LOOCV."</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30-year age gap confounds the group comparison."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"This is a recognised limitation of the pilot sample. Age was not controlled in this exploratory analysis. We have added a dedicated age-confound paragraph to the Limitations section and note that future work should either age-match cohorts or include age as a covariate."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welders are mapped to Stage 2 — the staging system adds no value."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stage-2 collapse is a genuine finding rather than a modelling success: it shows that a PD-trained H&amp;Y classifier cannot differentiate occupational exposure severity from clinical balance data alone at this sample size. We now frame this as a null result and discuss its implications."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"There is no significant correlation between welding stage and balance outcomes."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 and we now treat this as a key finding. A simple years-of-exposure staging system does not produce the same structured relationship with balance impairment that H&amp;Y staging does in PD. This generates the hypothesis that cumulative exposure intensity (not duration alone) may be the relevant construct."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"Why is there no H&amp;Y Stage 4 in the PD cohort?"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"Stage 4 patients were not enrolled during the recruitment window of this pilot. This limits stage-by-stage comparisons and is noted as a sampling limitation. Future recruitment will target a balanced stage distribution."</w:t>
            </w:r>
          </w:p>
        </w:tc>
      </w:tr>
    </w:tbl>
    <w:p>
      <w:pPr>
        <w:spacing w:after="0" w:before="240"/>
      </w:pP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5. Revised Contribution Framing</w:t>
      </w:r>
    </w:p>
    <w:p>
      <w:pPr>
        <w:spacing w:after="100" w:before="60"/>
      </w:pPr>
      <w:r>
        <w:rPr>
          <w:rFonts w:ascii="Arial" w:cs="Arial" w:eastAsia="Arial" w:hAnsi="Arial"/>
          <w:sz w:val="20"/>
          <w:szCs w:val="20"/>
        </w:rPr>
        <w:t xml:space="preserve">The project’s uniqueness does not rest on accuracy numbers. The following is a suggested abstract-level framing that is both honest and compelling:</w:t>
      </w:r>
    </w:p>
    <w:p>
      <w:pPr>
        <w:spacing w:after="100" w:before="160"/>
      </w:pPr>
    </w:p>
    <w:p>
      <w:pPr>
        <w:pBdr>
          <w:left w:val="single" w:color="1F4E79" w:sz="12"/>
        </w:pBdr>
        <w:spacing w:after="80" w:before="80"/>
        <w:ind w:left="720" w:right="720"/>
      </w:pPr>
      <w:r>
        <w:rPr>
          <w:rFonts w:ascii="Arial" w:cs="Arial" w:eastAsia="Arial" w:hAnsi="Arial"/>
          <w:b/>
          <w:bCs/>
          <w:sz w:val="20"/>
          <w:szCs w:val="20"/>
        </w:rPr>
        <w:t xml:space="preserve">Background. </w:t>
      </w:r>
      <w:r>
        <w:rPr>
          <w:rFonts w:ascii="Arial" w:cs="Arial" w:eastAsia="Arial" w:hAnsi="Arial"/>
          <w:sz w:val="20"/>
          <w:szCs w:val="20"/>
        </w:rPr>
        <w:t xml:space="preserve">Welding fume and manganese exposure have been linked to parkinsonian features, but no validated staging system exists to characterise occupational motor burden in welders.</w:t>
      </w:r>
    </w:p>
    <w:p>
      <w:pPr>
        <w:pBdr>
          <w:left w:val="single" w:color="1F4E79" w:sz="12"/>
        </w:pBdr>
        <w:spacing w:after="80" w:before="80"/>
        <w:ind w:left="720" w:right="720"/>
      </w:pPr>
      <w:r>
        <w:rPr>
          <w:rFonts w:ascii="Arial" w:cs="Arial" w:eastAsia="Arial" w:hAnsi="Arial"/>
          <w:b/>
          <w:bCs/>
          <w:sz w:val="20"/>
          <w:szCs w:val="20"/>
        </w:rPr>
        <w:t xml:space="preserve">Objective. </w:t>
      </w:r>
      <w:r>
        <w:rPr>
          <w:rFonts w:ascii="Arial" w:cs="Arial" w:eastAsia="Arial" w:hAnsi="Arial"/>
          <w:sz w:val="20"/>
          <w:szCs w:val="20"/>
        </w:rPr>
        <w:t xml:space="preserve">To develop preliminary welding exposure stages (W1–W5) based on years of exposure and to examine whether clinical balance outcomes (BBS, Mini-BESTest, FES) in welders align with Hoehn &amp; Yahr-staged PD patients.</w:t>
      </w:r>
    </w:p>
    <w:p>
      <w:pPr>
        <w:pBdr>
          <w:left w:val="single" w:color="1F4E79" w:sz="12"/>
        </w:pBdr>
        <w:spacing w:after="80" w:before="80"/>
        <w:ind w:left="720" w:right="720"/>
      </w:pPr>
      <w:r>
        <w:rPr>
          <w:rFonts w:ascii="Arial" w:cs="Arial" w:eastAsia="Arial" w:hAnsi="Arial"/>
          <w:b/>
          <w:bCs/>
          <w:sz w:val="20"/>
          <w:szCs w:val="20"/>
        </w:rPr>
        <w:t xml:space="preserve">Key findings. </w:t>
      </w:r>
      <w:r>
        <w:rPr>
          <w:rFonts w:ascii="Arial" w:cs="Arial" w:eastAsia="Arial" w:hAnsi="Arial"/>
          <w:sz w:val="20"/>
          <w:szCs w:val="20"/>
        </w:rPr>
        <w:t xml:space="preserve">PD patients showed significantly worse balance (BBS 31.9 vs 47.4) and higher fall risk (79% vs 19%) than welders. H&amp;Y stage correlated significantly with BBS and FES in PD (ρ = −0.55 and 0.56). Importantly, the years-based W1–W5 staging system did not predict balance outcomes in welders (ρ ≈ 0.0, all p &gt; 0.9), suggesting that exposure duration alone is insufficient as a staging construct.</w:t>
      </w:r>
    </w:p>
    <w:p>
      <w:pPr>
        <w:pBdr>
          <w:left w:val="single" w:color="1F4E79" w:sz="12"/>
        </w:pBdr>
        <w:spacing w:after="80" w:before="80"/>
        <w:ind w:left="720" w:right="720"/>
      </w:pPr>
      <w:r>
        <w:rPr>
          <w:rFonts w:ascii="Arial" w:cs="Arial" w:eastAsia="Arial" w:hAnsi="Arial"/>
          <w:b/>
          <w:bCs/>
          <w:sz w:val="20"/>
          <w:szCs w:val="20"/>
        </w:rPr>
        <w:t xml:space="preserve">Implications. </w:t>
      </w:r>
      <w:r>
        <w:rPr>
          <w:rFonts w:ascii="Arial" w:cs="Arial" w:eastAsia="Arial" w:hAnsi="Arial"/>
          <w:sz w:val="20"/>
          <w:szCs w:val="20"/>
        </w:rPr>
        <w:t xml:space="preserve">Future staging systems for occupational motor risk in welders should incorporate intensity-adjusted exposure metrics. This pilot establishes the clinical measurement framework and identifies key methodological requirements for a powered validation study.</w:t>
      </w:r>
    </w:p>
    <w:p>
      <w:pPr>
        <w:spacing w:after="0" w:before="200"/>
      </w:pP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6. What Remains Valuable (Do Not Remove)</w:t>
      </w:r>
    </w:p>
    <w:p>
      <w:pPr>
        <w:spacing w:after="100" w:before="60"/>
      </w:pPr>
      <w:r>
        <w:rPr>
          <w:rFonts w:ascii="Arial" w:cs="Arial" w:eastAsia="Arial" w:hAnsi="Arial"/>
          <w:sz w:val="20"/>
          <w:szCs w:val="20"/>
        </w:rPr>
        <w:t xml:space="preserve">Despite the issues above, the following elements of the analysis are sound and should be retained:</w:t>
      </w:r>
    </w:p>
    <w:p>
      <w:pPr>
        <w:pStyle w:val="ListParagraph"/>
        <w:numPr>
          <w:ilvl w:val="0"/>
          <w:numId w:val="2"/>
        </w:numPr>
        <w:spacing w:after="60" w:before="40"/>
      </w:pPr>
      <w:r>
        <w:rPr>
          <w:rFonts w:ascii="Arial" w:cs="Arial" w:eastAsia="Arial" w:hAnsi="Arial"/>
          <w:sz w:val="20"/>
          <w:szCs w:val="20"/>
        </w:rPr>
        <w:t xml:space="preserve">The W1–W5 staging concept</w:t>
      </w:r>
      <w:r>
        <w:rPr>
          <w:rFonts w:ascii="Arial" w:cs="Arial" w:eastAsia="Arial" w:hAnsi="Arial"/>
          <w:i w:val="false"/>
          <w:iCs w:val="false"/>
          <w:sz w:val="20"/>
          <w:szCs w:val="20"/>
        </w:rPr>
        <w:t xml:space="preserve"> — clinically readable, transparent, and a useful starting point for future refinement.</w:t>
      </w:r>
    </w:p>
    <w:p>
      <w:pPr>
        <w:pStyle w:val="ListParagraph"/>
        <w:numPr>
          <w:ilvl w:val="0"/>
          <w:numId w:val="2"/>
        </w:numPr>
        <w:spacing w:after="60" w:before="40"/>
      </w:pPr>
      <w:r>
        <w:rPr>
          <w:rFonts w:ascii="Arial" w:cs="Arial" w:eastAsia="Arial" w:hAnsi="Arial"/>
          <w:sz w:val="20"/>
          <w:szCs w:val="20"/>
        </w:rPr>
        <w:t xml:space="preserve">H&amp;Y stage correlations in PD</w:t>
      </w:r>
      <w:r>
        <w:rPr>
          <w:rFonts w:ascii="Arial" w:cs="Arial" w:eastAsia="Arial" w:hAnsi="Arial"/>
          <w:sz w:val="20"/>
          <w:szCs w:val="20"/>
        </w:rPr>
        <w:t xml:space="preserve"> (BBS: ρ = −0.55, p = 0.040; FES: ρ = 0.56, p = 0.036) — valid and meaningful.</w:t>
      </w:r>
    </w:p>
    <w:p>
      <w:pPr>
        <w:pStyle w:val="ListParagraph"/>
        <w:numPr>
          <w:ilvl w:val="0"/>
          <w:numId w:val="2"/>
        </w:numPr>
        <w:spacing w:after="60" w:before="40"/>
      </w:pPr>
      <w:r>
        <w:rPr>
          <w:rFonts w:ascii="Arial" w:cs="Arial" w:eastAsia="Arial" w:hAnsi="Arial"/>
          <w:sz w:val="20"/>
          <w:szCs w:val="20"/>
        </w:rPr>
        <w:t xml:space="preserve">The train-on-PD / test-on-welders pipeline design</w:t>
      </w:r>
      <w:r>
        <w:rPr>
          <w:rFonts w:ascii="Arial" w:cs="Arial" w:eastAsia="Arial" w:hAnsi="Arial"/>
          <w:sz w:val="20"/>
          <w:szCs w:val="20"/>
        </w:rPr>
        <w:t xml:space="preserve"> — conceptually novel and correctly implemented (no data leakage).</w:t>
      </w:r>
    </w:p>
    <w:p>
      <w:pPr>
        <w:pStyle w:val="ListParagraph"/>
        <w:numPr>
          <w:ilvl w:val="0"/>
          <w:numId w:val="2"/>
        </w:numPr>
        <w:spacing w:after="60" w:before="40"/>
      </w:pPr>
      <w:r>
        <w:rPr>
          <w:rFonts w:ascii="Arial" w:cs="Arial" w:eastAsia="Arial" w:hAnsi="Arial"/>
          <w:sz w:val="20"/>
          <w:szCs w:val="20"/>
        </w:rPr>
        <w:t xml:space="preserve">LOOCV throughout</w:t>
      </w:r>
      <w:r>
        <w:rPr>
          <w:rFonts w:ascii="Arial" w:cs="Arial" w:eastAsia="Arial" w:hAnsi="Arial"/>
          <w:sz w:val="20"/>
          <w:szCs w:val="20"/>
        </w:rPr>
        <w:t xml:space="preserve"> — the right validation choice for this sample size.</w:t>
      </w:r>
    </w:p>
    <w:p>
      <w:pPr>
        <w:pStyle w:val="ListParagraph"/>
        <w:numPr>
          <w:ilvl w:val="0"/>
          <w:numId w:val="2"/>
        </w:numPr>
        <w:spacing w:after="60" w:before="40"/>
      </w:pPr>
      <w:r>
        <w:rPr>
          <w:rFonts w:ascii="Arial" w:cs="Arial" w:eastAsia="Arial" w:hAnsi="Arial"/>
          <w:sz w:val="20"/>
          <w:szCs w:val="20"/>
        </w:rPr>
        <w:t xml:space="preserve">Descriptive group comparisons and visualisations</w:t>
      </w:r>
      <w:r>
        <w:rPr>
          <w:rFonts w:ascii="Arial" w:cs="Arial" w:eastAsia="Arial" w:hAnsi="Arial"/>
          <w:sz w:val="20"/>
          <w:szCs w:val="20"/>
        </w:rPr>
        <w:t xml:space="preserve"> — Figure 1 (balance vs exposure duration) and Figure 2 (stage-by-stage) are clear and informative.</w:t>
      </w:r>
    </w:p>
    <w:p>
      <w:pPr>
        <w:pStyle w:val="ListParagraph"/>
        <w:numPr>
          <w:ilvl w:val="0"/>
          <w:numId w:val="2"/>
        </w:numPr>
        <w:spacing w:after="60" w:before="40"/>
      </w:pPr>
      <w:r>
        <w:rPr>
          <w:rFonts w:ascii="Arial" w:cs="Arial" w:eastAsia="Arial" w:hAnsi="Arial"/>
          <w:sz w:val="20"/>
          <w:szCs w:val="20"/>
        </w:rPr>
        <w:t xml:space="preserve">The cumulative exposure index</w:t>
      </w:r>
      <w:r>
        <w:rPr>
          <w:rFonts w:ascii="Arial" w:cs="Arial" w:eastAsia="Arial" w:hAnsi="Arial"/>
          <w:sz w:val="20"/>
          <w:szCs w:val="20"/>
        </w:rPr>
        <w:t xml:space="preserve"> — a composite of years, hours/day, noise/vibration/fume, and PPE use. Even though its predictive value in this sample is limited, it is a clinically motivated construct worth retaining for future work.</w:t>
      </w:r>
    </w:p>
    <w:p>
      <w:pPr>
        <w:pStyle w:val="ListParagraph"/>
        <w:numPr>
          <w:ilvl w:val="0"/>
          <w:numId w:val="2"/>
        </w:numPr>
        <w:spacing w:after="60" w:before="40"/>
      </w:pPr>
      <w:r>
        <w:rPr>
          <w:rFonts w:ascii="Arial" w:cs="Arial" w:eastAsia="Arial" w:hAnsi="Arial"/>
          <w:sz w:val="20"/>
          <w:szCs w:val="20"/>
        </w:rPr>
        <w:t xml:space="preserve">The null result itself</w:t>
      </w:r>
      <w:r>
        <w:rPr>
          <w:rFonts w:ascii="Arial" w:cs="Arial" w:eastAsia="Arial" w:hAnsi="Arial"/>
          <w:sz w:val="20"/>
          <w:szCs w:val="20"/>
        </w:rPr>
        <w:t xml:space="preserve"> — reporting that a simple duration-based welding stage does not predict balance is a publishable finding from a pilot study.</w:t>
      </w:r>
    </w:p>
    <w:p>
      <w:pPr>
        <w:pBdr>
          <w:bottom w:val="single" w:color="D0D0D0" w:sz="6"/>
        </w:pBdr>
        <w:spacing w:after="160" w:before="160"/>
      </w:pPr>
    </w:p>
    <w:p>
      <w:pPr>
        <w:pStyle w:val="Heading1"/>
        <w:spacing w:after="160" w:before="320"/>
      </w:pPr>
      <w:r>
        <w:rPr>
          <w:rFonts w:ascii="Arial" w:cs="Arial" w:eastAsia="Arial" w:hAnsi="Arial"/>
          <w:b/>
          <w:bCs/>
          <w:color w:val="1F4E79"/>
          <w:sz w:val="32"/>
          <w:szCs w:val="32"/>
        </w:rPr>
        <w:t xml:space="preserve">7. Checklist Before Submission</w:t>
      </w:r>
    </w:p>
    <w:p>
      <w:pPr>
        <w:pStyle w:val="ListParagraph"/>
        <w:numPr>
          <w:ilvl w:val="0"/>
          <w:numId w:val="3"/>
        </w:numPr>
        <w:spacing w:after="60" w:before="40"/>
      </w:pPr>
      <w:r>
        <w:rPr>
          <w:rFonts w:ascii="Arial" w:cs="Arial" w:eastAsia="Arial" w:hAnsi="Arial"/>
          <w:sz w:val="20"/>
          <w:szCs w:val="20"/>
        </w:rPr>
        <w:t xml:space="preserve">Replace circular outcome labels (Motor_Balance_Severity, high_fall_risk) with independent variables.</w:t>
      </w:r>
    </w:p>
    <w:p>
      <w:pPr>
        <w:pStyle w:val="ListParagraph"/>
        <w:numPr>
          <w:ilvl w:val="0"/>
          <w:numId w:val="3"/>
        </w:numPr>
        <w:spacing w:after="60" w:before="40"/>
      </w:pPr>
      <w:r>
        <w:rPr>
          <w:rFonts w:ascii="Arial" w:cs="Arial" w:eastAsia="Arial" w:hAnsi="Arial"/>
          <w:sz w:val="20"/>
          <w:szCs w:val="20"/>
        </w:rPr>
        <w:t xml:space="preserve">Remove all in-sample classification reports from the results. Report LOOCV metrics only.</w:t>
      </w:r>
    </w:p>
    <w:p>
      <w:pPr>
        <w:pStyle w:val="ListParagraph"/>
        <w:numPr>
          <w:ilvl w:val="0"/>
          <w:numId w:val="3"/>
        </w:numPr>
        <w:spacing w:after="60" w:before="40"/>
      </w:pPr>
      <w:r>
        <w:rPr>
          <w:rFonts w:ascii="Arial" w:cs="Arial" w:eastAsia="Arial" w:hAnsi="Arial"/>
          <w:sz w:val="20"/>
          <w:szCs w:val="20"/>
        </w:rPr>
        <w:t xml:space="preserve">Add an ‘Age Confound’ paragraph to the Limitations section.</w:t>
      </w:r>
    </w:p>
    <w:p>
      <w:pPr>
        <w:pStyle w:val="ListParagraph"/>
        <w:numPr>
          <w:ilvl w:val="0"/>
          <w:numId w:val="3"/>
        </w:numPr>
        <w:spacing w:after="60" w:before="40"/>
      </w:pPr>
      <w:r>
        <w:rPr>
          <w:rFonts w:ascii="Arial" w:cs="Arial" w:eastAsia="Arial" w:hAnsi="Arial"/>
          <w:sz w:val="20"/>
          <w:szCs w:val="20"/>
        </w:rPr>
        <w:t xml:space="preserve">Add a dedicated results paragraph for the null welding-stage correlations.</w:t>
      </w:r>
    </w:p>
    <w:p>
      <w:pPr>
        <w:pStyle w:val="ListParagraph"/>
        <w:numPr>
          <w:ilvl w:val="0"/>
          <w:numId w:val="3"/>
        </w:numPr>
        <w:spacing w:after="60" w:before="40"/>
      </w:pPr>
      <w:r>
        <w:rPr>
          <w:rFonts w:ascii="Arial" w:cs="Arial" w:eastAsia="Arial" w:hAnsi="Arial"/>
          <w:sz w:val="20"/>
          <w:szCs w:val="20"/>
        </w:rPr>
        <w:t xml:space="preserve">Add a ‘Degenerate Prediction’ note to Section 7.0 explaining the Stage-2 collapse.</w:t>
      </w:r>
    </w:p>
    <w:p>
      <w:pPr>
        <w:pStyle w:val="ListParagraph"/>
        <w:numPr>
          <w:ilvl w:val="0"/>
          <w:numId w:val="3"/>
        </w:numPr>
        <w:spacing w:after="60" w:before="40"/>
      </w:pPr>
      <w:r>
        <w:rPr>
          <w:rFonts w:ascii="Arial" w:cs="Arial" w:eastAsia="Arial" w:hAnsi="Arial"/>
          <w:sz w:val="20"/>
          <w:szCs w:val="20"/>
        </w:rPr>
        <w:t xml:space="preserve">Remove or clearly annotate the Stage 4 gap in PD and W-Stage 5 n = 1.</w:t>
      </w:r>
    </w:p>
    <w:p>
      <w:pPr>
        <w:pStyle w:val="ListParagraph"/>
        <w:numPr>
          <w:ilvl w:val="0"/>
          <w:numId w:val="3"/>
        </w:numPr>
        <w:spacing w:after="60" w:before="40"/>
      </w:pPr>
      <w:r>
        <w:rPr>
          <w:rFonts w:ascii="Arial" w:cs="Arial" w:eastAsia="Arial" w:hAnsi="Arial"/>
          <w:sz w:val="20"/>
          <w:szCs w:val="20"/>
        </w:rPr>
        <w:t xml:space="preserve">Update the abstract to centre on the exploratory framework and null results rather than accuracy figures.</w:t>
      </w:r>
    </w:p>
    <w:p>
      <w:pPr>
        <w:pStyle w:val="ListParagraph"/>
        <w:numPr>
          <w:ilvl w:val="0"/>
          <w:numId w:val="3"/>
        </w:numPr>
        <w:spacing w:after="60" w:before="40"/>
      </w:pPr>
      <w:r>
        <w:rPr>
          <w:rFonts w:ascii="Arial" w:cs="Arial" w:eastAsia="Arial" w:hAnsi="Arial"/>
          <w:sz w:val="20"/>
          <w:szCs w:val="20"/>
        </w:rPr>
        <w:t xml:space="preserve">Confirm the manuscript explicitly states this is a pilot/hypothesis-generating study throughout.</w:t>
      </w:r>
    </w:p>
    <w:p>
      <w:pPr>
        <w:pBdr>
          <w:bottom w:val="single" w:color="D0D0D0" w:sz="6"/>
        </w:pBdr>
        <w:spacing w:after="160" w:before="160"/>
      </w:pPr>
    </w:p>
    <w:p>
      <w:pPr>
        <w:spacing w:after="0" w:before="80"/>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spacing w:before="120"/>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tabs>
        <w:tab w:val="right" w:pos="9360"/>
      </w:tabs>
      <w:spacing w:after="120"/>
    </w:pPr>
    <w:r>
      <w:rPr>
        <w:rFonts w:ascii="Arial" w:cs="Arial" w:eastAsia="Arial" w:hAnsi="Arial"/>
        <w:color w:val="666666"/>
        <w:sz w:val="18"/>
        <w:szCs w:val="18"/>
      </w:rPr>
      <w:t xml:space="preserve">Motor Balance Analysis — Limitations &amp; Reviewer Response</w:t>
    </w:r>
    <w:r>
      <w:rPr>
        <w:rFonts w:ascii="Arial" w:cs="Arial" w:eastAsia="Arial" w:hAnsi="Arial"/>
        <w:color w:val="999999"/>
        <w:sz w:val="18"/>
        <w:szCs w:val="18"/>
      </w:rPr>
      <w:t xml:space="preserve">	Pilot / Exploratory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2026-03-22T09:54:33.560Z</dcterms:created>
  <dcterms:modified xsi:type="dcterms:W3CDTF">2026-03-22T09:54:33.560Z</dcterms:modified>
</cp:coreProperties>
</file>

<file path=docProps/custom.xml><?xml version="1.0" encoding="utf-8"?>
<Properties xmlns="http://schemas.openxmlformats.org/officeDocument/2006/custom-properties" xmlns:vt="http://schemas.openxmlformats.org/officeDocument/2006/docPropsVTypes"/>
</file>