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 – 2</w:t>
      </w:r>
    </w:p>
    <w:p>
      <w:pPr>
        <w:jc w:val="center"/>
      </w:pPr>
      <w:r>
        <w:rPr>
          <w:b/>
          <w:sz w:val="26"/>
        </w:rPr>
        <w:t>Solution Architecture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b/>
                <w:sz w:val="20"/>
              </w:rPr>
              <w:t>Date</w:t>
            </w:r>
          </w:p>
        </w:tc>
        <w:tc>
          <w:tcPr>
            <w:tcW w:type="dxa" w:w="5184"/>
            <w:vAlign w:val="center"/>
          </w:tcPr>
          <w:p>
            <w:r/>
            <w:r>
              <w:rPr>
                <w:b w:val="0"/>
                <w:sz w:val="20"/>
              </w:rPr>
              <w:t>30 September 2026</w:t>
            </w:r>
          </w:p>
        </w:tc>
      </w:tr>
      <w:tr>
        <w:tc>
          <w:tcPr>
            <w:tcW w:type="dxa" w:w="5184"/>
            <w:vAlign w:val="center"/>
            <w:shd w:fill="EDEDED"/>
          </w:tcPr>
          <w:p>
            <w:r/>
            <w:r>
              <w:rPr>
                <w:b/>
                <w:sz w:val="20"/>
              </w:rPr>
              <w:t>Team ID</w:t>
            </w:r>
          </w:p>
        </w:tc>
        <w:tc>
          <w:tcPr>
            <w:tcW w:type="dxa" w:w="5184"/>
            <w:vAlign w:val="center"/>
          </w:tcPr>
          <w:p>
            <w:r/>
            <w:r>
              <w:rPr>
                <w:b w:val="0"/>
                <w:sz w:val="20"/>
              </w:rPr>
              <w:t>SWTID-2026-2597</w:t>
            </w:r>
          </w:p>
        </w:tc>
      </w:tr>
      <w:tr>
        <w:tc>
          <w:tcPr>
            <w:tcW w:type="dxa" w:w="5184"/>
            <w:vAlign w:val="center"/>
            <w:shd w:fill="EDEDED"/>
          </w:tcPr>
          <w:p>
            <w:r/>
            <w:r>
              <w:rPr>
                <w:b/>
                <w:sz w:val="20"/>
              </w:rPr>
              <w:t>Project Name</w:t>
            </w:r>
          </w:p>
        </w:tc>
        <w:tc>
          <w:tcPr>
            <w:tcW w:type="dxa" w:w="5184"/>
            <w:vAlign w:val="center"/>
          </w:tcPr>
          <w:p>
            <w:r/>
            <w:r>
              <w:rPr>
                <w:b w:val="0"/>
                <w:sz w:val="20"/>
              </w:rPr>
              <w:t>Streamlining IT Procurement – Automating Standard Laptop Orders with Flow Designer</w:t>
            </w:r>
          </w:p>
        </w:tc>
      </w:tr>
      <w:tr>
        <w:tc>
          <w:tcPr>
            <w:tcW w:type="dxa" w:w="5184"/>
            <w:vAlign w:val="center"/>
            <w:shd w:fill="EDEDED"/>
          </w:tcPr>
          <w:p>
            <w:r/>
            <w:r>
              <w:rPr>
                <w:b/>
                <w:sz w:val="20"/>
              </w:rPr>
              <w:t>Team Leader</w:t>
            </w:r>
          </w:p>
        </w:tc>
        <w:tc>
          <w:tcPr>
            <w:tcW w:type="dxa" w:w="5184"/>
            <w:vAlign w:val="center"/>
          </w:tcPr>
          <w:p>
            <w:r/>
            <w:r>
              <w:rPr>
                <w:b w:val="0"/>
                <w:sz w:val="20"/>
              </w:rPr>
              <w:t>SANTHIYA M</w:t>
            </w:r>
          </w:p>
        </w:tc>
      </w:tr>
      <w:tr>
        <w:tc>
          <w:tcPr>
            <w:tcW w:type="dxa" w:w="5184"/>
            <w:vAlign w:val="center"/>
            <w:shd w:fill="EDEDED"/>
          </w:tcPr>
          <w:p>
            <w:r/>
            <w:r>
              <w:rPr>
                <w:b/>
                <w:sz w:val="20"/>
              </w:rPr>
              <w:t>Maximum Marks</w:t>
            </w:r>
          </w:p>
        </w:tc>
        <w:tc>
          <w:tcPr>
            <w:tcW w:type="dxa" w:w="5184"/>
            <w:vAlign w:val="center"/>
          </w:tcPr>
          <w:p>
            <w:r/>
            <w:r>
              <w:rPr>
                <w:b w:val="0"/>
                <w:sz w:val="20"/>
              </w:rPr>
              <w:t>4 Marks</w:t>
            </w:r>
          </w:p>
        </w:tc>
      </w:tr>
    </w:tbl>
    <w:p/>
    <w:p>
      <w:r>
        <w:rPr>
          <w:b/>
          <w:sz w:val="24"/>
        </w:rPr>
        <w:t>Team Members</w:t>
      </w:r>
    </w:p>
    <w:p>
      <w:pPr>
        <w:pStyle w:val="ListBullet"/>
      </w:pPr>
      <w:r>
        <w:t>SRIDHARSHINI T</w:t>
      </w:r>
    </w:p>
    <w:p>
      <w:pPr>
        <w:pStyle w:val="ListBullet"/>
      </w:pPr>
      <w:r>
        <w:t>SARAL NILA M</w:t>
      </w:r>
    </w:p>
    <w:p>
      <w:pPr>
        <w:pStyle w:val="ListBullet"/>
      </w:pPr>
      <w:r>
        <w:t>ROSHINI R / RITHIKA S</w:t>
      </w:r>
    </w:p>
    <w:p>
      <w:r>
        <w:rPr>
          <w:b/>
          <w:sz w:val="24"/>
        </w:rPr>
        <w:t>Solution Architecture</w:t>
      </w:r>
    </w:p>
    <w:p>
      <w:r>
        <w:t>The proposed architecture bridges the IT procurement problem and the ServiceNow technology solution. The Service Catalog request starts the workflow, Flow Designer creates the required Catalog Task, and the Hardware team performs laptop configuration.</w:t>
      </w:r>
    </w:p>
    <w:p>
      <w:r>
        <w:drawing>
          <wp:inline xmlns:a="http://schemas.openxmlformats.org/drawingml/2006/main" xmlns:pic="http://schemas.openxmlformats.org/drawingml/2006/picture">
            <wp:extent cx="5943600" cy="3226526"/>
            <wp:docPr id="1" name="Picture 1"/>
            <wp:cNvGraphicFramePr>
              <a:graphicFrameLocks noChangeAspect="1"/>
            </wp:cNvGraphicFramePr>
            <a:graphic>
              <a:graphicData uri="http://schemas.openxmlformats.org/drawingml/2006/picture">
                <pic:pic>
                  <pic:nvPicPr>
                    <pic:cNvPr id="0" name="phase2_architecture_diagram.png"/>
                    <pic:cNvPicPr/>
                  </pic:nvPicPr>
                  <pic:blipFill>
                    <a:blip r:embed="rId9"/>
                    <a:stretch>
                      <a:fillRect/>
                    </a:stretch>
                  </pic:blipFill>
                  <pic:spPr>
                    <a:xfrm>
                      <a:off x="0" y="0"/>
                      <a:ext cx="5943600" cy="3226526"/>
                    </a:xfrm>
                    <a:prstGeom prst="rect"/>
                  </pic:spPr>
                </pic:pic>
              </a:graphicData>
            </a:graphic>
          </wp:inline>
        </w:drawing>
      </w:r>
    </w:p>
    <w:p>
      <w:pPr>
        <w:jc w:val="center"/>
      </w:pPr>
      <w:r>
        <w:rPr>
          <w:i/>
        </w:rPr>
        <w:t>Figure 1. Solution architecture and data flow for automated Standard Laptop procurement.</w:t>
      </w:r>
    </w:p>
    <w:p>
      <w:r>
        <w:rPr>
          <w:b/>
          <w:sz w:val="24"/>
        </w:rPr>
        <w:t>Key Components</w:t>
      </w:r>
    </w:p>
    <w:tbl>
      <w:tblPr>
        <w:tblStyle w:val="TableGrid"/>
        <w:tblW w:type="auto" w:w="0"/>
        <w:tblLook w:firstColumn="1" w:firstRow="1" w:lastColumn="0" w:lastRow="0" w:noHBand="0" w:noVBand="1" w:val="04A0"/>
      </w:tblPr>
      <w:tblGrid>
        <w:gridCol w:w="5184"/>
        <w:gridCol w:w="5184"/>
      </w:tblGrid>
      <w:tr>
        <w:tc>
          <w:tcPr>
            <w:tcW w:type="dxa" w:w="5184"/>
            <w:vAlign w:val="center"/>
            <w:shd w:fill="EDEDED"/>
          </w:tcPr>
          <w:p>
            <w:r/>
            <w:r>
              <w:rPr>
                <w:b/>
                <w:sz w:val="20"/>
              </w:rPr>
              <w:t>Component</w:t>
            </w:r>
          </w:p>
        </w:tc>
        <w:tc>
          <w:tcPr>
            <w:tcW w:type="dxa" w:w="5184"/>
            <w:vAlign w:val="center"/>
            <w:shd w:fill="EDEDED"/>
          </w:tcPr>
          <w:p>
            <w:r/>
            <w:r>
              <w:rPr>
                <w:b/>
                <w:sz w:val="20"/>
              </w:rPr>
              <w:t>Purpose</w:t>
            </w:r>
          </w:p>
        </w:tc>
      </w:tr>
      <w:tr>
        <w:tc>
          <w:tcPr>
            <w:tcW w:type="dxa" w:w="5184"/>
            <w:vAlign w:val="center"/>
          </w:tcPr>
          <w:p>
            <w:r/>
            <w:r>
              <w:rPr>
                <w:b/>
                <w:sz w:val="18"/>
              </w:rPr>
              <w:t>Service Catalog</w:t>
            </w:r>
          </w:p>
        </w:tc>
        <w:tc>
          <w:tcPr>
            <w:tcW w:type="dxa" w:w="5184"/>
            <w:vAlign w:val="center"/>
          </w:tcPr>
          <w:p>
            <w:r/>
            <w:r>
              <w:rPr>
                <w:b w:val="0"/>
                <w:sz w:val="18"/>
              </w:rPr>
              <w:t>Provides the Standard Laptop catalog item and captures the user request.</w:t>
            </w:r>
          </w:p>
        </w:tc>
      </w:tr>
      <w:tr>
        <w:tc>
          <w:tcPr>
            <w:tcW w:type="dxa" w:w="5184"/>
            <w:vAlign w:val="center"/>
          </w:tcPr>
          <w:p>
            <w:r/>
            <w:r>
              <w:rPr>
                <w:b/>
                <w:sz w:val="18"/>
              </w:rPr>
              <w:t>Service Catalog Trigger</w:t>
            </w:r>
          </w:p>
        </w:tc>
        <w:tc>
          <w:tcPr>
            <w:tcW w:type="dxa" w:w="5184"/>
            <w:vAlign w:val="center"/>
          </w:tcPr>
          <w:p>
            <w:r/>
            <w:r>
              <w:rPr>
                <w:b w:val="0"/>
                <w:sz w:val="18"/>
              </w:rPr>
              <w:t>Starts the Flow Designer flow when the configured catalog process is triggered.</w:t>
            </w:r>
          </w:p>
        </w:tc>
      </w:tr>
      <w:tr>
        <w:tc>
          <w:tcPr>
            <w:tcW w:type="dxa" w:w="5184"/>
            <w:vAlign w:val="center"/>
          </w:tcPr>
          <w:p>
            <w:r/>
            <w:r>
              <w:rPr>
                <w:b/>
                <w:sz w:val="18"/>
              </w:rPr>
              <w:t>Flow Designer</w:t>
            </w:r>
          </w:p>
        </w:tc>
        <w:tc>
          <w:tcPr>
            <w:tcW w:type="dxa" w:w="5184"/>
            <w:vAlign w:val="center"/>
          </w:tcPr>
          <w:p>
            <w:r/>
            <w:r>
              <w:rPr>
                <w:b w:val="0"/>
                <w:sz w:val="18"/>
              </w:rPr>
              <w:t>Automates the process without manual task creation.</w:t>
            </w:r>
          </w:p>
        </w:tc>
      </w:tr>
      <w:tr>
        <w:tc>
          <w:tcPr>
            <w:tcW w:type="dxa" w:w="5184"/>
            <w:vAlign w:val="center"/>
          </w:tcPr>
          <w:p>
            <w:r/>
            <w:r>
              <w:rPr>
                <w:b/>
                <w:sz w:val="18"/>
              </w:rPr>
              <w:t>Requested Item (RITM)</w:t>
            </w:r>
          </w:p>
        </w:tc>
        <w:tc>
          <w:tcPr>
            <w:tcW w:type="dxa" w:w="5184"/>
            <w:vAlign w:val="center"/>
          </w:tcPr>
          <w:p>
            <w:r/>
            <w:r>
              <w:rPr>
                <w:b w:val="0"/>
                <w:sz w:val="18"/>
              </w:rPr>
              <w:t>Stores the individual Standard Laptop request details.</w:t>
            </w:r>
          </w:p>
        </w:tc>
      </w:tr>
      <w:tr>
        <w:tc>
          <w:tcPr>
            <w:tcW w:type="dxa" w:w="5184"/>
            <w:vAlign w:val="center"/>
          </w:tcPr>
          <w:p>
            <w:r/>
            <w:r>
              <w:rPr>
                <w:b/>
                <w:sz w:val="18"/>
              </w:rPr>
              <w:t>Catalog Task (sc_task)</w:t>
            </w:r>
          </w:p>
        </w:tc>
        <w:tc>
          <w:tcPr>
            <w:tcW w:type="dxa" w:w="5184"/>
            <w:vAlign w:val="center"/>
          </w:tcPr>
          <w:p>
            <w:r/>
            <w:r>
              <w:rPr>
                <w:b w:val="0"/>
                <w:sz w:val="18"/>
              </w:rPr>
              <w:t>Created by the flow with the required description, approval and assignment group.</w:t>
            </w:r>
          </w:p>
        </w:tc>
      </w:tr>
      <w:tr>
        <w:tc>
          <w:tcPr>
            <w:tcW w:type="dxa" w:w="5184"/>
            <w:vAlign w:val="center"/>
          </w:tcPr>
          <w:p>
            <w:r/>
            <w:r>
              <w:rPr>
                <w:b/>
                <w:sz w:val="18"/>
              </w:rPr>
              <w:t>Hardware Assignment Group</w:t>
            </w:r>
          </w:p>
        </w:tc>
        <w:tc>
          <w:tcPr>
            <w:tcW w:type="dxa" w:w="5184"/>
            <w:vAlign w:val="center"/>
          </w:tcPr>
          <w:p>
            <w:r/>
            <w:r>
              <w:rPr>
                <w:b w:val="0"/>
                <w:sz w:val="18"/>
              </w:rPr>
              <w:t>Receives the task and performs laptop configuration.</w:t>
            </w:r>
          </w:p>
        </w:tc>
      </w:tr>
    </w:tbl>
    <w:p>
      <w:r>
        <w:rPr>
          <w:b/>
          <w:sz w:val="24"/>
        </w:rPr>
        <w:t>Architecture Outcome</w:t>
      </w:r>
    </w:p>
    <w:p>
      <w:r>
        <w:t>The architecture provides a consistent automated path from the Standard Laptop request to Hardware task assignment, reducing manual handoffs and supporting faster configuration.</w:t>
      </w:r>
    </w:p>
    <w:p>
      <w:r>
        <w:br w:type="page"/>
      </w:r>
    </w:p>
    <w:p>
      <w:r>
        <w:rPr>
          <w:b/>
          <w:sz w:val="24"/>
        </w:rPr>
        <w:t>Reference Template</w:t>
      </w:r>
    </w:p>
    <w:p>
      <w:pPr>
        <w:jc w:val="center"/>
      </w:pPr>
      <w:r>
        <w:drawing>
          <wp:inline xmlns:a="http://schemas.openxmlformats.org/drawingml/2006/main" xmlns:pic="http://schemas.openxmlformats.org/drawingml/2006/picture">
            <wp:extent cx="5760720" cy="11782245"/>
            <wp:docPr id="2" name="Picture 2"/>
            <wp:cNvGraphicFramePr>
              <a:graphicFrameLocks noChangeAspect="1"/>
            </wp:cNvGraphicFramePr>
            <a:graphic>
              <a:graphicData uri="http://schemas.openxmlformats.org/drawingml/2006/picture">
                <pic:pic>
                  <pic:nvPicPr>
                    <pic:cNvPr id="0" name="225093.jpg"/>
                    <pic:cNvPicPr/>
                  </pic:nvPicPr>
                  <pic:blipFill>
                    <a:blip r:embed="rId10"/>
                    <a:stretch>
                      <a:fillRect/>
                    </a:stretch>
                  </pic:blipFill>
                  <pic:spPr>
                    <a:xfrm>
                      <a:off x="0" y="0"/>
                      <a:ext cx="5760720" cy="11782245"/>
                    </a:xfrm>
                    <a:prstGeom prst="rect"/>
                  </pic:spPr>
                </pic:pic>
              </a:graphicData>
            </a:graphic>
          </wp:inline>
        </w:drawing>
      </w:r>
    </w:p>
    <w:p>
      <w:pPr>
        <w:jc w:val="center"/>
      </w:pPr>
      <w:r>
        <w:rPr>
          <w:i/>
          <w:sz w:val="18"/>
        </w:rPr>
        <w:t>Reference: Solution Architecture template supplied for the project.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