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DF46" w14:textId="77777777" w:rsidR="00521888" w:rsidRPr="00521888" w:rsidRDefault="00521888" w:rsidP="00521888">
      <w:pPr>
        <w:rPr>
          <w:b/>
          <w:bCs/>
        </w:rPr>
      </w:pPr>
      <w:r w:rsidRPr="00521888">
        <w:rPr>
          <w:b/>
          <w:bCs/>
        </w:rPr>
        <w:t>Literature Review Overview</w:t>
      </w:r>
    </w:p>
    <w:p w14:paraId="1CBB4B23" w14:textId="77777777" w:rsidR="00521888" w:rsidRPr="00521888" w:rsidRDefault="00521888" w:rsidP="00521888">
      <w:r w:rsidRPr="00521888">
        <w:t>Financial inclusion has become an increasingly prominent policy concern in the United Kingdom over the past decade, particularly in light of sustained bank branch closures and the digital transformation of retail banking. Academic and policy literature consistently identifies physical access to financial services as a key dimension of inclusion, especially for rural, elderly, and socioeconomically disadvantaged populations. While national reports document the scale of closures and regional disparities, there remains a methodological gap in small-area, spatially precise, and predictive modelling of rural financial accessibility.</w:t>
      </w:r>
    </w:p>
    <w:p w14:paraId="583E34DC" w14:textId="77777777" w:rsidR="00521888" w:rsidRPr="00521888" w:rsidRDefault="00521888" w:rsidP="00521888">
      <w:pPr>
        <w:rPr>
          <w:b/>
          <w:bCs/>
        </w:rPr>
      </w:pPr>
      <w:r w:rsidRPr="00521888">
        <w:rPr>
          <w:b/>
          <w:bCs/>
        </w:rPr>
        <w:t>1. Financial Inclusion and Rural Vulnerability</w:t>
      </w:r>
    </w:p>
    <w:p w14:paraId="657ED022" w14:textId="77777777" w:rsidR="00521888" w:rsidRPr="00521888" w:rsidRDefault="00521888" w:rsidP="00521888">
      <w:r w:rsidRPr="00521888">
        <w:t>Financial inclusion literature broadly conceptualises access in three dimensions: physical proximity to services, affordability and suitability of products, and digital accessibility. In rural contexts, physical proximity remains critical, particularly for populations with limited digital literacy or mobility constraints. Studies on rural disadvantage highlight the compounding effects of geographic isolation, lower population density, and service centralisation. In the UK, research frequently documents the disproportionate impact of branch closures on rural communities, yet most analyses operate at Local Authority or regional scale, limiting granularity and policy precision.</w:t>
      </w:r>
    </w:p>
    <w:p w14:paraId="4D039DFD" w14:textId="77777777" w:rsidR="00521888" w:rsidRPr="00521888" w:rsidRDefault="00521888" w:rsidP="00521888">
      <w:r w:rsidRPr="00521888">
        <w:t>The COVID-19 pandemic further accelerated digital banking adoption while intensifying service withdrawal in lower-demand areas. Emerging scholarship suggests that while digitalisation may increase efficiency, it risks deepening spatial and demographic inequalities. However, empirical studies rarely quantify how accessibility has changed over time at small-area scale, nor do they systematically compare pre- and post-COVID accessibility conditions using network-based travel measures.</w:t>
      </w:r>
    </w:p>
    <w:p w14:paraId="1ED0D37F" w14:textId="77777777" w:rsidR="00521888" w:rsidRPr="00521888" w:rsidRDefault="00521888" w:rsidP="00521888">
      <w:pPr>
        <w:rPr>
          <w:b/>
          <w:bCs/>
        </w:rPr>
      </w:pPr>
      <w:r w:rsidRPr="00521888">
        <w:rPr>
          <w:b/>
          <w:bCs/>
        </w:rPr>
        <w:t>2. Spatial Accessibility and Geographical Measurement</w:t>
      </w:r>
    </w:p>
    <w:p w14:paraId="4C4E67C8" w14:textId="77777777" w:rsidR="00521888" w:rsidRPr="00521888" w:rsidRDefault="00521888" w:rsidP="00521888">
      <w:r w:rsidRPr="00521888">
        <w:t>The measurement of service accessibility has long been a topic in geography and public service research. Traditional approaches include Euclidean distance measures and provider-to-population ratios. More advanced methods incorporate network-based travel time modelling and two-step floating catchment area (2SFCA) techniques. In public health and transport planning, network-based accessibility measures are considered superior, as they account for real road networks and realistic travel behaviour.</w:t>
      </w:r>
    </w:p>
    <w:p w14:paraId="76F049C8" w14:textId="77777777" w:rsidR="00521888" w:rsidRPr="00521888" w:rsidRDefault="00521888" w:rsidP="00521888">
      <w:r w:rsidRPr="00521888">
        <w:t>Within UK financial inclusion research, however, accessibility measurement remains relatively descriptive. Many studies rely on branch counts or postcode-level proximity without integrating detailed network travel modelling. Consequently, there is limited understanding of how service withdrawal translates into actual travel burden, particularly for remote rural populations. Applying geospatial network modelling at small-area scale therefore represents a methodological advancement over existing descriptive approaches.</w:t>
      </w:r>
    </w:p>
    <w:p w14:paraId="7B4B6D99" w14:textId="77777777" w:rsidR="00521888" w:rsidRPr="00521888" w:rsidRDefault="00521888" w:rsidP="00521888">
      <w:pPr>
        <w:rPr>
          <w:b/>
          <w:bCs/>
        </w:rPr>
      </w:pPr>
      <w:r w:rsidRPr="00521888">
        <w:rPr>
          <w:b/>
          <w:bCs/>
        </w:rPr>
        <w:t>3. Socioeconomic Vulnerability and Small-Area Deprivation</w:t>
      </w:r>
    </w:p>
    <w:p w14:paraId="17B86ECF" w14:textId="77777777" w:rsidR="00521888" w:rsidRPr="00521888" w:rsidRDefault="00521888" w:rsidP="00521888">
      <w:r w:rsidRPr="00521888">
        <w:t>Small-area deprivation indices, such as the Scottish Index of Multiple Deprivation (SIMD), are widely used in social policy research to identify spatial inequalities. These indices capture multidimensional disadvantage, including income, employment, and geographic access domains. Existing literature recognises the intersection between deprivation and service accessibility, yet few studies integrate deprivation metrics with predictive spatial modelling to identify underserved zones.</w:t>
      </w:r>
    </w:p>
    <w:p w14:paraId="197FC827" w14:textId="77777777" w:rsidR="00521888" w:rsidRPr="00521888" w:rsidRDefault="00521888" w:rsidP="00521888">
      <w:r w:rsidRPr="00521888">
        <w:lastRenderedPageBreak/>
        <w:t>Most financial inclusion studies analyse correlations descriptively rather than constructing formal predictive models. As a result, the capacity to anticipate or prioritise high-risk areas remains underdeveloped. Integrating socioeconomic indicators with geospatial accessibility metrics offers an opportunity to shift from descriptive mapping toward risk classification and evidence-based targeting.</w:t>
      </w:r>
    </w:p>
    <w:p w14:paraId="562E488C" w14:textId="77777777" w:rsidR="00521888" w:rsidRPr="00521888" w:rsidRDefault="00521888" w:rsidP="00521888">
      <w:pPr>
        <w:rPr>
          <w:b/>
          <w:bCs/>
        </w:rPr>
      </w:pPr>
      <w:r w:rsidRPr="00521888">
        <w:rPr>
          <w:b/>
          <w:bCs/>
        </w:rPr>
        <w:t>4. Predictive Modelling and Optimisation in Public Service Planning</w:t>
      </w:r>
    </w:p>
    <w:p w14:paraId="48A20E88" w14:textId="77777777" w:rsidR="00521888" w:rsidRPr="00521888" w:rsidRDefault="00521888" w:rsidP="00521888">
      <w:r w:rsidRPr="00521888">
        <w:t>Machine learning and optimisation techniques are increasingly applied in transport, healthcare planning, and infrastructure allocation. Scenario-based modelling allows policymakers to evaluate alternative placement strategies under resource constraints. However, within UK financial inclusion literature, optimisation approaches are rare. Policy responses tend to rely on qualitative assessments or reactive measures rather than quantitative simulation of alternative service configurations.</w:t>
      </w:r>
    </w:p>
    <w:p w14:paraId="0C1451EC" w14:textId="77777777" w:rsidR="00521888" w:rsidRPr="00521888" w:rsidRDefault="00521888" w:rsidP="00521888">
      <w:r w:rsidRPr="00521888">
        <w:t>By combining small-area spatial data, network travel modelling, and predictive classification, a framework can be developed that not only identifies underserved rural zones but also evaluates the measurable impact of adding new service points. This represents a methodological contribution rather than a purely descriptive extension of existing work.</w:t>
      </w:r>
    </w:p>
    <w:p w14:paraId="02978E66" w14:textId="77777777" w:rsidR="00521888" w:rsidRPr="00521888" w:rsidRDefault="00521888" w:rsidP="00521888">
      <w:pPr>
        <w:rPr>
          <w:b/>
          <w:bCs/>
        </w:rPr>
      </w:pPr>
      <w:r w:rsidRPr="00521888">
        <w:rPr>
          <w:b/>
          <w:bCs/>
        </w:rPr>
        <w:t>Academic Positioning</w:t>
      </w:r>
    </w:p>
    <w:p w14:paraId="0B3E935C" w14:textId="77777777" w:rsidR="00521888" w:rsidRPr="00521888" w:rsidRDefault="00521888" w:rsidP="00521888">
      <w:r w:rsidRPr="00521888">
        <w:t>This dissertation is positioned at the intersection of financial inclusion research, spatial accessibility modelling, and applied machine learning. Rather than revisiting well-established descriptive findings on rural disadvantage, it addresses a methodological gap in UK literature by introducing a reproducible, small-area, network-based predictive and optimisation framework. The study contributes to ongoing debates on service withdrawal and rural resilience by quantifying accessibility change over a decade and evaluating evidence-based placement strategies under economic constraints.</w:t>
      </w:r>
    </w:p>
    <w:p w14:paraId="7AA7DBA8" w14:textId="77777777" w:rsidR="00521888" w:rsidRPr="00521888" w:rsidRDefault="00521888" w:rsidP="00521888">
      <w:r w:rsidRPr="00521888">
        <w:t>In doing so, it advances financial inclusion research from descriptive regional analysis toward analytically rigorous, decision-support modelling suitable for contemporary policy environments.</w:t>
      </w:r>
    </w:p>
    <w:p w14:paraId="1F5DD23B" w14:textId="77777777" w:rsidR="00D522C8" w:rsidRDefault="00D522C8"/>
    <w:sectPr w:rsidR="00D52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88"/>
    <w:rsid w:val="004128A1"/>
    <w:rsid w:val="00521888"/>
    <w:rsid w:val="00776FCA"/>
    <w:rsid w:val="00C378C2"/>
    <w:rsid w:val="00D522C8"/>
    <w:rsid w:val="00F56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4C4BE"/>
  <w15:chartTrackingRefBased/>
  <w15:docId w15:val="{C6936DCE-CE0B-4017-8427-DBFFD5C2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8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8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8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8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8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8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8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8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8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8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888"/>
    <w:rPr>
      <w:rFonts w:eastAsiaTheme="majorEastAsia" w:cstheme="majorBidi"/>
      <w:color w:val="272727" w:themeColor="text1" w:themeTint="D8"/>
    </w:rPr>
  </w:style>
  <w:style w:type="paragraph" w:styleId="Title">
    <w:name w:val="Title"/>
    <w:basedOn w:val="Normal"/>
    <w:next w:val="Normal"/>
    <w:link w:val="TitleChar"/>
    <w:uiPriority w:val="10"/>
    <w:qFormat/>
    <w:rsid w:val="00521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888"/>
    <w:pPr>
      <w:spacing w:before="160"/>
      <w:jc w:val="center"/>
    </w:pPr>
    <w:rPr>
      <w:i/>
      <w:iCs/>
      <w:color w:val="404040" w:themeColor="text1" w:themeTint="BF"/>
    </w:rPr>
  </w:style>
  <w:style w:type="character" w:customStyle="1" w:styleId="QuoteChar">
    <w:name w:val="Quote Char"/>
    <w:basedOn w:val="DefaultParagraphFont"/>
    <w:link w:val="Quote"/>
    <w:uiPriority w:val="29"/>
    <w:rsid w:val="00521888"/>
    <w:rPr>
      <w:i/>
      <w:iCs/>
      <w:color w:val="404040" w:themeColor="text1" w:themeTint="BF"/>
    </w:rPr>
  </w:style>
  <w:style w:type="paragraph" w:styleId="ListParagraph">
    <w:name w:val="List Paragraph"/>
    <w:basedOn w:val="Normal"/>
    <w:uiPriority w:val="34"/>
    <w:qFormat/>
    <w:rsid w:val="00521888"/>
    <w:pPr>
      <w:ind w:left="720"/>
      <w:contextualSpacing/>
    </w:pPr>
  </w:style>
  <w:style w:type="character" w:styleId="IntenseEmphasis">
    <w:name w:val="Intense Emphasis"/>
    <w:basedOn w:val="DefaultParagraphFont"/>
    <w:uiPriority w:val="21"/>
    <w:qFormat/>
    <w:rsid w:val="00521888"/>
    <w:rPr>
      <w:i/>
      <w:iCs/>
      <w:color w:val="2F5496" w:themeColor="accent1" w:themeShade="BF"/>
    </w:rPr>
  </w:style>
  <w:style w:type="paragraph" w:styleId="IntenseQuote">
    <w:name w:val="Intense Quote"/>
    <w:basedOn w:val="Normal"/>
    <w:next w:val="Normal"/>
    <w:link w:val="IntenseQuoteChar"/>
    <w:uiPriority w:val="30"/>
    <w:qFormat/>
    <w:rsid w:val="005218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888"/>
    <w:rPr>
      <w:i/>
      <w:iCs/>
      <w:color w:val="2F5496" w:themeColor="accent1" w:themeShade="BF"/>
    </w:rPr>
  </w:style>
  <w:style w:type="character" w:styleId="IntenseReference">
    <w:name w:val="Intense Reference"/>
    <w:basedOn w:val="DefaultParagraphFont"/>
    <w:uiPriority w:val="32"/>
    <w:qFormat/>
    <w:rsid w:val="005218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Santhosh Bellam Ramesh</dc:creator>
  <cp:keywords/>
  <dc:description/>
  <cp:lastModifiedBy>Sai Santhosh Bellam Ramesh</cp:lastModifiedBy>
  <cp:revision>1</cp:revision>
  <dcterms:created xsi:type="dcterms:W3CDTF">2026-02-25T11:23:00Z</dcterms:created>
  <dcterms:modified xsi:type="dcterms:W3CDTF">2026-02-25T11:33:00Z</dcterms:modified>
</cp:coreProperties>
</file>