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Noise Pollution Monitoring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Noise pollution is an ever-growing concern in our urbanized world. As our cities expand and technology advances, so does the cacophony of noise that surrounds us. Monitoring and addressing noise pollution have become imperative for maintaining our well-being and the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relentless hum of traffic, the blaring sirens, and the constant construction activities all contribute to the rising levels of noise pollution. It not only disturbs our peace but also has detrimental effects on our health. Prolonged exposure to noise pollution can lead to stress, sleep disturbances, and even cardiovascular issues.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combat this growing problem, noise pollution monitoring has become an indispensable tool. Modern monitoring systems employ a network of strategically placed sensors to capture noise levels in real-time. These sensors collect data, which is then analyzed to identify noise hotspots and trends.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Monitoring systems offer several advantages. They provide valuable insights into noise sources, enabling authorities to implement targeted interventions. This data also empowers communities to advocate for quieter environments. Moreover, monitoring helps in enforcing noise regulations, ensuring that industries and individuals adhere to permissible noise levels.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Efforts to combat noise pollution extend beyond just monitoring. Noise barriers, quieter technologies, and urban planning that prioritizes noise reduction are some of the measures being taken. But it all starts with awareness, and noise pollution monitoring serves as a vital tool in raising that awareness.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quest for quieter, more serene urban environments, noise pollution monitoring plays a pivotal role. It equips us with the data needed to make informed decisions, protect our health, and preserve the tranquility of our communities. With continued vigilance and action, we can hope to strike a harmonious balance between progress and peace in our noisy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