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626C" w14:textId="77777777" w:rsidR="00816941" w:rsidRDefault="00816941" w:rsidP="00DA772A">
      <w:pPr>
        <w:pStyle w:val="Heading1"/>
        <w:jc w:val="center"/>
        <w:rPr>
          <w:rStyle w:val="Strong"/>
          <w:rFonts w:ascii="Times New Roman" w:hAnsi="Times New Roman" w:cs="Times New Roman"/>
          <w:color w:val="auto"/>
          <w:sz w:val="36"/>
          <w:szCs w:val="36"/>
        </w:rPr>
      </w:pPr>
      <w:r w:rsidRPr="00DA772A">
        <w:rPr>
          <w:rStyle w:val="Strong"/>
          <w:rFonts w:ascii="Times New Roman" w:hAnsi="Times New Roman" w:cs="Times New Roman"/>
          <w:color w:val="auto"/>
          <w:sz w:val="36"/>
          <w:szCs w:val="36"/>
        </w:rPr>
        <w:t>Exploratory and Predictive Analysis of Airbnb Listings</w:t>
      </w:r>
    </w:p>
    <w:p w14:paraId="1ADB823B" w14:textId="77777777" w:rsidR="00DA772A" w:rsidRPr="00DA772A" w:rsidRDefault="00DA772A" w:rsidP="00DA772A"/>
    <w:p w14:paraId="2CBECFB6" w14:textId="77777777" w:rsidR="00816941" w:rsidRPr="00816941" w:rsidRDefault="00816941" w:rsidP="00816941">
      <w:pPr>
        <w:pStyle w:val="Heading2"/>
        <w:jc w:val="both"/>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1.Executive Summary</w:t>
      </w:r>
    </w:p>
    <w:p w14:paraId="2F335488" w14:textId="77777777" w:rsidR="00816941" w:rsidRPr="00816941" w:rsidRDefault="00816941" w:rsidP="00816941">
      <w:pPr>
        <w:pStyle w:val="NormalWeb"/>
        <w:ind w:firstLine="720"/>
        <w:jc w:val="both"/>
        <w:rPr>
          <w:sz w:val="20"/>
          <w:szCs w:val="20"/>
        </w:rPr>
      </w:pPr>
      <w:r w:rsidRPr="00816941">
        <w:rPr>
          <w:sz w:val="20"/>
          <w:szCs w:val="20"/>
        </w:rPr>
        <w:t>This project analyses Airbnb listings in Belgium and France to identify the primary factors influencing pricing and booking demand using Python-based statistical analysis, machine learning techniques, and interactive Tableau dashboards. Hypothesis testing was employed to validate statistically significant relationships, while K-Means clustering was used to segment listings into distinct market groups. The analysis demonstrates that amenities, host experience, and accommodation capacity play a significant role in shaping both pricing and demand. These findings provide a strong foundation for data-driven pricing optimization and effective market segmentation strategies.</w:t>
      </w:r>
    </w:p>
    <w:p w14:paraId="5F3EAFF5" w14:textId="77777777" w:rsidR="00816941" w:rsidRPr="00816941" w:rsidRDefault="00816941" w:rsidP="00816941">
      <w:pPr>
        <w:pStyle w:val="Heading2"/>
        <w:jc w:val="both"/>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2.Project Objectives</w:t>
      </w:r>
    </w:p>
    <w:p w14:paraId="02F13FF2" w14:textId="77777777" w:rsidR="00816941" w:rsidRPr="00816941" w:rsidRDefault="00816941" w:rsidP="00816941">
      <w:pPr>
        <w:pStyle w:val="NormalWeb"/>
        <w:ind w:firstLine="720"/>
        <w:jc w:val="both"/>
        <w:rPr>
          <w:sz w:val="20"/>
          <w:szCs w:val="20"/>
        </w:rPr>
      </w:pPr>
      <w:r w:rsidRPr="00816941">
        <w:rPr>
          <w:sz w:val="20"/>
          <w:szCs w:val="20"/>
        </w:rPr>
        <w:t>The primary objective of this project is to analyse Airbnb listing and host data to identify the key factors influencing pricing, booking demand, and overall platform performance. By leveraging statistical analysis, machine learning methods, and interactive data visualization, the project aims to generate actionable insights that support data-driven decision-making across multiple business dimensions.</w:t>
      </w:r>
    </w:p>
    <w:p w14:paraId="7C2ED6A4" w14:textId="51E1596D" w:rsidR="00816941" w:rsidRPr="00816941" w:rsidRDefault="00816941" w:rsidP="00816941">
      <w:pPr>
        <w:pStyle w:val="NormalWeb"/>
        <w:rPr>
          <w:sz w:val="20"/>
          <w:szCs w:val="20"/>
        </w:rPr>
      </w:pPr>
      <w:r w:rsidRPr="00816941">
        <w:rPr>
          <w:rStyle w:val="Strong"/>
          <w:rFonts w:eastAsiaTheme="majorEastAsia"/>
        </w:rPr>
        <w:t>2.1. Listing and Host Performance Analysis</w:t>
      </w:r>
      <w:r w:rsidRPr="00816941">
        <w:rPr>
          <w:sz w:val="20"/>
          <w:szCs w:val="20"/>
        </w:rPr>
        <w:br/>
      </w:r>
      <w:r>
        <w:rPr>
          <w:sz w:val="20"/>
          <w:szCs w:val="20"/>
        </w:rPr>
        <w:t xml:space="preserve">  </w:t>
      </w:r>
      <w:r>
        <w:rPr>
          <w:sz w:val="20"/>
          <w:szCs w:val="20"/>
        </w:rPr>
        <w:tab/>
      </w:r>
      <w:r w:rsidRPr="00816941">
        <w:rPr>
          <w:sz w:val="20"/>
          <w:szCs w:val="20"/>
        </w:rPr>
        <w:t>To evaluate the impact of listing characteristics and host experience on pricing, booking demand, and overall performance metrics.</w:t>
      </w:r>
    </w:p>
    <w:p w14:paraId="2BED4678" w14:textId="21922ADD" w:rsidR="00816941" w:rsidRPr="00816941" w:rsidRDefault="00816941" w:rsidP="00816941">
      <w:pPr>
        <w:pStyle w:val="NormalWeb"/>
        <w:rPr>
          <w:sz w:val="20"/>
          <w:szCs w:val="20"/>
        </w:rPr>
      </w:pPr>
      <w:r w:rsidRPr="00816941">
        <w:rPr>
          <w:rStyle w:val="Strong"/>
          <w:rFonts w:eastAsiaTheme="majorEastAsia"/>
        </w:rPr>
        <w:t>2.2. Geospatial and Location-Based Insights</w:t>
      </w:r>
      <w:r w:rsidRPr="00816941">
        <w:rPr>
          <w:sz w:val="20"/>
          <w:szCs w:val="20"/>
        </w:rPr>
        <w:br/>
      </w:r>
      <w:r>
        <w:rPr>
          <w:sz w:val="20"/>
          <w:szCs w:val="20"/>
        </w:rPr>
        <w:t xml:space="preserve">  </w:t>
      </w:r>
      <w:r>
        <w:rPr>
          <w:sz w:val="20"/>
          <w:szCs w:val="20"/>
        </w:rPr>
        <w:tab/>
      </w:r>
      <w:r w:rsidRPr="00816941">
        <w:rPr>
          <w:sz w:val="20"/>
          <w:szCs w:val="20"/>
        </w:rPr>
        <w:t>To examine how geographic factors such as city, region, and location influence listing prices, demand concentration, and market attractiveness.</w:t>
      </w:r>
    </w:p>
    <w:p w14:paraId="48B541EF" w14:textId="7406E2E1" w:rsidR="00816941" w:rsidRPr="00816941" w:rsidRDefault="00816941" w:rsidP="00816941">
      <w:pPr>
        <w:pStyle w:val="NormalWeb"/>
        <w:rPr>
          <w:sz w:val="20"/>
          <w:szCs w:val="20"/>
        </w:rPr>
      </w:pPr>
      <w:r w:rsidRPr="00816941">
        <w:rPr>
          <w:rStyle w:val="Strong"/>
          <w:rFonts w:eastAsiaTheme="majorEastAsia"/>
        </w:rPr>
        <w:t>2.3. Customer Experience and Satisfaction</w:t>
      </w:r>
      <w:r w:rsidRPr="00816941">
        <w:rPr>
          <w:sz w:val="20"/>
          <w:szCs w:val="20"/>
        </w:rPr>
        <w:br/>
      </w:r>
      <w:r>
        <w:rPr>
          <w:sz w:val="20"/>
          <w:szCs w:val="20"/>
        </w:rPr>
        <w:t xml:space="preserve">  </w:t>
      </w:r>
      <w:r>
        <w:rPr>
          <w:sz w:val="20"/>
          <w:szCs w:val="20"/>
        </w:rPr>
        <w:tab/>
      </w:r>
      <w:r w:rsidRPr="00816941">
        <w:rPr>
          <w:sz w:val="20"/>
          <w:szCs w:val="20"/>
        </w:rPr>
        <w:t>To assess customer satisfaction using proxies such as review counts and ratings, and to analyse their relationship with pricing and listing attributes.</w:t>
      </w:r>
    </w:p>
    <w:p w14:paraId="6CAF4D95" w14:textId="378D6030" w:rsidR="00816941" w:rsidRPr="00816941" w:rsidRDefault="00816941" w:rsidP="00816941">
      <w:pPr>
        <w:pStyle w:val="NormalWeb"/>
        <w:rPr>
          <w:sz w:val="20"/>
          <w:szCs w:val="20"/>
        </w:rPr>
      </w:pPr>
      <w:r w:rsidRPr="00816941">
        <w:rPr>
          <w:rStyle w:val="Strong"/>
          <w:rFonts w:eastAsiaTheme="majorEastAsia"/>
        </w:rPr>
        <w:t>2.4. Property Attributes and Amenities Analysis</w:t>
      </w:r>
      <w:r w:rsidRPr="00816941">
        <w:rPr>
          <w:sz w:val="20"/>
          <w:szCs w:val="20"/>
        </w:rPr>
        <w:br/>
      </w:r>
      <w:r>
        <w:rPr>
          <w:sz w:val="20"/>
          <w:szCs w:val="20"/>
        </w:rPr>
        <w:t xml:space="preserve">  </w:t>
      </w:r>
      <w:r>
        <w:rPr>
          <w:sz w:val="20"/>
          <w:szCs w:val="20"/>
        </w:rPr>
        <w:tab/>
      </w:r>
      <w:r w:rsidRPr="00816941">
        <w:rPr>
          <w:sz w:val="20"/>
          <w:szCs w:val="20"/>
        </w:rPr>
        <w:t>To determine the influence of property characteristics—including accommodation capacity, number of bedrooms and bathrooms, and amenities—on pricing and booking demand.</w:t>
      </w:r>
    </w:p>
    <w:p w14:paraId="1C402C37" w14:textId="48C7FF67" w:rsidR="00816941" w:rsidRPr="00816941" w:rsidRDefault="00816941" w:rsidP="00816941">
      <w:pPr>
        <w:pStyle w:val="NormalWeb"/>
        <w:rPr>
          <w:sz w:val="20"/>
          <w:szCs w:val="20"/>
        </w:rPr>
      </w:pPr>
      <w:r w:rsidRPr="00816941">
        <w:rPr>
          <w:rStyle w:val="Strong"/>
          <w:rFonts w:eastAsiaTheme="majorEastAsia"/>
        </w:rPr>
        <w:t>2.5. Host Performance and Experience</w:t>
      </w:r>
      <w:r w:rsidRPr="00816941">
        <w:rPr>
          <w:sz w:val="20"/>
          <w:szCs w:val="20"/>
        </w:rPr>
        <w:br/>
      </w:r>
      <w:r>
        <w:rPr>
          <w:sz w:val="20"/>
          <w:szCs w:val="20"/>
        </w:rPr>
        <w:t xml:space="preserve">  </w:t>
      </w:r>
      <w:r>
        <w:rPr>
          <w:sz w:val="20"/>
          <w:szCs w:val="20"/>
        </w:rPr>
        <w:tab/>
      </w:r>
      <w:r w:rsidRPr="00816941">
        <w:rPr>
          <w:sz w:val="20"/>
          <w:szCs w:val="20"/>
        </w:rPr>
        <w:t>To compare performance patterns between single-listing and multi-listing hosts and evaluate how host experience shapes pricing strategies.</w:t>
      </w:r>
    </w:p>
    <w:p w14:paraId="64ED00C9" w14:textId="2DA02990" w:rsidR="00816941" w:rsidRPr="00816941" w:rsidRDefault="00816941" w:rsidP="00816941">
      <w:pPr>
        <w:pStyle w:val="NormalWeb"/>
        <w:rPr>
          <w:sz w:val="20"/>
          <w:szCs w:val="20"/>
        </w:rPr>
      </w:pPr>
      <w:r w:rsidRPr="00816941">
        <w:rPr>
          <w:rStyle w:val="Strong"/>
          <w:rFonts w:eastAsiaTheme="majorEastAsia"/>
        </w:rPr>
        <w:t>2.6. Demand and Seasonal Trends</w:t>
      </w:r>
      <w:r w:rsidRPr="00816941">
        <w:rPr>
          <w:sz w:val="20"/>
          <w:szCs w:val="20"/>
        </w:rPr>
        <w:br/>
      </w:r>
      <w:r>
        <w:rPr>
          <w:sz w:val="20"/>
          <w:szCs w:val="20"/>
        </w:rPr>
        <w:t xml:space="preserve">  </w:t>
      </w:r>
      <w:r>
        <w:rPr>
          <w:sz w:val="20"/>
          <w:szCs w:val="20"/>
        </w:rPr>
        <w:tab/>
      </w:r>
      <w:r w:rsidRPr="00816941">
        <w:rPr>
          <w:sz w:val="20"/>
          <w:szCs w:val="20"/>
        </w:rPr>
        <w:t>To analyse temporal demand patterns and identify potential seasonal effects on booking activity and pricing behaviour.</w:t>
      </w:r>
    </w:p>
    <w:p w14:paraId="734411CF" w14:textId="5CD3E2E2" w:rsidR="00816941" w:rsidRPr="00816941" w:rsidRDefault="00816941" w:rsidP="00816941">
      <w:pPr>
        <w:pStyle w:val="NormalWeb"/>
        <w:rPr>
          <w:sz w:val="20"/>
          <w:szCs w:val="20"/>
        </w:rPr>
      </w:pPr>
      <w:r w:rsidRPr="00816941">
        <w:rPr>
          <w:rStyle w:val="Strong"/>
          <w:rFonts w:eastAsiaTheme="majorEastAsia"/>
        </w:rPr>
        <w:t>2.7 Cancellation and Security Policy Impact</w:t>
      </w:r>
      <w:r w:rsidRPr="00816941">
        <w:rPr>
          <w:sz w:val="20"/>
          <w:szCs w:val="20"/>
        </w:rPr>
        <w:br/>
      </w:r>
      <w:r>
        <w:rPr>
          <w:sz w:val="20"/>
          <w:szCs w:val="20"/>
        </w:rPr>
        <w:t xml:space="preserve">  </w:t>
      </w:r>
      <w:r>
        <w:rPr>
          <w:sz w:val="20"/>
          <w:szCs w:val="20"/>
        </w:rPr>
        <w:tab/>
      </w:r>
      <w:r w:rsidRPr="00816941">
        <w:rPr>
          <w:sz w:val="20"/>
          <w:szCs w:val="20"/>
        </w:rPr>
        <w:t>To evaluate the effect of cancellation and security policies on customer trust, demand levels, and listing performance.</w:t>
      </w:r>
    </w:p>
    <w:p w14:paraId="156C1688" w14:textId="7ABFC0F4" w:rsidR="00816941" w:rsidRPr="00816941" w:rsidRDefault="00816941" w:rsidP="00816941">
      <w:pPr>
        <w:pStyle w:val="NormalWeb"/>
        <w:rPr>
          <w:sz w:val="20"/>
          <w:szCs w:val="20"/>
        </w:rPr>
      </w:pPr>
      <w:r w:rsidRPr="00816941">
        <w:rPr>
          <w:rStyle w:val="Strong"/>
          <w:rFonts w:eastAsiaTheme="majorEastAsia"/>
        </w:rPr>
        <w:t>2.8 Market Competitiveness and Segmentation</w:t>
      </w:r>
      <w:r w:rsidRPr="00816941">
        <w:rPr>
          <w:sz w:val="20"/>
          <w:szCs w:val="20"/>
        </w:rPr>
        <w:br/>
      </w:r>
      <w:r>
        <w:rPr>
          <w:sz w:val="20"/>
          <w:szCs w:val="20"/>
        </w:rPr>
        <w:t xml:space="preserve">  </w:t>
      </w:r>
      <w:r>
        <w:rPr>
          <w:sz w:val="20"/>
          <w:szCs w:val="20"/>
        </w:rPr>
        <w:tab/>
      </w:r>
      <w:r w:rsidRPr="00816941">
        <w:rPr>
          <w:sz w:val="20"/>
          <w:szCs w:val="20"/>
        </w:rPr>
        <w:t>To segment listings using clustering techniques and assess competitive positioning across distinct market segments.</w:t>
      </w:r>
    </w:p>
    <w:p w14:paraId="6EA91B45" w14:textId="77777777" w:rsidR="00816941" w:rsidRPr="00816941" w:rsidRDefault="00816941" w:rsidP="00816941">
      <w:pPr>
        <w:pStyle w:val="Heading2"/>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lastRenderedPageBreak/>
        <w:t>3. Dataset Overview</w:t>
      </w:r>
    </w:p>
    <w:p w14:paraId="68882B49" w14:textId="77777777" w:rsidR="00816941" w:rsidRPr="00816941" w:rsidRDefault="00816941" w:rsidP="00816941">
      <w:pPr>
        <w:pStyle w:val="NormalWeb"/>
        <w:ind w:firstLine="720"/>
        <w:rPr>
          <w:sz w:val="20"/>
          <w:szCs w:val="20"/>
        </w:rPr>
      </w:pPr>
      <w:r w:rsidRPr="00816941">
        <w:rPr>
          <w:sz w:val="20"/>
          <w:szCs w:val="20"/>
        </w:rPr>
        <w:t>This project utilizes two country-specific Airbnb datasets from Belgium and France, each analysed independently using an identical analytical framework to ensure consistency and comparability of results.</w:t>
      </w:r>
    </w:p>
    <w:p w14:paraId="4AF18E39"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3.1. Data Source</w:t>
      </w:r>
    </w:p>
    <w:p w14:paraId="2FEA0077" w14:textId="77777777" w:rsidR="00816941" w:rsidRPr="00816941" w:rsidRDefault="00816941" w:rsidP="00816941">
      <w:pPr>
        <w:pStyle w:val="NormalWeb"/>
        <w:rPr>
          <w:sz w:val="20"/>
          <w:szCs w:val="20"/>
        </w:rPr>
      </w:pPr>
      <w:r w:rsidRPr="00816941">
        <w:rPr>
          <w:sz w:val="20"/>
          <w:szCs w:val="20"/>
        </w:rPr>
        <w:t>Publicly available Airbnb listing data containing detailed information on pricing, listing characteristics, host attributes, and customer engagement metrics.</w:t>
      </w:r>
    </w:p>
    <w:p w14:paraId="3F20B451"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3.2. Dataset Scope</w:t>
      </w:r>
    </w:p>
    <w:p w14:paraId="64B24E28" w14:textId="77777777" w:rsidR="00816941" w:rsidRPr="00816941" w:rsidRDefault="00816941" w:rsidP="00816941">
      <w:pPr>
        <w:pStyle w:val="NormalWeb"/>
        <w:numPr>
          <w:ilvl w:val="0"/>
          <w:numId w:val="1"/>
        </w:numPr>
        <w:rPr>
          <w:sz w:val="20"/>
          <w:szCs w:val="20"/>
        </w:rPr>
      </w:pPr>
      <w:r w:rsidRPr="00816941">
        <w:rPr>
          <w:rStyle w:val="Strong"/>
          <w:rFonts w:eastAsiaTheme="majorEastAsia"/>
          <w:sz w:val="20"/>
          <w:szCs w:val="20"/>
        </w:rPr>
        <w:t>Belgium Dataset:</w:t>
      </w:r>
      <w:r w:rsidRPr="00816941">
        <w:rPr>
          <w:sz w:val="20"/>
          <w:szCs w:val="20"/>
        </w:rPr>
        <w:t xml:space="preserve"> Listings across major Belgium cities and regions</w:t>
      </w:r>
    </w:p>
    <w:p w14:paraId="276D405B" w14:textId="77777777" w:rsidR="00816941" w:rsidRPr="00816941" w:rsidRDefault="00816941" w:rsidP="00816941">
      <w:pPr>
        <w:pStyle w:val="NormalWeb"/>
        <w:numPr>
          <w:ilvl w:val="0"/>
          <w:numId w:val="1"/>
        </w:numPr>
        <w:rPr>
          <w:sz w:val="20"/>
          <w:szCs w:val="20"/>
        </w:rPr>
      </w:pPr>
      <w:r w:rsidRPr="00816941">
        <w:rPr>
          <w:rStyle w:val="Strong"/>
          <w:rFonts w:eastAsiaTheme="majorEastAsia"/>
          <w:sz w:val="20"/>
          <w:szCs w:val="20"/>
        </w:rPr>
        <w:t>France Dataset:</w:t>
      </w:r>
      <w:r w:rsidRPr="00816941">
        <w:rPr>
          <w:sz w:val="20"/>
          <w:szCs w:val="20"/>
        </w:rPr>
        <w:t xml:space="preserve"> Listings across major French cities and regions</w:t>
      </w:r>
    </w:p>
    <w:p w14:paraId="254AA526" w14:textId="77777777" w:rsidR="00816941" w:rsidRPr="00816941" w:rsidRDefault="00816941" w:rsidP="00816941">
      <w:pPr>
        <w:pStyle w:val="NormalWeb"/>
        <w:numPr>
          <w:ilvl w:val="0"/>
          <w:numId w:val="1"/>
        </w:numPr>
        <w:rPr>
          <w:sz w:val="20"/>
          <w:szCs w:val="20"/>
        </w:rPr>
      </w:pPr>
      <w:r w:rsidRPr="00816941">
        <w:rPr>
          <w:rStyle w:val="Strong"/>
          <w:rFonts w:eastAsiaTheme="majorEastAsia"/>
          <w:sz w:val="20"/>
          <w:szCs w:val="20"/>
        </w:rPr>
        <w:t>Granularity:</w:t>
      </w:r>
      <w:r w:rsidRPr="00816941">
        <w:rPr>
          <w:sz w:val="20"/>
          <w:szCs w:val="20"/>
        </w:rPr>
        <w:t xml:space="preserve"> Listing-level data</w:t>
      </w:r>
    </w:p>
    <w:p w14:paraId="3BAE5E39" w14:textId="77777777" w:rsidR="00816941" w:rsidRPr="00816941" w:rsidRDefault="00816941" w:rsidP="00816941">
      <w:pPr>
        <w:pStyle w:val="NormalWeb"/>
        <w:numPr>
          <w:ilvl w:val="0"/>
          <w:numId w:val="1"/>
        </w:numPr>
        <w:rPr>
          <w:sz w:val="20"/>
          <w:szCs w:val="20"/>
        </w:rPr>
      </w:pPr>
      <w:r w:rsidRPr="00816941">
        <w:rPr>
          <w:rStyle w:val="Strong"/>
          <w:rFonts w:eastAsiaTheme="majorEastAsia"/>
          <w:sz w:val="20"/>
          <w:szCs w:val="20"/>
        </w:rPr>
        <w:t>Data Type:</w:t>
      </w:r>
      <w:r w:rsidRPr="00816941">
        <w:rPr>
          <w:sz w:val="20"/>
          <w:szCs w:val="20"/>
        </w:rPr>
        <w:t xml:space="preserve"> Cross-sectional (non–time series)</w:t>
      </w:r>
    </w:p>
    <w:p w14:paraId="2B618C1F"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3.3. Key Data Categories</w:t>
      </w:r>
    </w:p>
    <w:p w14:paraId="58494BD0" w14:textId="77777777" w:rsidR="00816941" w:rsidRPr="00816941" w:rsidRDefault="00816941" w:rsidP="00816941">
      <w:pPr>
        <w:pStyle w:val="NormalWeb"/>
        <w:numPr>
          <w:ilvl w:val="0"/>
          <w:numId w:val="2"/>
        </w:numPr>
        <w:rPr>
          <w:sz w:val="20"/>
          <w:szCs w:val="20"/>
        </w:rPr>
      </w:pPr>
      <w:r w:rsidRPr="00816941">
        <w:rPr>
          <w:rStyle w:val="Strong"/>
          <w:rFonts w:eastAsiaTheme="majorEastAsia"/>
          <w:sz w:val="20"/>
          <w:szCs w:val="20"/>
        </w:rPr>
        <w:t>Listing Information:</w:t>
      </w:r>
      <w:r w:rsidRPr="00816941">
        <w:rPr>
          <w:sz w:val="20"/>
          <w:szCs w:val="20"/>
        </w:rPr>
        <w:t xml:space="preserve"> Price, accommodation capacity, bedrooms, bathrooms, beds</w:t>
      </w:r>
    </w:p>
    <w:p w14:paraId="0EEE6081" w14:textId="77777777" w:rsidR="00816941" w:rsidRPr="00816941" w:rsidRDefault="00816941" w:rsidP="00816941">
      <w:pPr>
        <w:pStyle w:val="NormalWeb"/>
        <w:numPr>
          <w:ilvl w:val="0"/>
          <w:numId w:val="2"/>
        </w:numPr>
        <w:rPr>
          <w:sz w:val="20"/>
          <w:szCs w:val="20"/>
        </w:rPr>
      </w:pPr>
      <w:r w:rsidRPr="00816941">
        <w:rPr>
          <w:rStyle w:val="Strong"/>
          <w:rFonts w:eastAsiaTheme="majorEastAsia"/>
          <w:sz w:val="20"/>
          <w:szCs w:val="20"/>
        </w:rPr>
        <w:t>Amenities:</w:t>
      </w:r>
      <w:r w:rsidRPr="00816941">
        <w:rPr>
          <w:sz w:val="20"/>
          <w:szCs w:val="20"/>
        </w:rPr>
        <w:t xml:space="preserve"> Total amenity count and property features</w:t>
      </w:r>
    </w:p>
    <w:p w14:paraId="69F8E497" w14:textId="77777777" w:rsidR="00816941" w:rsidRPr="00816941" w:rsidRDefault="00816941" w:rsidP="00816941">
      <w:pPr>
        <w:pStyle w:val="NormalWeb"/>
        <w:numPr>
          <w:ilvl w:val="0"/>
          <w:numId w:val="2"/>
        </w:numPr>
        <w:rPr>
          <w:sz w:val="20"/>
          <w:szCs w:val="20"/>
        </w:rPr>
      </w:pPr>
      <w:r w:rsidRPr="00816941">
        <w:rPr>
          <w:rStyle w:val="Strong"/>
          <w:rFonts w:eastAsiaTheme="majorEastAsia"/>
          <w:sz w:val="20"/>
          <w:szCs w:val="20"/>
        </w:rPr>
        <w:t>Host Attributes:</w:t>
      </w:r>
      <w:r w:rsidRPr="00816941">
        <w:rPr>
          <w:sz w:val="20"/>
          <w:szCs w:val="20"/>
        </w:rPr>
        <w:t xml:space="preserve"> Host listing count</w:t>
      </w:r>
    </w:p>
    <w:p w14:paraId="0C6669BF" w14:textId="77777777" w:rsidR="00816941" w:rsidRPr="00816941" w:rsidRDefault="00816941" w:rsidP="00816941">
      <w:pPr>
        <w:pStyle w:val="NormalWeb"/>
        <w:numPr>
          <w:ilvl w:val="0"/>
          <w:numId w:val="2"/>
        </w:numPr>
        <w:rPr>
          <w:sz w:val="20"/>
          <w:szCs w:val="20"/>
        </w:rPr>
      </w:pPr>
      <w:r w:rsidRPr="00816941">
        <w:rPr>
          <w:rStyle w:val="Strong"/>
          <w:rFonts w:eastAsiaTheme="majorEastAsia"/>
          <w:sz w:val="20"/>
          <w:szCs w:val="20"/>
        </w:rPr>
        <w:t>Customer Engagement:</w:t>
      </w:r>
      <w:r w:rsidRPr="00816941">
        <w:rPr>
          <w:sz w:val="20"/>
          <w:szCs w:val="20"/>
        </w:rPr>
        <w:t xml:space="preserve"> Number of reviews (used as a proxy for demand)</w:t>
      </w:r>
    </w:p>
    <w:p w14:paraId="4FF385A6" w14:textId="77777777" w:rsidR="00816941" w:rsidRPr="00816941" w:rsidRDefault="00816941" w:rsidP="00816941">
      <w:pPr>
        <w:pStyle w:val="NormalWeb"/>
        <w:numPr>
          <w:ilvl w:val="0"/>
          <w:numId w:val="2"/>
        </w:numPr>
        <w:rPr>
          <w:sz w:val="20"/>
          <w:szCs w:val="20"/>
        </w:rPr>
      </w:pPr>
      <w:r w:rsidRPr="00816941">
        <w:rPr>
          <w:rStyle w:val="Strong"/>
          <w:rFonts w:eastAsiaTheme="majorEastAsia"/>
          <w:sz w:val="20"/>
          <w:szCs w:val="20"/>
        </w:rPr>
        <w:t>Location Information:</w:t>
      </w:r>
      <w:r w:rsidRPr="00816941">
        <w:rPr>
          <w:sz w:val="20"/>
          <w:szCs w:val="20"/>
        </w:rPr>
        <w:t xml:space="preserve"> City and regional identifiers</w:t>
      </w:r>
    </w:p>
    <w:p w14:paraId="4C5B1329"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3.4. Consistency Across Datasets</w:t>
      </w:r>
    </w:p>
    <w:p w14:paraId="5CFAEE46" w14:textId="77777777" w:rsidR="00816941" w:rsidRPr="00816941" w:rsidRDefault="00816941" w:rsidP="00816941">
      <w:pPr>
        <w:pStyle w:val="NormalWeb"/>
        <w:rPr>
          <w:sz w:val="20"/>
          <w:szCs w:val="20"/>
        </w:rPr>
      </w:pPr>
      <w:r w:rsidRPr="00816941">
        <w:rPr>
          <w:sz w:val="20"/>
          <w:szCs w:val="20"/>
        </w:rPr>
        <w:t>Identical variables, data pre-processing steps, and analytical methods were applied to both datasets to ensure a fair and reliable cross-country comparison.</w:t>
      </w:r>
    </w:p>
    <w:p w14:paraId="2193E03A" w14:textId="77777777" w:rsidR="00816941" w:rsidRPr="00816941" w:rsidRDefault="00816941" w:rsidP="00816941">
      <w:pPr>
        <w:pStyle w:val="Heading2"/>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4. Exploratory Data Analysis (EDA)</w:t>
      </w:r>
    </w:p>
    <w:p w14:paraId="410DE105" w14:textId="77777777" w:rsidR="00816941" w:rsidRPr="00816941" w:rsidRDefault="00816941" w:rsidP="00816941">
      <w:pPr>
        <w:pStyle w:val="Heading3"/>
        <w:rPr>
          <w:rFonts w:ascii="Times New Roman" w:hAnsi="Times New Roman" w:cs="Times New Roman"/>
          <w:color w:val="auto"/>
          <w:sz w:val="20"/>
          <w:szCs w:val="20"/>
        </w:rPr>
      </w:pPr>
      <w:r w:rsidRPr="00816941">
        <w:rPr>
          <w:rStyle w:val="Strong"/>
          <w:rFonts w:ascii="Times New Roman" w:hAnsi="Times New Roman" w:cs="Times New Roman"/>
          <w:b w:val="0"/>
          <w:bCs w:val="0"/>
          <w:color w:val="auto"/>
          <w:sz w:val="24"/>
          <w:szCs w:val="24"/>
        </w:rPr>
        <w:t>4.1. Listing and Host Performance</w:t>
      </w:r>
    </w:p>
    <w:p w14:paraId="4C7E4F63" w14:textId="77777777" w:rsidR="00816941" w:rsidRPr="00816941" w:rsidRDefault="00816941" w:rsidP="00816941">
      <w:pPr>
        <w:pStyle w:val="NormalWeb"/>
        <w:numPr>
          <w:ilvl w:val="0"/>
          <w:numId w:val="3"/>
        </w:numPr>
        <w:rPr>
          <w:sz w:val="20"/>
          <w:szCs w:val="20"/>
        </w:rPr>
      </w:pPr>
      <w:r w:rsidRPr="00816941">
        <w:rPr>
          <w:sz w:val="20"/>
          <w:szCs w:val="20"/>
        </w:rPr>
        <w:t>France shows a stronger premium pricing segment dominated by large-scale professional hosts, while Belgium’s premium segment is smaller and more competitive.</w:t>
      </w:r>
    </w:p>
    <w:p w14:paraId="24B86940" w14:textId="77777777" w:rsidR="00816941" w:rsidRPr="00816941" w:rsidRDefault="00816941" w:rsidP="00816941">
      <w:pPr>
        <w:pStyle w:val="NormalWeb"/>
        <w:numPr>
          <w:ilvl w:val="0"/>
          <w:numId w:val="3"/>
        </w:numPr>
        <w:rPr>
          <w:sz w:val="20"/>
          <w:szCs w:val="20"/>
        </w:rPr>
      </w:pPr>
      <w:r w:rsidRPr="00816941">
        <w:rPr>
          <w:sz w:val="20"/>
          <w:szCs w:val="20"/>
        </w:rPr>
        <w:t>Hosts managing multiple listings receive higher total reviews in both countries, indicating that host experience and scale positively influence demand.</w:t>
      </w:r>
    </w:p>
    <w:p w14:paraId="51AA7F63"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4.2. Geospatial and Location-Based Insights</w:t>
      </w:r>
    </w:p>
    <w:p w14:paraId="14E5C937" w14:textId="77777777" w:rsidR="00816941" w:rsidRPr="00816941" w:rsidRDefault="00816941" w:rsidP="00816941">
      <w:pPr>
        <w:pStyle w:val="NormalWeb"/>
        <w:numPr>
          <w:ilvl w:val="0"/>
          <w:numId w:val="4"/>
        </w:numPr>
        <w:rPr>
          <w:sz w:val="20"/>
          <w:szCs w:val="20"/>
        </w:rPr>
      </w:pPr>
      <w:r w:rsidRPr="00816941">
        <w:rPr>
          <w:sz w:val="20"/>
          <w:szCs w:val="20"/>
        </w:rPr>
        <w:t>France contains clearly defined premium locations with higher prices and larger guest capacities, whereas Belgium is primarily positioned in the affordable-to-mid-range segment.</w:t>
      </w:r>
    </w:p>
    <w:p w14:paraId="4E650B10" w14:textId="77777777" w:rsidR="00816941" w:rsidRPr="00816941" w:rsidRDefault="00816941" w:rsidP="00816941">
      <w:pPr>
        <w:pStyle w:val="NormalWeb"/>
        <w:numPr>
          <w:ilvl w:val="0"/>
          <w:numId w:val="4"/>
        </w:numPr>
        <w:rPr>
          <w:sz w:val="20"/>
          <w:szCs w:val="20"/>
        </w:rPr>
      </w:pPr>
      <w:r w:rsidRPr="00816941">
        <w:rPr>
          <w:sz w:val="20"/>
          <w:szCs w:val="20"/>
        </w:rPr>
        <w:t>Additional guest charges are more common in premium French locations, while Belgium listings often include higher guest capacity within the base price.</w:t>
      </w:r>
    </w:p>
    <w:p w14:paraId="1566349D"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4.3. Customer Experience and Satisfaction</w:t>
      </w:r>
    </w:p>
    <w:p w14:paraId="0CFD2FAC" w14:textId="77777777" w:rsidR="00816941" w:rsidRPr="00816941" w:rsidRDefault="00816941" w:rsidP="00816941">
      <w:pPr>
        <w:pStyle w:val="NormalWeb"/>
        <w:numPr>
          <w:ilvl w:val="0"/>
          <w:numId w:val="5"/>
        </w:numPr>
        <w:rPr>
          <w:sz w:val="20"/>
          <w:szCs w:val="20"/>
        </w:rPr>
      </w:pPr>
      <w:r w:rsidRPr="00816941">
        <w:rPr>
          <w:sz w:val="20"/>
          <w:szCs w:val="20"/>
        </w:rPr>
        <w:t>Entire home/apartment listings command higher prices and offer greater capacity in both markets, reflecting a premium for privacy and space.</w:t>
      </w:r>
    </w:p>
    <w:p w14:paraId="681A9BA5" w14:textId="77777777" w:rsidR="00816941" w:rsidRPr="00816941" w:rsidRDefault="00816941" w:rsidP="00816941">
      <w:pPr>
        <w:pStyle w:val="NormalWeb"/>
        <w:numPr>
          <w:ilvl w:val="0"/>
          <w:numId w:val="5"/>
        </w:numPr>
        <w:rPr>
          <w:sz w:val="20"/>
          <w:szCs w:val="20"/>
        </w:rPr>
      </w:pPr>
      <w:r w:rsidRPr="00816941">
        <w:rPr>
          <w:sz w:val="20"/>
          <w:szCs w:val="20"/>
        </w:rPr>
        <w:t>Lower-priced listings continue to attract strong review activity, suggesting affordability does not negatively impact customer satisfaction.</w:t>
      </w:r>
    </w:p>
    <w:p w14:paraId="5FD1F1B1"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lastRenderedPageBreak/>
        <w:t>4.4. Demand and Seasonal Trends</w:t>
      </w:r>
    </w:p>
    <w:p w14:paraId="1431EA98" w14:textId="77777777" w:rsidR="00816941" w:rsidRPr="00816941" w:rsidRDefault="00816941" w:rsidP="00816941">
      <w:pPr>
        <w:pStyle w:val="NormalWeb"/>
        <w:numPr>
          <w:ilvl w:val="0"/>
          <w:numId w:val="6"/>
        </w:numPr>
        <w:rPr>
          <w:sz w:val="20"/>
          <w:szCs w:val="20"/>
        </w:rPr>
      </w:pPr>
      <w:r w:rsidRPr="00816941">
        <w:rPr>
          <w:sz w:val="20"/>
          <w:szCs w:val="20"/>
        </w:rPr>
        <w:t>Both countries experienced rapid host growth during early platform expansion, followed by slower growth as markets matured.</w:t>
      </w:r>
    </w:p>
    <w:p w14:paraId="5A019425" w14:textId="77777777" w:rsidR="00816941" w:rsidRPr="00816941" w:rsidRDefault="00816941" w:rsidP="00816941">
      <w:pPr>
        <w:pStyle w:val="NormalWeb"/>
        <w:numPr>
          <w:ilvl w:val="0"/>
          <w:numId w:val="6"/>
        </w:numPr>
        <w:rPr>
          <w:sz w:val="20"/>
          <w:szCs w:val="20"/>
        </w:rPr>
      </w:pPr>
      <w:r w:rsidRPr="00816941">
        <w:rPr>
          <w:sz w:val="20"/>
          <w:szCs w:val="20"/>
        </w:rPr>
        <w:t>Booking demand displays strong seasonality, peaking during summer months and declining toward year-end.</w:t>
      </w:r>
    </w:p>
    <w:p w14:paraId="099D41DC"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4.5. Cancellation and Security Policies</w:t>
      </w:r>
    </w:p>
    <w:p w14:paraId="70F45668" w14:textId="77777777" w:rsidR="00816941" w:rsidRPr="00816941" w:rsidRDefault="00816941" w:rsidP="00816941">
      <w:pPr>
        <w:pStyle w:val="NormalWeb"/>
        <w:numPr>
          <w:ilvl w:val="0"/>
          <w:numId w:val="7"/>
        </w:numPr>
        <w:rPr>
          <w:sz w:val="20"/>
          <w:szCs w:val="20"/>
        </w:rPr>
      </w:pPr>
      <w:r w:rsidRPr="00816941">
        <w:rPr>
          <w:sz w:val="20"/>
          <w:szCs w:val="20"/>
        </w:rPr>
        <w:t>Stricter cancellation policies are associated with higher prices and increased security deposits in both markets.</w:t>
      </w:r>
    </w:p>
    <w:p w14:paraId="68A3CA8A" w14:textId="77777777" w:rsidR="00816941" w:rsidRPr="00816941" w:rsidRDefault="00816941" w:rsidP="00816941">
      <w:pPr>
        <w:pStyle w:val="NormalWeb"/>
        <w:numPr>
          <w:ilvl w:val="0"/>
          <w:numId w:val="7"/>
        </w:numPr>
        <w:rPr>
          <w:sz w:val="20"/>
          <w:szCs w:val="20"/>
        </w:rPr>
      </w:pPr>
      <w:r w:rsidRPr="00816941">
        <w:rPr>
          <w:sz w:val="20"/>
          <w:szCs w:val="20"/>
        </w:rPr>
        <w:t>Entire home/apartment listings typically require higher deposits than private or shared rooms, reflecting greater host risk exposure.</w:t>
      </w:r>
    </w:p>
    <w:p w14:paraId="6E9E0C96"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4.6. Market Competitiveness</w:t>
      </w:r>
    </w:p>
    <w:p w14:paraId="4055CB61" w14:textId="7A997597" w:rsidR="00816941" w:rsidRPr="00816941" w:rsidRDefault="00816941" w:rsidP="00816941">
      <w:pPr>
        <w:pStyle w:val="NormalWeb"/>
        <w:numPr>
          <w:ilvl w:val="0"/>
          <w:numId w:val="8"/>
        </w:numPr>
        <w:rPr>
          <w:sz w:val="20"/>
          <w:szCs w:val="20"/>
        </w:rPr>
      </w:pPr>
      <w:r w:rsidRPr="00816941">
        <w:rPr>
          <w:sz w:val="20"/>
          <w:szCs w:val="20"/>
        </w:rPr>
        <w:t xml:space="preserve">Entire home/apartment listings dominate supply in both countries, resulting in </w:t>
      </w:r>
      <w:r w:rsidRPr="00816941">
        <w:rPr>
          <w:sz w:val="20"/>
          <w:szCs w:val="20"/>
        </w:rPr>
        <w:t>highly</w:t>
      </w:r>
      <w:r w:rsidRPr="00816941">
        <w:rPr>
          <w:sz w:val="20"/>
          <w:szCs w:val="20"/>
        </w:rPr>
        <w:t xml:space="preserve"> competitive intensity.</w:t>
      </w:r>
    </w:p>
    <w:p w14:paraId="36682FDD" w14:textId="77777777" w:rsidR="00816941" w:rsidRPr="00816941" w:rsidRDefault="00816941" w:rsidP="00816941">
      <w:pPr>
        <w:pStyle w:val="NormalWeb"/>
        <w:numPr>
          <w:ilvl w:val="0"/>
          <w:numId w:val="8"/>
        </w:numPr>
        <w:rPr>
          <w:sz w:val="20"/>
          <w:szCs w:val="20"/>
        </w:rPr>
      </w:pPr>
      <w:r w:rsidRPr="00816941">
        <w:rPr>
          <w:sz w:val="20"/>
          <w:szCs w:val="20"/>
        </w:rPr>
        <w:t>Short minimum-stay listings are the most prevalent, intensifying competition in the short-term rental segment.</w:t>
      </w:r>
    </w:p>
    <w:p w14:paraId="56011324"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4.7. Property Attributes and Amenities</w:t>
      </w:r>
    </w:p>
    <w:p w14:paraId="02482E77" w14:textId="77777777" w:rsidR="00816941" w:rsidRPr="00816941" w:rsidRDefault="00816941" w:rsidP="00816941">
      <w:pPr>
        <w:pStyle w:val="NormalWeb"/>
        <w:numPr>
          <w:ilvl w:val="0"/>
          <w:numId w:val="9"/>
        </w:numPr>
        <w:rPr>
          <w:sz w:val="20"/>
          <w:szCs w:val="20"/>
        </w:rPr>
      </w:pPr>
      <w:r w:rsidRPr="00816941">
        <w:rPr>
          <w:sz w:val="20"/>
          <w:szCs w:val="20"/>
        </w:rPr>
        <w:t>Amenity availability increases with property size, with entire homes offering the highest coverage in both countries.</w:t>
      </w:r>
    </w:p>
    <w:p w14:paraId="262B2B4D" w14:textId="77777777" w:rsidR="00816941" w:rsidRPr="00816941" w:rsidRDefault="00816941" w:rsidP="00816941">
      <w:pPr>
        <w:pStyle w:val="NormalWeb"/>
        <w:numPr>
          <w:ilvl w:val="0"/>
          <w:numId w:val="9"/>
        </w:numPr>
        <w:rPr>
          <w:sz w:val="20"/>
          <w:szCs w:val="20"/>
        </w:rPr>
      </w:pPr>
      <w:r w:rsidRPr="00816941">
        <w:rPr>
          <w:sz w:val="20"/>
          <w:szCs w:val="20"/>
        </w:rPr>
        <w:t>Guest engagement rises with amenity count up to a moderate level, after which additional amenities yield diminishing returns.</w:t>
      </w:r>
    </w:p>
    <w:p w14:paraId="6128F8EC" w14:textId="77777777" w:rsidR="00816941" w:rsidRPr="00816941" w:rsidRDefault="00816941" w:rsidP="00816941">
      <w:pPr>
        <w:pStyle w:val="Heading2"/>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5. Inferential Statistics (Z-Test &amp; T-Test)</w:t>
      </w:r>
    </w:p>
    <w:p w14:paraId="7BE25F4E" w14:textId="77777777" w:rsidR="00816941" w:rsidRPr="00816941" w:rsidRDefault="00816941" w:rsidP="00816941">
      <w:pPr>
        <w:pStyle w:val="NormalWeb"/>
        <w:ind w:firstLine="720"/>
        <w:jc w:val="both"/>
        <w:rPr>
          <w:sz w:val="20"/>
          <w:szCs w:val="20"/>
        </w:rPr>
      </w:pPr>
      <w:r w:rsidRPr="00816941">
        <w:rPr>
          <w:sz w:val="20"/>
          <w:szCs w:val="20"/>
        </w:rPr>
        <w:t>Inferential statistical analysis was conducted to validate whether the relationships observed during exploratory data analysis were statistically significant. Z-tests and T-tests were applied consistently to the Belgium and France datasets using identical hypotheses and a significance level of α = 0.05 to ensure comparability.</w:t>
      </w:r>
    </w:p>
    <w:p w14:paraId="366F30EB"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5.1. Listing and Host Performance</w:t>
      </w:r>
    </w:p>
    <w:p w14:paraId="62B46B54" w14:textId="77777777" w:rsidR="00816941" w:rsidRPr="00816941" w:rsidRDefault="00816941" w:rsidP="00816941">
      <w:pPr>
        <w:pStyle w:val="NormalWeb"/>
        <w:jc w:val="both"/>
        <w:rPr>
          <w:sz w:val="20"/>
          <w:szCs w:val="20"/>
        </w:rPr>
      </w:pPr>
      <w:r w:rsidRPr="00816941">
        <w:rPr>
          <w:sz w:val="20"/>
          <w:szCs w:val="20"/>
        </w:rPr>
        <w:t>The results indicate that multi-listing hosts achieve significantly higher average review counts than single-listing hosts in both countries, with a stronger effect observed in France. This finding confirms that host experience and operational scale positively influence listing performance, particularly in more professionally managed markets.</w:t>
      </w:r>
    </w:p>
    <w:p w14:paraId="3E866C0D"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0"/>
          <w:szCs w:val="20"/>
        </w:rPr>
        <w:t>5</w:t>
      </w:r>
      <w:r w:rsidRPr="00816941">
        <w:rPr>
          <w:rStyle w:val="Strong"/>
          <w:rFonts w:ascii="Times New Roman" w:hAnsi="Times New Roman" w:cs="Times New Roman"/>
          <w:b w:val="0"/>
          <w:bCs w:val="0"/>
          <w:color w:val="auto"/>
          <w:sz w:val="24"/>
          <w:szCs w:val="24"/>
        </w:rPr>
        <w:t>.2. Customer Experience and Satisfaction</w:t>
      </w:r>
    </w:p>
    <w:p w14:paraId="45EC1633" w14:textId="77777777" w:rsidR="00816941" w:rsidRPr="00816941" w:rsidRDefault="00816941" w:rsidP="00816941">
      <w:pPr>
        <w:pStyle w:val="NormalWeb"/>
        <w:jc w:val="both"/>
        <w:rPr>
          <w:sz w:val="20"/>
          <w:szCs w:val="20"/>
        </w:rPr>
      </w:pPr>
      <w:r w:rsidRPr="00816941">
        <w:rPr>
          <w:sz w:val="20"/>
          <w:szCs w:val="20"/>
        </w:rPr>
        <w:t>Host response rates in both Belgium and France significantly exceed the 90% service benchmark, demonstrating consistently high levels of host responsiveness. Such service quality is likely to enhance guest trust and contribute positively to overall customer satisfaction.</w:t>
      </w:r>
    </w:p>
    <w:p w14:paraId="0D1C7673"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5.3. Property Attributes and Amenities</w:t>
      </w:r>
    </w:p>
    <w:p w14:paraId="17F8DE0A" w14:textId="77777777" w:rsidR="00816941" w:rsidRPr="00816941" w:rsidRDefault="00816941" w:rsidP="00816941">
      <w:pPr>
        <w:pStyle w:val="NormalWeb"/>
        <w:jc w:val="both"/>
        <w:rPr>
          <w:sz w:val="20"/>
          <w:szCs w:val="20"/>
        </w:rPr>
      </w:pPr>
      <w:r w:rsidRPr="00816941">
        <w:rPr>
          <w:sz w:val="20"/>
          <w:szCs w:val="20"/>
        </w:rPr>
        <w:t>The analysis shows that the average amenity count in both countries is significantly lower than the assumed benchmark level. This suggests potential opportunities for hosts to improve guest experience and listing competitiveness through enhanced amenity offerings.</w:t>
      </w:r>
    </w:p>
    <w:p w14:paraId="416AEB51" w14:textId="14CA54C9"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lastRenderedPageBreak/>
        <w:t>5.4.</w:t>
      </w:r>
      <w:r w:rsidRPr="00816941">
        <w:rPr>
          <w:rStyle w:val="Strong"/>
          <w:rFonts w:ascii="Times New Roman" w:hAnsi="Times New Roman" w:cs="Times New Roman"/>
          <w:color w:val="auto"/>
          <w:sz w:val="24"/>
          <w:szCs w:val="24"/>
        </w:rPr>
        <w:t xml:space="preserve"> </w:t>
      </w:r>
      <w:r w:rsidRPr="00816941">
        <w:rPr>
          <w:rFonts w:ascii="Times New Roman" w:hAnsi="Times New Roman" w:cs="Times New Roman"/>
          <w:color w:val="auto"/>
          <w:sz w:val="24"/>
          <w:szCs w:val="24"/>
        </w:rPr>
        <w:t>Geospatial / Location-Based Pricing</w:t>
      </w:r>
    </w:p>
    <w:p w14:paraId="3DD2596B" w14:textId="3043E678" w:rsidR="00816941" w:rsidRPr="00816941" w:rsidRDefault="00816941" w:rsidP="00816941">
      <w:pPr>
        <w:pStyle w:val="NormalWeb"/>
        <w:jc w:val="both"/>
        <w:rPr>
          <w:sz w:val="20"/>
          <w:szCs w:val="20"/>
        </w:rPr>
      </w:pPr>
      <w:r w:rsidRPr="00816941">
        <w:rPr>
          <w:sz w:val="20"/>
          <w:szCs w:val="20"/>
          <w:lang w:val="en-IN"/>
        </w:rPr>
        <w:t>A statistically significant difference in pricing based on location is observed in France, with Paris listings priced considerably higher than those in other regions, indicating a strong urban premium effect. Similarly, Belgium demonstrates a significant pricing advantage for major cities, suggesting that metropolitan areas command higher listing prices compared to non-urban locations.</w:t>
      </w:r>
    </w:p>
    <w:p w14:paraId="49BD334A" w14:textId="77777777" w:rsidR="00816941" w:rsidRPr="00816941" w:rsidRDefault="00816941" w:rsidP="00816941">
      <w:pPr>
        <w:pStyle w:val="Heading3"/>
        <w:rPr>
          <w:rFonts w:ascii="Times New Roman" w:hAnsi="Times New Roman" w:cs="Times New Roman"/>
          <w:color w:val="auto"/>
          <w:sz w:val="24"/>
          <w:szCs w:val="24"/>
        </w:rPr>
      </w:pPr>
      <w:r w:rsidRPr="00816941">
        <w:rPr>
          <w:rStyle w:val="Strong"/>
          <w:rFonts w:ascii="Times New Roman" w:hAnsi="Times New Roman" w:cs="Times New Roman"/>
          <w:b w:val="0"/>
          <w:bCs w:val="0"/>
          <w:color w:val="auto"/>
          <w:sz w:val="24"/>
          <w:szCs w:val="24"/>
        </w:rPr>
        <w:t>5.5. Cancellation and Security Policy</w:t>
      </w:r>
    </w:p>
    <w:p w14:paraId="7A657A6A" w14:textId="77777777" w:rsidR="00816941" w:rsidRPr="00816941" w:rsidRDefault="00816941" w:rsidP="00816941">
      <w:pPr>
        <w:pStyle w:val="NormalWeb"/>
        <w:jc w:val="both"/>
        <w:rPr>
          <w:sz w:val="20"/>
          <w:szCs w:val="20"/>
        </w:rPr>
      </w:pPr>
      <w:r w:rsidRPr="00816941">
        <w:rPr>
          <w:sz w:val="20"/>
          <w:szCs w:val="20"/>
        </w:rPr>
        <w:t>The results indicate no statistical evidence that security deposits exceed the minimum risk-protection benchmark in either country. This implies that both markets maintain guest-friendly deposit practices without imposing excessive financial constraints.</w:t>
      </w:r>
    </w:p>
    <w:p w14:paraId="2216413A"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6. Machine Learning Analysis</w:t>
      </w:r>
    </w:p>
    <w:p w14:paraId="4AD10657" w14:textId="77777777" w:rsidR="00816941" w:rsidRPr="00816941" w:rsidRDefault="00816941" w:rsidP="00816941">
      <w:pPr>
        <w:spacing w:before="100" w:beforeAutospacing="1" w:after="100" w:afterAutospacing="1" w:line="240" w:lineRule="auto"/>
        <w:ind w:firstLine="720"/>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Machine learning models were applied independently to the France and Belgium datasets using the same modelling approach to ensure methodological consistency. The models include regression techniques for price prediction, classification algorithms for room type prediction, and clustering for market segmentation.</w:t>
      </w:r>
    </w:p>
    <w:p w14:paraId="4FED2141" w14:textId="77777777" w:rsidR="00816941" w:rsidRPr="00816941" w:rsidRDefault="00816941" w:rsidP="0081694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6.1. Simple Linear Regression – Price Prediction</w:t>
      </w:r>
    </w:p>
    <w:p w14:paraId="572198CC" w14:textId="77777777" w:rsidR="00816941" w:rsidRPr="00816941" w:rsidRDefault="00816941" w:rsidP="00816941">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Simple Linear Regression was used to predict listing prices using accommodation capacity as the sole independent variable.</w:t>
      </w:r>
    </w:p>
    <w:p w14:paraId="3EEFB050" w14:textId="17A71E4B" w:rsidR="00816941" w:rsidRPr="00816941" w:rsidRDefault="00816941" w:rsidP="00816941">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France:</w:t>
      </w:r>
      <w:r w:rsidRPr="00816941">
        <w:rPr>
          <w:rFonts w:ascii="Times New Roman" w:eastAsia="Times New Roman" w:hAnsi="Times New Roman" w:cs="Times New Roman"/>
          <w:kern w:val="0"/>
          <w:sz w:val="20"/>
          <w:szCs w:val="20"/>
          <w:lang w:eastAsia="en-GB"/>
          <w14:ligatures w14:val="none"/>
        </w:rPr>
        <w:br/>
        <w:t xml:space="preserve">The model achieved a Mean Absolute Error (MAE) of approximately </w:t>
      </w:r>
      <w:r w:rsidR="00DB4A0B">
        <w:rPr>
          <w:rFonts w:ascii="Times New Roman" w:eastAsia="Times New Roman" w:hAnsi="Times New Roman" w:cs="Times New Roman"/>
          <w:kern w:val="0"/>
          <w:sz w:val="20"/>
          <w:szCs w:val="20"/>
          <w:lang w:eastAsia="en-GB"/>
          <w14:ligatures w14:val="none"/>
        </w:rPr>
        <w:t>37.33</w:t>
      </w:r>
      <w:r w:rsidRPr="00816941">
        <w:rPr>
          <w:rFonts w:ascii="Times New Roman" w:eastAsia="Times New Roman" w:hAnsi="Times New Roman" w:cs="Times New Roman"/>
          <w:kern w:val="0"/>
          <w:sz w:val="20"/>
          <w:szCs w:val="20"/>
          <w:lang w:eastAsia="en-GB"/>
          <w14:ligatures w14:val="none"/>
        </w:rPr>
        <w:t xml:space="preserve"> and a Root Mean Squared Error (RMSE) of 6</w:t>
      </w:r>
      <w:r w:rsidR="00DB4A0B">
        <w:rPr>
          <w:rFonts w:ascii="Times New Roman" w:eastAsia="Times New Roman" w:hAnsi="Times New Roman" w:cs="Times New Roman"/>
          <w:kern w:val="0"/>
          <w:sz w:val="20"/>
          <w:szCs w:val="20"/>
          <w:lang w:eastAsia="en-GB"/>
          <w14:ligatures w14:val="none"/>
        </w:rPr>
        <w:t>4</w:t>
      </w:r>
      <w:r w:rsidRPr="00816941">
        <w:rPr>
          <w:rFonts w:ascii="Times New Roman" w:eastAsia="Times New Roman" w:hAnsi="Times New Roman" w:cs="Times New Roman"/>
          <w:kern w:val="0"/>
          <w:sz w:val="20"/>
          <w:szCs w:val="20"/>
          <w:lang w:eastAsia="en-GB"/>
          <w14:ligatures w14:val="none"/>
        </w:rPr>
        <w:t>.</w:t>
      </w:r>
      <w:r w:rsidR="00DB4A0B">
        <w:rPr>
          <w:rFonts w:ascii="Times New Roman" w:eastAsia="Times New Roman" w:hAnsi="Times New Roman" w:cs="Times New Roman"/>
          <w:kern w:val="0"/>
          <w:sz w:val="20"/>
          <w:szCs w:val="20"/>
          <w:lang w:eastAsia="en-GB"/>
          <w14:ligatures w14:val="none"/>
        </w:rPr>
        <w:t>0</w:t>
      </w:r>
      <w:r w:rsidRPr="00816941">
        <w:rPr>
          <w:rFonts w:ascii="Times New Roman" w:eastAsia="Times New Roman" w:hAnsi="Times New Roman" w:cs="Times New Roman"/>
          <w:kern w:val="0"/>
          <w:sz w:val="20"/>
          <w:szCs w:val="20"/>
          <w:lang w:eastAsia="en-GB"/>
          <w14:ligatures w14:val="none"/>
        </w:rPr>
        <w:t>6. The R-squared value of 0.</w:t>
      </w:r>
      <w:r w:rsidR="00DB4A0B">
        <w:rPr>
          <w:rFonts w:ascii="Times New Roman" w:eastAsia="Times New Roman" w:hAnsi="Times New Roman" w:cs="Times New Roman"/>
          <w:kern w:val="0"/>
          <w:sz w:val="20"/>
          <w:szCs w:val="20"/>
          <w:lang w:eastAsia="en-GB"/>
          <w14:ligatures w14:val="none"/>
        </w:rPr>
        <w:t>2918</w:t>
      </w:r>
      <w:r w:rsidRPr="00816941">
        <w:rPr>
          <w:rFonts w:ascii="Times New Roman" w:eastAsia="Times New Roman" w:hAnsi="Times New Roman" w:cs="Times New Roman"/>
          <w:kern w:val="0"/>
          <w:sz w:val="20"/>
          <w:szCs w:val="20"/>
          <w:lang w:eastAsia="en-GB"/>
          <w14:ligatures w14:val="none"/>
        </w:rPr>
        <w:t xml:space="preserve"> indicates that about 30% of the variance in listing prices is explained by accommodation capacity. The regression coefficient for accommodates is positive (≈ 39.9), and the intercept is approximately 9</w:t>
      </w:r>
      <w:r w:rsidR="00DB4A0B">
        <w:rPr>
          <w:rFonts w:ascii="Times New Roman" w:eastAsia="Times New Roman" w:hAnsi="Times New Roman" w:cs="Times New Roman"/>
          <w:kern w:val="0"/>
          <w:sz w:val="20"/>
          <w:szCs w:val="20"/>
          <w:lang w:eastAsia="en-GB"/>
          <w14:ligatures w14:val="none"/>
        </w:rPr>
        <w:t>3.97</w:t>
      </w:r>
      <w:r w:rsidRPr="00816941">
        <w:rPr>
          <w:rFonts w:ascii="Times New Roman" w:eastAsia="Times New Roman" w:hAnsi="Times New Roman" w:cs="Times New Roman"/>
          <w:kern w:val="0"/>
          <w:sz w:val="20"/>
          <w:szCs w:val="20"/>
          <w:lang w:eastAsia="en-GB"/>
          <w14:ligatures w14:val="none"/>
        </w:rPr>
        <w:t>.</w:t>
      </w:r>
    </w:p>
    <w:p w14:paraId="0C4BBD9D" w14:textId="5AB0CFD5" w:rsidR="00816941" w:rsidRPr="00DB4A0B" w:rsidRDefault="00816941" w:rsidP="00DB4A0B">
      <w:pPr>
        <w:pStyle w:val="HTMLPreformatted"/>
        <w:shd w:val="clear" w:color="auto" w:fill="FFFFFF"/>
        <w:wordWrap w:val="0"/>
        <w:rPr>
          <w:rFonts w:ascii="Times New Roman" w:eastAsia="Times New Roman" w:hAnsi="Times New Roman" w:cs="Times New Roman"/>
          <w:kern w:val="0"/>
          <w:lang w:eastAsia="en-GB"/>
          <w14:ligatures w14:val="none"/>
        </w:rPr>
      </w:pPr>
      <w:r w:rsidRPr="00816941">
        <w:rPr>
          <w:rFonts w:ascii="Times New Roman" w:eastAsia="Times New Roman" w:hAnsi="Times New Roman" w:cs="Times New Roman"/>
          <w:b/>
          <w:bCs/>
          <w:kern w:val="0"/>
          <w:lang w:eastAsia="en-GB"/>
          <w14:ligatures w14:val="none"/>
        </w:rPr>
        <w:t>Belgium:</w:t>
      </w:r>
      <w:r w:rsidRPr="00816941">
        <w:rPr>
          <w:rFonts w:ascii="Times New Roman" w:eastAsia="Times New Roman" w:hAnsi="Times New Roman" w:cs="Times New Roman"/>
          <w:kern w:val="0"/>
          <w:lang w:eastAsia="en-GB"/>
          <w14:ligatures w14:val="none"/>
        </w:rPr>
        <w:br/>
        <w:t xml:space="preserve">The model recorded a MAE </w:t>
      </w:r>
      <w:r w:rsidRPr="00DB4A0B">
        <w:rPr>
          <w:rFonts w:ascii="Times New Roman" w:eastAsia="Times New Roman" w:hAnsi="Times New Roman" w:cs="Times New Roman"/>
          <w:kern w:val="0"/>
          <w:lang w:eastAsia="en-GB"/>
          <w14:ligatures w14:val="none"/>
        </w:rPr>
        <w:t xml:space="preserve">of </w:t>
      </w:r>
      <w:r w:rsidR="00DB4A0B" w:rsidRPr="00DB4A0B">
        <w:rPr>
          <w:rFonts w:ascii="Times New Roman" w:eastAsia="Times New Roman" w:hAnsi="Times New Roman" w:cs="Times New Roman"/>
          <w:kern w:val="0"/>
          <w:lang w:eastAsia="en-IN"/>
          <w14:ligatures w14:val="none"/>
        </w:rPr>
        <w:t>25.20</w:t>
      </w:r>
      <w:r w:rsidR="00DB4A0B">
        <w:rPr>
          <w:rFonts w:eastAsia="Times New Roman" w:cs="Courier New"/>
          <w:kern w:val="0"/>
          <w:lang w:eastAsia="en-IN"/>
          <w14:ligatures w14:val="none"/>
        </w:rPr>
        <w:t xml:space="preserve"> </w:t>
      </w:r>
      <w:r w:rsidRPr="00816941">
        <w:rPr>
          <w:rFonts w:ascii="Times New Roman" w:eastAsia="Times New Roman" w:hAnsi="Times New Roman" w:cs="Times New Roman"/>
          <w:kern w:val="0"/>
          <w:lang w:eastAsia="en-GB"/>
          <w14:ligatures w14:val="none"/>
        </w:rPr>
        <w:t xml:space="preserve">and an RMSE of </w:t>
      </w:r>
      <w:r w:rsidR="00DB4A0B" w:rsidRPr="00DB4A0B">
        <w:rPr>
          <w:rFonts w:ascii="Times New Roman" w:eastAsia="Times New Roman" w:hAnsi="Times New Roman" w:cs="Times New Roman"/>
          <w:kern w:val="0"/>
          <w:lang w:eastAsia="en-GB"/>
          <w14:ligatures w14:val="none"/>
        </w:rPr>
        <w:t>46.11</w:t>
      </w:r>
      <w:r w:rsidRPr="00816941">
        <w:rPr>
          <w:rFonts w:ascii="Times New Roman" w:eastAsia="Times New Roman" w:hAnsi="Times New Roman" w:cs="Times New Roman"/>
          <w:kern w:val="0"/>
          <w:lang w:eastAsia="en-GB"/>
          <w14:ligatures w14:val="none"/>
        </w:rPr>
        <w:t>. The R-squared value of 0.26</w:t>
      </w:r>
      <w:r w:rsidR="00DB4A0B">
        <w:rPr>
          <w:rFonts w:ascii="Times New Roman" w:eastAsia="Times New Roman" w:hAnsi="Times New Roman" w:cs="Times New Roman"/>
          <w:kern w:val="0"/>
          <w:lang w:eastAsia="en-GB"/>
          <w14:ligatures w14:val="none"/>
        </w:rPr>
        <w:t>28</w:t>
      </w:r>
      <w:r w:rsidRPr="00816941">
        <w:rPr>
          <w:rFonts w:ascii="Times New Roman" w:eastAsia="Times New Roman" w:hAnsi="Times New Roman" w:cs="Times New Roman"/>
          <w:kern w:val="0"/>
          <w:lang w:eastAsia="en-GB"/>
          <w14:ligatures w14:val="none"/>
        </w:rPr>
        <w:t xml:space="preserve"> shows that around 27% of price variation is explained by accommodation capacity. The coefficient for accommodates is positive (≈ 2</w:t>
      </w:r>
      <w:r w:rsidR="00DB4A0B">
        <w:rPr>
          <w:rFonts w:ascii="Times New Roman" w:eastAsia="Times New Roman" w:hAnsi="Times New Roman" w:cs="Times New Roman"/>
          <w:kern w:val="0"/>
          <w:lang w:eastAsia="en-GB"/>
          <w14:ligatures w14:val="none"/>
        </w:rPr>
        <w:t>4</w:t>
      </w:r>
      <w:r w:rsidRPr="00816941">
        <w:rPr>
          <w:rFonts w:ascii="Times New Roman" w:eastAsia="Times New Roman" w:hAnsi="Times New Roman" w:cs="Times New Roman"/>
          <w:kern w:val="0"/>
          <w:lang w:eastAsia="en-GB"/>
          <w14:ligatures w14:val="none"/>
        </w:rPr>
        <w:t>.</w:t>
      </w:r>
      <w:r w:rsidR="00DB4A0B">
        <w:rPr>
          <w:rFonts w:ascii="Times New Roman" w:eastAsia="Times New Roman" w:hAnsi="Times New Roman" w:cs="Times New Roman"/>
          <w:kern w:val="0"/>
          <w:lang w:eastAsia="en-GB"/>
          <w14:ligatures w14:val="none"/>
        </w:rPr>
        <w:t>72</w:t>
      </w:r>
      <w:r w:rsidRPr="00816941">
        <w:rPr>
          <w:rFonts w:ascii="Times New Roman" w:eastAsia="Times New Roman" w:hAnsi="Times New Roman" w:cs="Times New Roman"/>
          <w:kern w:val="0"/>
          <w:lang w:eastAsia="en-GB"/>
          <w14:ligatures w14:val="none"/>
        </w:rPr>
        <w:t xml:space="preserve">), with an intercept of approximately </w:t>
      </w:r>
      <w:r w:rsidR="00DB4A0B">
        <w:rPr>
          <w:rFonts w:ascii="Times New Roman" w:eastAsia="Times New Roman" w:hAnsi="Times New Roman" w:cs="Times New Roman"/>
          <w:kern w:val="0"/>
          <w:lang w:eastAsia="en-GB"/>
          <w14:ligatures w14:val="none"/>
        </w:rPr>
        <w:t>67</w:t>
      </w:r>
      <w:r w:rsidRPr="00816941">
        <w:rPr>
          <w:rFonts w:ascii="Times New Roman" w:eastAsia="Times New Roman" w:hAnsi="Times New Roman" w:cs="Times New Roman"/>
          <w:kern w:val="0"/>
          <w:lang w:eastAsia="en-GB"/>
          <w14:ligatures w14:val="none"/>
        </w:rPr>
        <w:t>.57.</w:t>
      </w:r>
    </w:p>
    <w:p w14:paraId="50B5EDA0" w14:textId="77777777" w:rsidR="00816941" w:rsidRPr="00816941" w:rsidRDefault="00816941" w:rsidP="0081694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6.2. Multiple Linear Regression – Price Prediction</w:t>
      </w:r>
    </w:p>
    <w:p w14:paraId="6E69F8CD" w14:textId="77777777" w:rsidR="00816941" w:rsidRPr="00816941" w:rsidRDefault="00816941" w:rsidP="00816941">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Multiple Linear Regression was applied using a combination of listing capacity, property size, and cost-related features.</w:t>
      </w:r>
    </w:p>
    <w:p w14:paraId="727ABCF7" w14:textId="553F0418" w:rsidR="00816941" w:rsidRPr="00DB4A0B" w:rsidRDefault="00816941" w:rsidP="00DB4A0B">
      <w:pPr>
        <w:spacing w:before="100" w:beforeAutospacing="1" w:after="100" w:afterAutospacing="1"/>
        <w:jc w:val="both"/>
        <w:rPr>
          <w:rFonts w:ascii="Times New Roman" w:eastAsia="Times New Roman" w:hAnsi="Times New Roman" w:cs="Times New Roman"/>
          <w:kern w:val="0"/>
          <w:lang w:eastAsia="en-GB"/>
          <w14:ligatures w14:val="none"/>
        </w:rPr>
      </w:pPr>
      <w:r w:rsidRPr="00816941">
        <w:rPr>
          <w:rFonts w:ascii="Times New Roman" w:eastAsia="Times New Roman" w:hAnsi="Times New Roman" w:cs="Times New Roman"/>
          <w:b/>
          <w:bCs/>
          <w:kern w:val="0"/>
          <w:sz w:val="20"/>
          <w:szCs w:val="20"/>
          <w:lang w:eastAsia="en-GB"/>
          <w14:ligatures w14:val="none"/>
        </w:rPr>
        <w:t>France:</w:t>
      </w:r>
      <w:r w:rsidRPr="00816941">
        <w:rPr>
          <w:rFonts w:ascii="Times New Roman" w:eastAsia="Times New Roman" w:hAnsi="Times New Roman" w:cs="Times New Roman"/>
          <w:kern w:val="0"/>
          <w:sz w:val="20"/>
          <w:szCs w:val="20"/>
          <w:lang w:eastAsia="en-GB"/>
          <w14:ligatures w14:val="none"/>
        </w:rPr>
        <w:br/>
        <w:t xml:space="preserve">The model achieved an R-squared value of </w:t>
      </w:r>
      <w:r w:rsidR="00DB4A0B" w:rsidRPr="00DB4A0B">
        <w:rPr>
          <w:rFonts w:ascii="Times New Roman" w:eastAsia="Times New Roman" w:hAnsi="Times New Roman" w:cs="Times New Roman"/>
          <w:kern w:val="0"/>
          <w:lang w:eastAsia="en-GB"/>
          <w14:ligatures w14:val="none"/>
        </w:rPr>
        <w:t>0.</w:t>
      </w:r>
      <w:r w:rsidR="00DB4A0B" w:rsidRPr="00DB4A0B">
        <w:rPr>
          <w:rFonts w:ascii="Times New Roman" w:eastAsia="Times New Roman" w:hAnsi="Times New Roman" w:cs="Times New Roman"/>
          <w:kern w:val="0"/>
          <w:sz w:val="22"/>
          <w:szCs w:val="22"/>
          <w:lang w:eastAsia="en-GB"/>
          <w14:ligatures w14:val="none"/>
        </w:rPr>
        <w:t>4381</w:t>
      </w:r>
      <w:r w:rsidRPr="00816941">
        <w:rPr>
          <w:rFonts w:ascii="Times New Roman" w:eastAsia="Times New Roman" w:hAnsi="Times New Roman" w:cs="Times New Roman"/>
          <w:kern w:val="0"/>
          <w:sz w:val="20"/>
          <w:szCs w:val="20"/>
          <w:lang w:eastAsia="en-GB"/>
          <w14:ligatures w14:val="none"/>
        </w:rPr>
        <w:t>, indicating that approximately 46% of the variation in listing prices is explained by the selected features. The MAE and RMSE were reduced to approximately 3</w:t>
      </w:r>
      <w:r w:rsidR="00DB4A0B">
        <w:rPr>
          <w:rFonts w:ascii="Times New Roman" w:eastAsia="Times New Roman" w:hAnsi="Times New Roman" w:cs="Times New Roman"/>
          <w:kern w:val="0"/>
          <w:sz w:val="20"/>
          <w:szCs w:val="20"/>
          <w:lang w:eastAsia="en-GB"/>
          <w14:ligatures w14:val="none"/>
        </w:rPr>
        <w:t>3</w:t>
      </w:r>
      <w:r w:rsidRPr="00816941">
        <w:rPr>
          <w:rFonts w:ascii="Times New Roman" w:eastAsia="Times New Roman" w:hAnsi="Times New Roman" w:cs="Times New Roman"/>
          <w:kern w:val="0"/>
          <w:sz w:val="20"/>
          <w:szCs w:val="20"/>
          <w:lang w:eastAsia="en-GB"/>
          <w14:ligatures w14:val="none"/>
        </w:rPr>
        <w:t>.3</w:t>
      </w:r>
      <w:r w:rsidR="00DB4A0B">
        <w:rPr>
          <w:rFonts w:ascii="Times New Roman" w:eastAsia="Times New Roman" w:hAnsi="Times New Roman" w:cs="Times New Roman"/>
          <w:kern w:val="0"/>
          <w:sz w:val="20"/>
          <w:szCs w:val="20"/>
          <w:lang w:eastAsia="en-GB"/>
          <w14:ligatures w14:val="none"/>
        </w:rPr>
        <w:t>1</w:t>
      </w:r>
      <w:r w:rsidRPr="00816941">
        <w:rPr>
          <w:rFonts w:ascii="Times New Roman" w:eastAsia="Times New Roman" w:hAnsi="Times New Roman" w:cs="Times New Roman"/>
          <w:kern w:val="0"/>
          <w:sz w:val="20"/>
          <w:szCs w:val="20"/>
          <w:lang w:eastAsia="en-GB"/>
          <w14:ligatures w14:val="none"/>
        </w:rPr>
        <w:t xml:space="preserve"> and 5</w:t>
      </w:r>
      <w:r w:rsidR="00DB4A0B">
        <w:rPr>
          <w:rFonts w:ascii="Times New Roman" w:eastAsia="Times New Roman" w:hAnsi="Times New Roman" w:cs="Times New Roman"/>
          <w:kern w:val="0"/>
          <w:sz w:val="20"/>
          <w:szCs w:val="20"/>
          <w:lang w:eastAsia="en-GB"/>
          <w14:ligatures w14:val="none"/>
        </w:rPr>
        <w:t>7</w:t>
      </w:r>
      <w:r w:rsidRPr="00816941">
        <w:rPr>
          <w:rFonts w:ascii="Times New Roman" w:eastAsia="Times New Roman" w:hAnsi="Times New Roman" w:cs="Times New Roman"/>
          <w:kern w:val="0"/>
          <w:sz w:val="20"/>
          <w:szCs w:val="20"/>
          <w:lang w:eastAsia="en-GB"/>
          <w14:ligatures w14:val="none"/>
        </w:rPr>
        <w:t>.</w:t>
      </w:r>
      <w:r w:rsidR="00DB4A0B">
        <w:rPr>
          <w:rFonts w:ascii="Times New Roman" w:eastAsia="Times New Roman" w:hAnsi="Times New Roman" w:cs="Times New Roman"/>
          <w:kern w:val="0"/>
          <w:sz w:val="20"/>
          <w:szCs w:val="20"/>
          <w:lang w:eastAsia="en-GB"/>
          <w14:ligatures w14:val="none"/>
        </w:rPr>
        <w:t>0</w:t>
      </w:r>
      <w:r w:rsidRPr="00816941">
        <w:rPr>
          <w:rFonts w:ascii="Times New Roman" w:eastAsia="Times New Roman" w:hAnsi="Times New Roman" w:cs="Times New Roman"/>
          <w:kern w:val="0"/>
          <w:sz w:val="20"/>
          <w:szCs w:val="20"/>
          <w:lang w:eastAsia="en-GB"/>
          <w14:ligatures w14:val="none"/>
        </w:rPr>
        <w:t>6, respectively. Accommodation capacity, bathrooms, and bedrooms showed the strongest positive coefficients, while guests included displayed a negative coefficient.</w:t>
      </w:r>
    </w:p>
    <w:p w14:paraId="69B05088" w14:textId="6A3AB10F" w:rsid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Belgium:</w:t>
      </w:r>
      <w:r w:rsidRPr="00816941">
        <w:rPr>
          <w:rFonts w:ascii="Times New Roman" w:eastAsia="Times New Roman" w:hAnsi="Times New Roman" w:cs="Times New Roman"/>
          <w:kern w:val="0"/>
          <w:sz w:val="20"/>
          <w:szCs w:val="20"/>
          <w:lang w:eastAsia="en-GB"/>
          <w14:ligatures w14:val="none"/>
        </w:rPr>
        <w:br/>
        <w:t>The model demonstrated improved performance with an R-squared value of 0.</w:t>
      </w:r>
      <w:r w:rsidR="00DB4A0B">
        <w:rPr>
          <w:rFonts w:ascii="Times New Roman" w:eastAsia="Times New Roman" w:hAnsi="Times New Roman" w:cs="Times New Roman"/>
          <w:kern w:val="0"/>
          <w:sz w:val="20"/>
          <w:szCs w:val="20"/>
          <w:lang w:eastAsia="en-GB"/>
          <w14:ligatures w14:val="none"/>
        </w:rPr>
        <w:t>3297</w:t>
      </w:r>
      <w:r w:rsidRPr="00816941">
        <w:rPr>
          <w:rFonts w:ascii="Times New Roman" w:eastAsia="Times New Roman" w:hAnsi="Times New Roman" w:cs="Times New Roman"/>
          <w:kern w:val="0"/>
          <w:sz w:val="20"/>
          <w:szCs w:val="20"/>
          <w:lang w:eastAsia="en-GB"/>
          <w14:ligatures w14:val="none"/>
        </w:rPr>
        <w:t xml:space="preserve">. The MAE decreased to </w:t>
      </w:r>
      <w:r w:rsidR="00DB4A0B">
        <w:rPr>
          <w:rFonts w:ascii="Times New Roman" w:eastAsia="Times New Roman" w:hAnsi="Times New Roman" w:cs="Times New Roman"/>
          <w:kern w:val="0"/>
          <w:sz w:val="20"/>
          <w:szCs w:val="20"/>
          <w:lang w:eastAsia="en-GB"/>
          <w14:ligatures w14:val="none"/>
        </w:rPr>
        <w:t>24.47</w:t>
      </w:r>
      <w:r w:rsidRPr="00816941">
        <w:rPr>
          <w:rFonts w:ascii="Times New Roman" w:eastAsia="Times New Roman" w:hAnsi="Times New Roman" w:cs="Times New Roman"/>
          <w:kern w:val="0"/>
          <w:sz w:val="20"/>
          <w:szCs w:val="20"/>
          <w:lang w:eastAsia="en-GB"/>
          <w14:ligatures w14:val="none"/>
        </w:rPr>
        <w:t xml:space="preserve"> and RMSE to </w:t>
      </w:r>
      <w:r w:rsidR="00DB4A0B">
        <w:rPr>
          <w:rFonts w:ascii="Times New Roman" w:eastAsia="Times New Roman" w:hAnsi="Times New Roman" w:cs="Times New Roman"/>
          <w:kern w:val="0"/>
          <w:sz w:val="20"/>
          <w:szCs w:val="20"/>
          <w:lang w:eastAsia="en-GB"/>
          <w14:ligatures w14:val="none"/>
        </w:rPr>
        <w:t>43.97</w:t>
      </w:r>
      <w:r w:rsidRPr="00816941">
        <w:rPr>
          <w:rFonts w:ascii="Times New Roman" w:eastAsia="Times New Roman" w:hAnsi="Times New Roman" w:cs="Times New Roman"/>
          <w:kern w:val="0"/>
          <w:sz w:val="20"/>
          <w:szCs w:val="20"/>
          <w:lang w:eastAsia="en-GB"/>
          <w14:ligatures w14:val="none"/>
        </w:rPr>
        <w:t>. Accommodation capacity and cleaning fees were the most influential predictors, while variables such as security deposit and guests included contributed marginally.</w:t>
      </w:r>
    </w:p>
    <w:p w14:paraId="31F315A9" w14:textId="77777777"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p>
    <w:p w14:paraId="2C0E548A" w14:textId="77777777" w:rsidR="00816941" w:rsidRPr="00816941" w:rsidRDefault="00816941" w:rsidP="0081694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3CCDF186" w14:textId="77777777" w:rsidR="00816941" w:rsidRPr="00816941" w:rsidRDefault="00816941" w:rsidP="0081694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lastRenderedPageBreak/>
        <w:t>6.3. K-Nearest Neighbours (KNN) – Room Type Classification</w:t>
      </w:r>
    </w:p>
    <w:p w14:paraId="43B76EC8" w14:textId="77777777" w:rsidR="00816941" w:rsidRPr="00816941" w:rsidRDefault="00816941" w:rsidP="00816941">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KNN was used to classify listings into room types based on numerical features.</w:t>
      </w:r>
    </w:p>
    <w:p w14:paraId="6F21C4F9" w14:textId="6B9DC547"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France:</w:t>
      </w:r>
      <w:r w:rsidRPr="00816941">
        <w:rPr>
          <w:rFonts w:ascii="Times New Roman" w:eastAsia="Times New Roman" w:hAnsi="Times New Roman" w:cs="Times New Roman"/>
          <w:kern w:val="0"/>
          <w:sz w:val="20"/>
          <w:szCs w:val="20"/>
          <w:lang w:eastAsia="en-GB"/>
          <w14:ligatures w14:val="none"/>
        </w:rPr>
        <w:br/>
        <w:t>The model achieved an overall accuracy of 89.</w:t>
      </w:r>
      <w:r w:rsidR="00DB4A0B">
        <w:rPr>
          <w:rFonts w:ascii="Times New Roman" w:eastAsia="Times New Roman" w:hAnsi="Times New Roman" w:cs="Times New Roman"/>
          <w:kern w:val="0"/>
          <w:sz w:val="20"/>
          <w:szCs w:val="20"/>
          <w:lang w:eastAsia="en-GB"/>
          <w14:ligatures w14:val="none"/>
        </w:rPr>
        <w:t>51</w:t>
      </w:r>
      <w:r w:rsidRPr="00816941">
        <w:rPr>
          <w:rFonts w:ascii="Times New Roman" w:eastAsia="Times New Roman" w:hAnsi="Times New Roman" w:cs="Times New Roman"/>
          <w:kern w:val="0"/>
          <w:sz w:val="20"/>
          <w:szCs w:val="20"/>
          <w:lang w:eastAsia="en-GB"/>
          <w14:ligatures w14:val="none"/>
        </w:rPr>
        <w:t>. Performance was strong for the dominant room type, with high precision and recall, while minority classes showed lower recall due to class imbalance. Weighted average performance metrics remained high, with an F1-score of approximately 0.88.</w:t>
      </w:r>
    </w:p>
    <w:p w14:paraId="7D8E67E2" w14:textId="7A7E945F"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Belgium:</w:t>
      </w:r>
      <w:r w:rsidRPr="00816941">
        <w:rPr>
          <w:rFonts w:ascii="Times New Roman" w:eastAsia="Times New Roman" w:hAnsi="Times New Roman" w:cs="Times New Roman"/>
          <w:kern w:val="0"/>
          <w:sz w:val="20"/>
          <w:szCs w:val="20"/>
          <w:lang w:eastAsia="en-GB"/>
          <w14:ligatures w14:val="none"/>
        </w:rPr>
        <w:br/>
        <w:t>The model achieved an accuracy of 8</w:t>
      </w:r>
      <w:r w:rsidR="00DB4A0B">
        <w:rPr>
          <w:rFonts w:ascii="Times New Roman" w:eastAsia="Times New Roman" w:hAnsi="Times New Roman" w:cs="Times New Roman"/>
          <w:kern w:val="0"/>
          <w:sz w:val="20"/>
          <w:szCs w:val="20"/>
          <w:lang w:eastAsia="en-GB"/>
          <w14:ligatures w14:val="none"/>
        </w:rPr>
        <w:t>3</w:t>
      </w:r>
      <w:r w:rsidRPr="00816941">
        <w:rPr>
          <w:rFonts w:ascii="Times New Roman" w:eastAsia="Times New Roman" w:hAnsi="Times New Roman" w:cs="Times New Roman"/>
          <w:kern w:val="0"/>
          <w:sz w:val="20"/>
          <w:szCs w:val="20"/>
          <w:lang w:eastAsia="en-GB"/>
          <w14:ligatures w14:val="none"/>
        </w:rPr>
        <w:t>.</w:t>
      </w:r>
      <w:r w:rsidR="00DB4A0B">
        <w:rPr>
          <w:rFonts w:ascii="Times New Roman" w:eastAsia="Times New Roman" w:hAnsi="Times New Roman" w:cs="Times New Roman"/>
          <w:kern w:val="0"/>
          <w:sz w:val="20"/>
          <w:szCs w:val="20"/>
          <w:lang w:eastAsia="en-GB"/>
          <w14:ligatures w14:val="none"/>
        </w:rPr>
        <w:t>84</w:t>
      </w:r>
      <w:r w:rsidRPr="00816941">
        <w:rPr>
          <w:rFonts w:ascii="Times New Roman" w:eastAsia="Times New Roman" w:hAnsi="Times New Roman" w:cs="Times New Roman"/>
          <w:kern w:val="0"/>
          <w:sz w:val="20"/>
          <w:szCs w:val="20"/>
          <w:lang w:eastAsia="en-GB"/>
          <w14:ligatures w14:val="none"/>
        </w:rPr>
        <w:t>. Room types with higher representation were classified reliably, while rare room types showed poor performance due to limited sample size. Weighted average F1-score was approximately 0.8</w:t>
      </w:r>
      <w:r w:rsidR="00DB4A0B">
        <w:rPr>
          <w:rFonts w:ascii="Times New Roman" w:eastAsia="Times New Roman" w:hAnsi="Times New Roman" w:cs="Times New Roman"/>
          <w:kern w:val="0"/>
          <w:sz w:val="20"/>
          <w:szCs w:val="20"/>
          <w:lang w:eastAsia="en-GB"/>
          <w14:ligatures w14:val="none"/>
        </w:rPr>
        <w:t>3</w:t>
      </w:r>
      <w:r w:rsidRPr="00816941">
        <w:rPr>
          <w:rFonts w:ascii="Times New Roman" w:eastAsia="Times New Roman" w:hAnsi="Times New Roman" w:cs="Times New Roman"/>
          <w:kern w:val="0"/>
          <w:sz w:val="20"/>
          <w:szCs w:val="20"/>
          <w:lang w:eastAsia="en-GB"/>
          <w14:ligatures w14:val="none"/>
        </w:rPr>
        <w:t>.</w:t>
      </w:r>
    </w:p>
    <w:p w14:paraId="5B344ACD" w14:textId="77777777" w:rsidR="00816941" w:rsidRPr="00816941" w:rsidRDefault="00816941" w:rsidP="0081694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6.4. Logistic Regression – Room Type Classification</w:t>
      </w:r>
    </w:p>
    <w:p w14:paraId="00268480" w14:textId="77777777" w:rsidR="00816941" w:rsidRPr="00816941" w:rsidRDefault="00816941" w:rsidP="00816941">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Logistic Regression was applied as a linear classification model for room type prediction.</w:t>
      </w:r>
    </w:p>
    <w:p w14:paraId="60B5D6CC" w14:textId="37F6497D"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France:</w:t>
      </w:r>
      <w:r w:rsidRPr="00816941">
        <w:rPr>
          <w:rFonts w:ascii="Times New Roman" w:eastAsia="Times New Roman" w:hAnsi="Times New Roman" w:cs="Times New Roman"/>
          <w:kern w:val="0"/>
          <w:sz w:val="20"/>
          <w:szCs w:val="20"/>
          <w:lang w:eastAsia="en-GB"/>
          <w14:ligatures w14:val="none"/>
        </w:rPr>
        <w:br/>
        <w:t>The model achieved an overall accuracy of 87.</w:t>
      </w:r>
      <w:r w:rsidR="00DB4A0B">
        <w:rPr>
          <w:rFonts w:ascii="Times New Roman" w:eastAsia="Times New Roman" w:hAnsi="Times New Roman" w:cs="Times New Roman"/>
          <w:kern w:val="0"/>
          <w:sz w:val="20"/>
          <w:szCs w:val="20"/>
          <w:lang w:eastAsia="en-GB"/>
          <w14:ligatures w14:val="none"/>
        </w:rPr>
        <w:t>92</w:t>
      </w:r>
      <w:r w:rsidRPr="00816941">
        <w:rPr>
          <w:rFonts w:ascii="Times New Roman" w:eastAsia="Times New Roman" w:hAnsi="Times New Roman" w:cs="Times New Roman"/>
          <w:kern w:val="0"/>
          <w:sz w:val="20"/>
          <w:szCs w:val="20"/>
          <w:lang w:eastAsia="en-GB"/>
          <w14:ligatures w14:val="none"/>
        </w:rPr>
        <w:t>. Performance was strongest for the dominant room type, while minority room types showed low recall. Weighted average F1-score was approximately 0.8</w:t>
      </w:r>
      <w:r w:rsidR="00DB4A0B">
        <w:rPr>
          <w:rFonts w:ascii="Times New Roman" w:eastAsia="Times New Roman" w:hAnsi="Times New Roman" w:cs="Times New Roman"/>
          <w:kern w:val="0"/>
          <w:sz w:val="20"/>
          <w:szCs w:val="20"/>
          <w:lang w:eastAsia="en-GB"/>
          <w14:ligatures w14:val="none"/>
        </w:rPr>
        <w:t>5</w:t>
      </w:r>
      <w:r w:rsidRPr="00816941">
        <w:rPr>
          <w:rFonts w:ascii="Times New Roman" w:eastAsia="Times New Roman" w:hAnsi="Times New Roman" w:cs="Times New Roman"/>
          <w:kern w:val="0"/>
          <w:sz w:val="20"/>
          <w:szCs w:val="20"/>
          <w:lang w:eastAsia="en-GB"/>
          <w14:ligatures w14:val="none"/>
        </w:rPr>
        <w:t>.</w:t>
      </w:r>
    </w:p>
    <w:p w14:paraId="3AFE4812" w14:textId="1500E03C"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Belgium:</w:t>
      </w:r>
      <w:r w:rsidRPr="00816941">
        <w:rPr>
          <w:rFonts w:ascii="Times New Roman" w:eastAsia="Times New Roman" w:hAnsi="Times New Roman" w:cs="Times New Roman"/>
          <w:kern w:val="0"/>
          <w:sz w:val="20"/>
          <w:szCs w:val="20"/>
          <w:lang w:eastAsia="en-GB"/>
          <w14:ligatures w14:val="none"/>
        </w:rPr>
        <w:br/>
        <w:t>The model achieved an accuracy of 8</w:t>
      </w:r>
      <w:r w:rsidR="00DB4A0B">
        <w:rPr>
          <w:rFonts w:ascii="Times New Roman" w:eastAsia="Times New Roman" w:hAnsi="Times New Roman" w:cs="Times New Roman"/>
          <w:kern w:val="0"/>
          <w:sz w:val="20"/>
          <w:szCs w:val="20"/>
          <w:lang w:eastAsia="en-GB"/>
          <w14:ligatures w14:val="none"/>
        </w:rPr>
        <w:t>3</w:t>
      </w:r>
      <w:r w:rsidRPr="00816941">
        <w:rPr>
          <w:rFonts w:ascii="Times New Roman" w:eastAsia="Times New Roman" w:hAnsi="Times New Roman" w:cs="Times New Roman"/>
          <w:kern w:val="0"/>
          <w:sz w:val="20"/>
          <w:szCs w:val="20"/>
          <w:lang w:eastAsia="en-GB"/>
          <w14:ligatures w14:val="none"/>
        </w:rPr>
        <w:t>.</w:t>
      </w:r>
      <w:r w:rsidR="00DB4A0B">
        <w:rPr>
          <w:rFonts w:ascii="Times New Roman" w:eastAsia="Times New Roman" w:hAnsi="Times New Roman" w:cs="Times New Roman"/>
          <w:kern w:val="0"/>
          <w:sz w:val="20"/>
          <w:szCs w:val="20"/>
          <w:lang w:eastAsia="en-GB"/>
          <w14:ligatures w14:val="none"/>
        </w:rPr>
        <w:t>57</w:t>
      </w:r>
      <w:r w:rsidRPr="00816941">
        <w:rPr>
          <w:rFonts w:ascii="Times New Roman" w:eastAsia="Times New Roman" w:hAnsi="Times New Roman" w:cs="Times New Roman"/>
          <w:kern w:val="0"/>
          <w:sz w:val="20"/>
          <w:szCs w:val="20"/>
          <w:lang w:eastAsia="en-GB"/>
          <w14:ligatures w14:val="none"/>
        </w:rPr>
        <w:t>. Room types with sufficient representation were classified effectively, while rare classes were not learned due to extremely low support. Weighted average F1-score was approximately 0.8</w:t>
      </w:r>
      <w:r w:rsidR="00DB4A0B">
        <w:rPr>
          <w:rFonts w:ascii="Times New Roman" w:eastAsia="Times New Roman" w:hAnsi="Times New Roman" w:cs="Times New Roman"/>
          <w:kern w:val="0"/>
          <w:sz w:val="20"/>
          <w:szCs w:val="20"/>
          <w:lang w:eastAsia="en-GB"/>
          <w14:ligatures w14:val="none"/>
        </w:rPr>
        <w:t>3</w:t>
      </w:r>
      <w:r w:rsidRPr="00816941">
        <w:rPr>
          <w:rFonts w:ascii="Times New Roman" w:eastAsia="Times New Roman" w:hAnsi="Times New Roman" w:cs="Times New Roman"/>
          <w:kern w:val="0"/>
          <w:sz w:val="20"/>
          <w:szCs w:val="20"/>
          <w:lang w:eastAsia="en-GB"/>
          <w14:ligatures w14:val="none"/>
        </w:rPr>
        <w:t>.</w:t>
      </w:r>
    </w:p>
    <w:p w14:paraId="481FBB59" w14:textId="77777777" w:rsidR="00816941" w:rsidRPr="00816941" w:rsidRDefault="00816941" w:rsidP="0081694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6.5. K-Means Clustering – Listing Segmentation</w:t>
      </w:r>
    </w:p>
    <w:p w14:paraId="046312E3" w14:textId="77777777" w:rsidR="00816941" w:rsidRPr="00816941" w:rsidRDefault="00816941" w:rsidP="00816941">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K-Means clustering was applied using price and amenity-related features to segment listings.</w:t>
      </w:r>
    </w:p>
    <w:p w14:paraId="67D841DD" w14:textId="5CEB5032" w:rsidR="00816941" w:rsidRPr="00816941" w:rsidRDefault="00816941" w:rsidP="00DB4A0B">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Cluster</w:t>
      </w:r>
      <w:r w:rsidR="00DB4A0B">
        <w:rPr>
          <w:rFonts w:ascii="Times New Roman" w:eastAsia="Times New Roman" w:hAnsi="Times New Roman" w:cs="Times New Roman"/>
          <w:b/>
          <w:bCs/>
          <w:kern w:val="0"/>
          <w:sz w:val="20"/>
          <w:szCs w:val="20"/>
          <w:lang w:eastAsia="en-GB"/>
          <w14:ligatures w14:val="none"/>
        </w:rPr>
        <w:t xml:space="preserve"> </w:t>
      </w:r>
      <w:r w:rsidRPr="00816941">
        <w:rPr>
          <w:rFonts w:ascii="Times New Roman" w:eastAsia="Times New Roman" w:hAnsi="Times New Roman" w:cs="Times New Roman"/>
          <w:b/>
          <w:bCs/>
          <w:kern w:val="0"/>
          <w:sz w:val="20"/>
          <w:szCs w:val="20"/>
          <w:lang w:eastAsia="en-GB"/>
          <w14:ligatures w14:val="none"/>
        </w:rPr>
        <w:t>Selection:</w:t>
      </w:r>
      <w:r w:rsidR="00DB4A0B">
        <w:rPr>
          <w:rFonts w:ascii="Times New Roman" w:eastAsia="Times New Roman" w:hAnsi="Times New Roman" w:cs="Times New Roman"/>
          <w:b/>
          <w:bCs/>
          <w:kern w:val="0"/>
          <w:sz w:val="20"/>
          <w:szCs w:val="20"/>
          <w:lang w:eastAsia="en-GB"/>
          <w14:ligatures w14:val="none"/>
        </w:rPr>
        <w:t xml:space="preserve"> </w:t>
      </w:r>
      <w:r w:rsidRPr="00816941">
        <w:rPr>
          <w:rFonts w:ascii="Times New Roman" w:eastAsia="Times New Roman" w:hAnsi="Times New Roman" w:cs="Times New Roman"/>
          <w:kern w:val="0"/>
          <w:sz w:val="20"/>
          <w:szCs w:val="20"/>
          <w:lang w:eastAsia="en-GB"/>
          <w14:ligatures w14:val="none"/>
        </w:rPr>
        <w:br/>
        <w:t>Although lower values of K showed slightly higher silhouette scores, K = 5 was selected for both datasets to improve interpretability and segmentation clarity.</w:t>
      </w:r>
    </w:p>
    <w:p w14:paraId="6E63AC59" w14:textId="77777777"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France:</w:t>
      </w:r>
      <w:r w:rsidRPr="00816941">
        <w:rPr>
          <w:rFonts w:ascii="Times New Roman" w:eastAsia="Times New Roman" w:hAnsi="Times New Roman" w:cs="Times New Roman"/>
          <w:kern w:val="0"/>
          <w:sz w:val="20"/>
          <w:szCs w:val="20"/>
          <w:lang w:eastAsia="en-GB"/>
          <w14:ligatures w14:val="none"/>
        </w:rPr>
        <w:br/>
        <w:t>The clusters represent distinct price–amenity tiers, ranging from low-priced, low-amenity listings to high-priced, amenity-rich listings. Cluster centroids show a positive relationship between price and amenity count.</w:t>
      </w:r>
    </w:p>
    <w:p w14:paraId="00D7D636" w14:textId="77777777"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Belgium:</w:t>
      </w:r>
      <w:r w:rsidRPr="00816941">
        <w:rPr>
          <w:rFonts w:ascii="Times New Roman" w:eastAsia="Times New Roman" w:hAnsi="Times New Roman" w:cs="Times New Roman"/>
          <w:kern w:val="0"/>
          <w:sz w:val="20"/>
          <w:szCs w:val="20"/>
          <w:lang w:eastAsia="en-GB"/>
          <w14:ligatures w14:val="none"/>
        </w:rPr>
        <w:br/>
        <w:t>Similar segmentation patterns were observed, with most listings concentrated in affordable and mid-range clusters and premium listings forming smaller segments. Cluster centroids also indicate increasing prices with higher amenity levels.</w:t>
      </w:r>
    </w:p>
    <w:p w14:paraId="73417D1A"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 xml:space="preserve">7. Dashboard Overview </w:t>
      </w:r>
    </w:p>
    <w:p w14:paraId="32694416" w14:textId="77777777" w:rsidR="00816941" w:rsidRPr="00816941" w:rsidRDefault="00816941" w:rsidP="00816941">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Five interactive dashboards were designed to visually summarize Airbnb market data for France and Belgium. These dashboards organize listing, host, customer, property, and temporal information into structured views that support exploratory analysis, statistical validation, and machine learning modelling.</w:t>
      </w:r>
    </w:p>
    <w:p w14:paraId="0B65C5C1"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7.1. Listing &amp; Host Performance</w:t>
      </w:r>
    </w:p>
    <w:p w14:paraId="5A6034B5" w14:textId="77777777" w:rsidR="00816941" w:rsidRPr="00816941" w:rsidRDefault="00816941" w:rsidP="00816941">
      <w:pPr>
        <w:spacing w:before="100" w:beforeAutospacing="1" w:after="100" w:afterAutospacing="1" w:line="240" w:lineRule="auto"/>
        <w:ind w:firstLine="720"/>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This dashboard provides a high-level overview of host participation and listing structure, including total hosts, listings, reviews, and average prices. Hosts are categorized by listing volume, and visualizations represent listing capacity, room types, and host-level performance metrics.</w:t>
      </w:r>
    </w:p>
    <w:p w14:paraId="37D2FB6A"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lastRenderedPageBreak/>
        <w:t>7.2. Geospatial &amp; Location Analysis</w:t>
      </w:r>
    </w:p>
    <w:p w14:paraId="3403EE6C" w14:textId="77777777" w:rsidR="00816941" w:rsidRPr="00816941" w:rsidRDefault="00816941" w:rsidP="00816941">
      <w:pPr>
        <w:spacing w:before="100" w:beforeAutospacing="1" w:after="100" w:afterAutospacing="1" w:line="240" w:lineRule="auto"/>
        <w:ind w:firstLine="720"/>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This dashboard focuses on the geographic distribution of listings across cities and regions. It presents city-wise pricing, demand volume, host density, and spatial mapping to document regional variation within and between France and Belgium.</w:t>
      </w:r>
    </w:p>
    <w:p w14:paraId="15DE61B4"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7.3. Customer Experience &amp; Satisfaction</w:t>
      </w:r>
    </w:p>
    <w:p w14:paraId="17B234A8" w14:textId="3DD69028" w:rsidR="00816941" w:rsidRPr="00816941" w:rsidRDefault="00816941" w:rsidP="00816941">
      <w:pPr>
        <w:spacing w:before="100" w:beforeAutospacing="1" w:after="100" w:afterAutospacing="1" w:line="240" w:lineRule="auto"/>
        <w:ind w:firstLine="720"/>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This dashboard consolidates customer engagement metrics such as ratings, reviews, and host responsiveness. Rating distributions and review volumes are visualized across host categories to standardize comparison of customer interaction patterns.</w:t>
      </w:r>
    </w:p>
    <w:p w14:paraId="2A9ABF7D"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7.4. Property Attributes &amp; Amenities</w:t>
      </w:r>
    </w:p>
    <w:p w14:paraId="0DB0E991" w14:textId="77777777" w:rsidR="00816941" w:rsidRPr="00816941" w:rsidRDefault="00816941" w:rsidP="00816941">
      <w:pPr>
        <w:spacing w:before="100" w:beforeAutospacing="1" w:after="100" w:afterAutospacing="1" w:line="240" w:lineRule="auto"/>
        <w:ind w:firstLine="720"/>
        <w:jc w:val="both"/>
        <w:outlineLvl w:val="1"/>
        <w:rPr>
          <w:rFonts w:ascii="Times New Roman" w:eastAsia="Times New Roman" w:hAnsi="Times New Roman" w:cs="Times New Roman"/>
          <w:b/>
          <w:bCs/>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This dashboard summarizes property-level characteristics, including amenity density, amenity categories, pricing by amenity level, and security deposit distribution. It documents how listing features are structured within the dataset.</w:t>
      </w:r>
    </w:p>
    <w:p w14:paraId="56FD1A45" w14:textId="77777777" w:rsidR="00816941" w:rsidRPr="00816941" w:rsidRDefault="00816941" w:rsidP="00816941">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816941">
        <w:rPr>
          <w:rFonts w:ascii="Times New Roman" w:eastAsia="Times New Roman" w:hAnsi="Times New Roman" w:cs="Times New Roman"/>
          <w:b/>
          <w:bCs/>
          <w:kern w:val="0"/>
          <w:lang w:eastAsia="en-GB"/>
          <w14:ligatures w14:val="none"/>
        </w:rPr>
        <w:t>7.5. Demand &amp; Seasonal Trends</w:t>
      </w:r>
    </w:p>
    <w:p w14:paraId="46E5A48E" w14:textId="77777777" w:rsidR="00816941" w:rsidRPr="00816941" w:rsidRDefault="00816941" w:rsidP="00816941">
      <w:pPr>
        <w:spacing w:before="100" w:beforeAutospacing="1" w:after="100" w:afterAutospacing="1" w:line="240" w:lineRule="auto"/>
        <w:ind w:firstLine="720"/>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This dashboard captures temporal patterns in Airbnb activity through monthly demand trends, listing growth over time, and host review volume distribution. It provides a time-based perspective for seasonal and longitudinal analysis.</w:t>
      </w:r>
    </w:p>
    <w:p w14:paraId="72E6AD1B" w14:textId="77777777" w:rsidR="00816941" w:rsidRPr="00816941" w:rsidRDefault="00816941" w:rsidP="00816941">
      <w:pPr>
        <w:spacing w:before="100" w:beforeAutospacing="1" w:after="100" w:afterAutospacing="1" w:line="240" w:lineRule="auto"/>
        <w:rPr>
          <w:rFonts w:ascii="Times New Roman" w:eastAsia="Times New Roman" w:hAnsi="Times New Roman" w:cs="Times New Roman"/>
          <w:b/>
          <w:kern w:val="0"/>
          <w:lang w:eastAsia="en-GB"/>
          <w14:ligatures w14:val="none"/>
        </w:rPr>
      </w:pPr>
      <w:r w:rsidRPr="00816941">
        <w:rPr>
          <w:rFonts w:ascii="Times New Roman" w:hAnsi="Times New Roman" w:cs="Times New Roman"/>
          <w:b/>
        </w:rPr>
        <w:t>8. Comparative Insights</w:t>
      </w:r>
    </w:p>
    <w:tbl>
      <w:tblPr>
        <w:tblStyle w:val="TableGrid"/>
        <w:tblW w:w="0" w:type="auto"/>
        <w:tblLook w:val="04A0" w:firstRow="1" w:lastRow="0" w:firstColumn="1" w:lastColumn="0" w:noHBand="0" w:noVBand="1"/>
      </w:tblPr>
      <w:tblGrid>
        <w:gridCol w:w="2091"/>
        <w:gridCol w:w="3567"/>
        <w:gridCol w:w="3358"/>
      </w:tblGrid>
      <w:tr w:rsidR="00816941" w:rsidRPr="00816941" w14:paraId="6C564F9E" w14:textId="77777777" w:rsidTr="00816941">
        <w:tc>
          <w:tcPr>
            <w:tcW w:w="0" w:type="auto"/>
            <w:hideMark/>
          </w:tcPr>
          <w:p w14:paraId="168BD6A1" w14:textId="77777777" w:rsidR="00816941" w:rsidRPr="00816941" w:rsidRDefault="00816941" w:rsidP="0073522E">
            <w:pPr>
              <w:jc w:val="center"/>
              <w:rPr>
                <w:rFonts w:ascii="Times New Roman" w:eastAsia="Times New Roman" w:hAnsi="Times New Roman" w:cs="Times New Roman"/>
                <w:b/>
                <w:bCs/>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Dimension</w:t>
            </w:r>
          </w:p>
        </w:tc>
        <w:tc>
          <w:tcPr>
            <w:tcW w:w="0" w:type="auto"/>
            <w:hideMark/>
          </w:tcPr>
          <w:p w14:paraId="0DB58EAC" w14:textId="77777777" w:rsidR="00816941" w:rsidRPr="00816941" w:rsidRDefault="00816941" w:rsidP="0073522E">
            <w:pPr>
              <w:jc w:val="center"/>
              <w:rPr>
                <w:rFonts w:ascii="Times New Roman" w:eastAsia="Times New Roman" w:hAnsi="Times New Roman" w:cs="Times New Roman"/>
                <w:b/>
                <w:bCs/>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France</w:t>
            </w:r>
          </w:p>
        </w:tc>
        <w:tc>
          <w:tcPr>
            <w:tcW w:w="0" w:type="auto"/>
            <w:hideMark/>
          </w:tcPr>
          <w:p w14:paraId="092F0819" w14:textId="77777777" w:rsidR="00816941" w:rsidRPr="00816941" w:rsidRDefault="00816941" w:rsidP="0073522E">
            <w:pPr>
              <w:jc w:val="center"/>
              <w:rPr>
                <w:rFonts w:ascii="Times New Roman" w:eastAsia="Times New Roman" w:hAnsi="Times New Roman" w:cs="Times New Roman"/>
                <w:b/>
                <w:bCs/>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Belgium</w:t>
            </w:r>
          </w:p>
        </w:tc>
      </w:tr>
      <w:tr w:rsidR="00816941" w:rsidRPr="00816941" w14:paraId="0AE8F293" w14:textId="77777777" w:rsidTr="00816941">
        <w:tc>
          <w:tcPr>
            <w:tcW w:w="0" w:type="auto"/>
            <w:hideMark/>
          </w:tcPr>
          <w:p w14:paraId="46394481"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Market Structure</w:t>
            </w:r>
          </w:p>
        </w:tc>
        <w:tc>
          <w:tcPr>
            <w:tcW w:w="0" w:type="auto"/>
            <w:hideMark/>
          </w:tcPr>
          <w:p w14:paraId="1E05D61E"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Strongly segmented with a clear premium tier dominated by professional hosts</w:t>
            </w:r>
          </w:p>
        </w:tc>
        <w:tc>
          <w:tcPr>
            <w:tcW w:w="0" w:type="auto"/>
            <w:hideMark/>
          </w:tcPr>
          <w:p w14:paraId="60F3FACA"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More balanced market with high competition in affordable and mid-range segments</w:t>
            </w:r>
          </w:p>
        </w:tc>
      </w:tr>
      <w:tr w:rsidR="00816941" w:rsidRPr="00816941" w14:paraId="547E51E0" w14:textId="77777777" w:rsidTr="00816941">
        <w:tc>
          <w:tcPr>
            <w:tcW w:w="0" w:type="auto"/>
            <w:hideMark/>
          </w:tcPr>
          <w:p w14:paraId="25AEA70E"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Pricing Behaviour</w:t>
            </w:r>
          </w:p>
        </w:tc>
        <w:tc>
          <w:tcPr>
            <w:tcW w:w="0" w:type="auto"/>
            <w:hideMark/>
          </w:tcPr>
          <w:p w14:paraId="384B79A9"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Higher average prices and wider price dispersion</w:t>
            </w:r>
          </w:p>
        </w:tc>
        <w:tc>
          <w:tcPr>
            <w:tcW w:w="0" w:type="auto"/>
            <w:hideMark/>
          </w:tcPr>
          <w:p w14:paraId="42871D5D"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Lower average prices and narrower price variation</w:t>
            </w:r>
          </w:p>
        </w:tc>
      </w:tr>
      <w:tr w:rsidR="00816941" w:rsidRPr="00816941" w14:paraId="506BB9A2" w14:textId="77777777" w:rsidTr="00816941">
        <w:tc>
          <w:tcPr>
            <w:tcW w:w="0" w:type="auto"/>
            <w:hideMark/>
          </w:tcPr>
          <w:p w14:paraId="0D17D718"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Host Profile</w:t>
            </w:r>
          </w:p>
        </w:tc>
        <w:tc>
          <w:tcPr>
            <w:tcW w:w="0" w:type="auto"/>
            <w:hideMark/>
          </w:tcPr>
          <w:p w14:paraId="66A36997"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Greater presence of multi-listing, experienced hosts</w:t>
            </w:r>
          </w:p>
        </w:tc>
        <w:tc>
          <w:tcPr>
            <w:tcW w:w="0" w:type="auto"/>
            <w:hideMark/>
          </w:tcPr>
          <w:p w14:paraId="2616B6B3"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Higher proportion of single-listing and small-scale hosts</w:t>
            </w:r>
          </w:p>
        </w:tc>
      </w:tr>
      <w:tr w:rsidR="00816941" w:rsidRPr="00816941" w14:paraId="4D32C112" w14:textId="77777777" w:rsidTr="00816941">
        <w:tc>
          <w:tcPr>
            <w:tcW w:w="0" w:type="auto"/>
            <w:hideMark/>
          </w:tcPr>
          <w:p w14:paraId="4FBD5611"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Impact of Host Experience</w:t>
            </w:r>
          </w:p>
        </w:tc>
        <w:tc>
          <w:tcPr>
            <w:tcW w:w="0" w:type="auto"/>
            <w:hideMark/>
          </w:tcPr>
          <w:p w14:paraId="2D9B9854"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Strong influence on pricing and demand</w:t>
            </w:r>
          </w:p>
        </w:tc>
        <w:tc>
          <w:tcPr>
            <w:tcW w:w="0" w:type="auto"/>
            <w:hideMark/>
          </w:tcPr>
          <w:p w14:paraId="452F934D"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Moderate influence compared to France</w:t>
            </w:r>
          </w:p>
        </w:tc>
      </w:tr>
      <w:tr w:rsidR="00816941" w:rsidRPr="00816941" w14:paraId="7AB8348A" w14:textId="77777777" w:rsidTr="00816941">
        <w:tc>
          <w:tcPr>
            <w:tcW w:w="0" w:type="auto"/>
            <w:hideMark/>
          </w:tcPr>
          <w:p w14:paraId="2F25B00C"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Geographic Concentration</w:t>
            </w:r>
          </w:p>
        </w:tc>
        <w:tc>
          <w:tcPr>
            <w:tcW w:w="0" w:type="auto"/>
            <w:hideMark/>
          </w:tcPr>
          <w:p w14:paraId="53DF9466"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Premium listings concentrated in specific high-demand locations</w:t>
            </w:r>
          </w:p>
        </w:tc>
        <w:tc>
          <w:tcPr>
            <w:tcW w:w="0" w:type="auto"/>
            <w:hideMark/>
          </w:tcPr>
          <w:p w14:paraId="434CF74E"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Listings more evenly distributed across cities and regions</w:t>
            </w:r>
          </w:p>
        </w:tc>
      </w:tr>
      <w:tr w:rsidR="00816941" w:rsidRPr="00816941" w14:paraId="293F1F85" w14:textId="77777777" w:rsidTr="00816941">
        <w:tc>
          <w:tcPr>
            <w:tcW w:w="0" w:type="auto"/>
            <w:hideMark/>
          </w:tcPr>
          <w:p w14:paraId="07C47DBC"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Customer Engagement</w:t>
            </w:r>
          </w:p>
        </w:tc>
        <w:tc>
          <w:tcPr>
            <w:tcW w:w="0" w:type="auto"/>
            <w:hideMark/>
          </w:tcPr>
          <w:p w14:paraId="1818427B"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High engagement with strong seasonal peaks</w:t>
            </w:r>
          </w:p>
        </w:tc>
        <w:tc>
          <w:tcPr>
            <w:tcW w:w="0" w:type="auto"/>
            <w:hideMark/>
          </w:tcPr>
          <w:p w14:paraId="75BB3076"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Consistently high engagement with limited seasonality</w:t>
            </w:r>
          </w:p>
        </w:tc>
      </w:tr>
      <w:tr w:rsidR="00816941" w:rsidRPr="00816941" w14:paraId="78AE46E2" w14:textId="77777777" w:rsidTr="00816941">
        <w:tc>
          <w:tcPr>
            <w:tcW w:w="0" w:type="auto"/>
            <w:hideMark/>
          </w:tcPr>
          <w:p w14:paraId="75A90682"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Seasonality</w:t>
            </w:r>
          </w:p>
        </w:tc>
        <w:tc>
          <w:tcPr>
            <w:tcW w:w="0" w:type="auto"/>
            <w:hideMark/>
          </w:tcPr>
          <w:p w14:paraId="706B9738"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Significant demand increases during summer months</w:t>
            </w:r>
          </w:p>
        </w:tc>
        <w:tc>
          <w:tcPr>
            <w:tcW w:w="0" w:type="auto"/>
            <w:hideMark/>
          </w:tcPr>
          <w:p w14:paraId="6A95320F"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Relatively stable demand throughout the year</w:t>
            </w:r>
          </w:p>
        </w:tc>
      </w:tr>
      <w:tr w:rsidR="00816941" w:rsidRPr="00816941" w14:paraId="5CA1399B" w14:textId="77777777" w:rsidTr="00816941">
        <w:tc>
          <w:tcPr>
            <w:tcW w:w="0" w:type="auto"/>
            <w:hideMark/>
          </w:tcPr>
          <w:p w14:paraId="50E23959"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Property &amp; Amenities</w:t>
            </w:r>
          </w:p>
        </w:tc>
        <w:tc>
          <w:tcPr>
            <w:tcW w:w="0" w:type="auto"/>
            <w:hideMark/>
          </w:tcPr>
          <w:p w14:paraId="11BEDEE1"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Amenities strongly associated with premium pricing, diminishing returns at higher levels</w:t>
            </w:r>
          </w:p>
        </w:tc>
        <w:tc>
          <w:tcPr>
            <w:tcW w:w="0" w:type="auto"/>
            <w:hideMark/>
          </w:tcPr>
          <w:p w14:paraId="62792585"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Similar amenity effects, but pricing impact is less pronounced</w:t>
            </w:r>
          </w:p>
        </w:tc>
      </w:tr>
      <w:tr w:rsidR="00816941" w:rsidRPr="00816941" w14:paraId="3EB81C92" w14:textId="77777777" w:rsidTr="00816941">
        <w:tc>
          <w:tcPr>
            <w:tcW w:w="0" w:type="auto"/>
            <w:hideMark/>
          </w:tcPr>
          <w:p w14:paraId="302BC46E"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Cancellation &amp; Security Policies</w:t>
            </w:r>
          </w:p>
        </w:tc>
        <w:tc>
          <w:tcPr>
            <w:tcW w:w="0" w:type="auto"/>
            <w:hideMark/>
          </w:tcPr>
          <w:p w14:paraId="1A1B70A0"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Stricter policies and higher deposits common in premium listings</w:t>
            </w:r>
          </w:p>
        </w:tc>
        <w:tc>
          <w:tcPr>
            <w:tcW w:w="0" w:type="auto"/>
            <w:hideMark/>
          </w:tcPr>
          <w:p w14:paraId="29BC7A9A"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Generally guest-friendly policies across most listings</w:t>
            </w:r>
          </w:p>
        </w:tc>
      </w:tr>
      <w:tr w:rsidR="00816941" w:rsidRPr="00816941" w14:paraId="00BED95F" w14:textId="77777777" w:rsidTr="00816941">
        <w:tc>
          <w:tcPr>
            <w:tcW w:w="0" w:type="auto"/>
            <w:hideMark/>
          </w:tcPr>
          <w:p w14:paraId="382CD07A"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Predictive Modelling (ML)</w:t>
            </w:r>
          </w:p>
        </w:tc>
        <w:tc>
          <w:tcPr>
            <w:tcW w:w="0" w:type="auto"/>
            <w:hideMark/>
          </w:tcPr>
          <w:p w14:paraId="2A469E15"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Pricing less predictable due to higher heterogeneity</w:t>
            </w:r>
          </w:p>
        </w:tc>
        <w:tc>
          <w:tcPr>
            <w:tcW w:w="0" w:type="auto"/>
            <w:hideMark/>
          </w:tcPr>
          <w:p w14:paraId="722B4339"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Pricing more predictable with stronger regression performance</w:t>
            </w:r>
          </w:p>
        </w:tc>
      </w:tr>
      <w:tr w:rsidR="00816941" w:rsidRPr="00816941" w14:paraId="2415213F" w14:textId="77777777" w:rsidTr="00816941">
        <w:tc>
          <w:tcPr>
            <w:tcW w:w="0" w:type="auto"/>
            <w:hideMark/>
          </w:tcPr>
          <w:p w14:paraId="34A5C823"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b/>
                <w:bCs/>
                <w:kern w:val="0"/>
                <w:sz w:val="20"/>
                <w:szCs w:val="20"/>
                <w:lang w:eastAsia="en-GB"/>
                <w14:ligatures w14:val="none"/>
              </w:rPr>
              <w:t>Market Segmentation (Clustering)</w:t>
            </w:r>
          </w:p>
        </w:tc>
        <w:tc>
          <w:tcPr>
            <w:tcW w:w="0" w:type="auto"/>
            <w:hideMark/>
          </w:tcPr>
          <w:p w14:paraId="56FBAA27"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Distinct premium and high-amenity clusters</w:t>
            </w:r>
          </w:p>
        </w:tc>
        <w:tc>
          <w:tcPr>
            <w:tcW w:w="0" w:type="auto"/>
            <w:hideMark/>
          </w:tcPr>
          <w:p w14:paraId="0FBB6B6E" w14:textId="77777777" w:rsidR="00816941" w:rsidRPr="00816941" w:rsidRDefault="00816941" w:rsidP="0073522E">
            <w:pPr>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Majority of listings clustered in mid-range segments</w:t>
            </w:r>
          </w:p>
        </w:tc>
      </w:tr>
    </w:tbl>
    <w:p w14:paraId="59A92FE6" w14:textId="77777777" w:rsidR="00816941" w:rsidRPr="00816941" w:rsidRDefault="00816941" w:rsidP="00816941">
      <w:pPr>
        <w:rPr>
          <w:rFonts w:ascii="Times New Roman" w:hAnsi="Times New Roman" w:cs="Times New Roman"/>
          <w:sz w:val="20"/>
          <w:szCs w:val="20"/>
        </w:rPr>
      </w:pPr>
    </w:p>
    <w:p w14:paraId="24E41E00" w14:textId="77777777" w:rsidR="00816941" w:rsidRDefault="00816941" w:rsidP="00816941">
      <w:pPr>
        <w:rPr>
          <w:rFonts w:ascii="Times New Roman" w:hAnsi="Times New Roman" w:cs="Times New Roman"/>
          <w:b/>
        </w:rPr>
      </w:pPr>
    </w:p>
    <w:p w14:paraId="5CA477CE" w14:textId="77777777" w:rsidR="00B45BF8" w:rsidRDefault="00B45BF8" w:rsidP="00816941">
      <w:pPr>
        <w:rPr>
          <w:rFonts w:ascii="Times New Roman" w:hAnsi="Times New Roman" w:cs="Times New Roman"/>
          <w:b/>
        </w:rPr>
      </w:pPr>
    </w:p>
    <w:p w14:paraId="4A9F655E" w14:textId="72630ADB" w:rsidR="00816941" w:rsidRPr="00816941" w:rsidRDefault="00816941" w:rsidP="00816941">
      <w:pPr>
        <w:rPr>
          <w:rFonts w:ascii="Times New Roman" w:hAnsi="Times New Roman" w:cs="Times New Roman"/>
          <w:b/>
        </w:rPr>
      </w:pPr>
      <w:r w:rsidRPr="00816941">
        <w:rPr>
          <w:rFonts w:ascii="Times New Roman" w:hAnsi="Times New Roman" w:cs="Times New Roman"/>
          <w:b/>
        </w:rPr>
        <w:lastRenderedPageBreak/>
        <w:t>9. Business Recommendation</w:t>
      </w:r>
    </w:p>
    <w:p w14:paraId="6000A6AE"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Apply dynamic pricing based on accommodation capacity, amenities, and property size to improve revenue and competitiveness.</w:t>
      </w:r>
    </w:p>
    <w:p w14:paraId="140751C2"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Promote host professionalization, as experienced multi-listing hosts consistently achieve stronger performance.</w:t>
      </w:r>
    </w:p>
    <w:p w14:paraId="77D82C35"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Prioritize essential amenities only, since returns diminish beyond moderate amenity levels.</w:t>
      </w:r>
    </w:p>
    <w:p w14:paraId="3B24D7F4"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Use seasonal pricing strategies in France and stable year-round pricing in Belgium.</w:t>
      </w:r>
    </w:p>
    <w:p w14:paraId="0F7D784C"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Leverage multi-feature pricing models, as they outperform single-factor approaches.</w:t>
      </w:r>
    </w:p>
    <w:p w14:paraId="5B7CA81E"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Use market segmentation to tailor pricing, visibility, and marketing by listing type.</w:t>
      </w:r>
    </w:p>
    <w:p w14:paraId="584A5CB1"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Maintain guest-friendly cancellation and deposit policies to support conversion.</w:t>
      </w:r>
    </w:p>
    <w:p w14:paraId="37D2CB51" w14:textId="77777777" w:rsidR="00816941" w:rsidRPr="00816941" w:rsidRDefault="00816941" w:rsidP="00816941">
      <w:pPr>
        <w:numPr>
          <w:ilvl w:val="0"/>
          <w:numId w:val="10"/>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16941">
        <w:rPr>
          <w:rFonts w:ascii="Times New Roman" w:eastAsia="Times New Roman" w:hAnsi="Times New Roman" w:cs="Times New Roman"/>
          <w:kern w:val="0"/>
          <w:sz w:val="20"/>
          <w:szCs w:val="20"/>
          <w:lang w:eastAsia="en-GB"/>
          <w14:ligatures w14:val="none"/>
        </w:rPr>
        <w:t>Monitor performance continuously using dashboards to enable data-driven decisions.</w:t>
      </w:r>
    </w:p>
    <w:p w14:paraId="2CCEB42D" w14:textId="77777777" w:rsidR="00816941" w:rsidRPr="00816941" w:rsidRDefault="00816941" w:rsidP="00816941">
      <w:pPr>
        <w:pStyle w:val="Heading2"/>
        <w:rPr>
          <w:rFonts w:ascii="Times New Roman" w:hAnsi="Times New Roman" w:cs="Times New Roman"/>
          <w:b/>
          <w:bCs/>
          <w:color w:val="auto"/>
          <w:sz w:val="24"/>
          <w:szCs w:val="24"/>
        </w:rPr>
      </w:pPr>
      <w:r w:rsidRPr="00816941">
        <w:rPr>
          <w:rFonts w:ascii="Times New Roman" w:hAnsi="Times New Roman" w:cs="Times New Roman"/>
          <w:b/>
          <w:bCs/>
          <w:color w:val="auto"/>
          <w:sz w:val="24"/>
          <w:szCs w:val="24"/>
        </w:rPr>
        <w:t>10. Conclusion</w:t>
      </w:r>
    </w:p>
    <w:p w14:paraId="10E2DC58" w14:textId="77777777" w:rsidR="00816941" w:rsidRPr="00816941" w:rsidRDefault="00816941" w:rsidP="00816941">
      <w:pPr>
        <w:pStyle w:val="NormalWeb"/>
        <w:ind w:firstLine="720"/>
        <w:jc w:val="both"/>
        <w:rPr>
          <w:sz w:val="20"/>
          <w:szCs w:val="20"/>
        </w:rPr>
      </w:pPr>
      <w:r w:rsidRPr="00816941">
        <w:rPr>
          <w:sz w:val="20"/>
          <w:szCs w:val="20"/>
        </w:rPr>
        <w:t>This study confirms that pricing and demand on Airbnb are primarily driven by accommodation capacity, amenities, and host experience. Data-driven pricing models and market segmentation significantly improve revenue optimization and competitiveness. France requires dynamic, premium-focused strategies due to strong seasonality, while Belgium benefits from stable, standardized pricing approaches. Overall, analytics-led decision-making enables more effective pricing, positioning, and performance management across markets.</w:t>
      </w:r>
    </w:p>
    <w:p w14:paraId="3114730D" w14:textId="77777777" w:rsidR="00850299" w:rsidRPr="00816941" w:rsidRDefault="00850299">
      <w:pPr>
        <w:rPr>
          <w:rFonts w:ascii="Times New Roman" w:hAnsi="Times New Roman" w:cs="Times New Roman"/>
        </w:rPr>
      </w:pPr>
    </w:p>
    <w:sectPr w:rsidR="00850299" w:rsidRPr="008169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DE9F" w14:textId="77777777" w:rsidR="00D44B00" w:rsidRDefault="00D44B00" w:rsidP="00816941">
      <w:pPr>
        <w:spacing w:after="0" w:line="240" w:lineRule="auto"/>
      </w:pPr>
      <w:r>
        <w:separator/>
      </w:r>
    </w:p>
  </w:endnote>
  <w:endnote w:type="continuationSeparator" w:id="0">
    <w:p w14:paraId="05084F23" w14:textId="77777777" w:rsidR="00D44B00" w:rsidRDefault="00D44B00" w:rsidP="00816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3007E" w14:textId="77777777" w:rsidR="00D44B00" w:rsidRDefault="00D44B00" w:rsidP="00816941">
      <w:pPr>
        <w:spacing w:after="0" w:line="240" w:lineRule="auto"/>
      </w:pPr>
      <w:r>
        <w:separator/>
      </w:r>
    </w:p>
  </w:footnote>
  <w:footnote w:type="continuationSeparator" w:id="0">
    <w:p w14:paraId="235D65B6" w14:textId="77777777" w:rsidR="00D44B00" w:rsidRDefault="00D44B00" w:rsidP="00816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336"/>
    <w:multiLevelType w:val="multilevel"/>
    <w:tmpl w:val="F038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2E79"/>
    <w:multiLevelType w:val="multilevel"/>
    <w:tmpl w:val="0CE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0380"/>
    <w:multiLevelType w:val="multilevel"/>
    <w:tmpl w:val="FFB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205E0"/>
    <w:multiLevelType w:val="multilevel"/>
    <w:tmpl w:val="40FA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345C5"/>
    <w:multiLevelType w:val="multilevel"/>
    <w:tmpl w:val="98E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D28DA"/>
    <w:multiLevelType w:val="multilevel"/>
    <w:tmpl w:val="F6E4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D42DB"/>
    <w:multiLevelType w:val="multilevel"/>
    <w:tmpl w:val="3A8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D34C8"/>
    <w:multiLevelType w:val="multilevel"/>
    <w:tmpl w:val="1BA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05414"/>
    <w:multiLevelType w:val="multilevel"/>
    <w:tmpl w:val="90F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243BD"/>
    <w:multiLevelType w:val="multilevel"/>
    <w:tmpl w:val="B68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404251">
    <w:abstractNumId w:val="9"/>
  </w:num>
  <w:num w:numId="2" w16cid:durableId="1435511316">
    <w:abstractNumId w:val="5"/>
  </w:num>
  <w:num w:numId="3" w16cid:durableId="504052743">
    <w:abstractNumId w:val="0"/>
  </w:num>
  <w:num w:numId="4" w16cid:durableId="1160577855">
    <w:abstractNumId w:val="1"/>
  </w:num>
  <w:num w:numId="5" w16cid:durableId="1006710908">
    <w:abstractNumId w:val="4"/>
  </w:num>
  <w:num w:numId="6" w16cid:durableId="681392679">
    <w:abstractNumId w:val="7"/>
  </w:num>
  <w:num w:numId="7" w16cid:durableId="896933320">
    <w:abstractNumId w:val="8"/>
  </w:num>
  <w:num w:numId="8" w16cid:durableId="2072846661">
    <w:abstractNumId w:val="3"/>
  </w:num>
  <w:num w:numId="9" w16cid:durableId="1814637899">
    <w:abstractNumId w:val="6"/>
  </w:num>
  <w:num w:numId="10" w16cid:durableId="260530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41"/>
    <w:rsid w:val="00436835"/>
    <w:rsid w:val="00816941"/>
    <w:rsid w:val="00850299"/>
    <w:rsid w:val="009F3384"/>
    <w:rsid w:val="00B45BF8"/>
    <w:rsid w:val="00BB1110"/>
    <w:rsid w:val="00D44B00"/>
    <w:rsid w:val="00DA772A"/>
    <w:rsid w:val="00DB4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2B6C"/>
  <w15:chartTrackingRefBased/>
  <w15:docId w15:val="{2257D5CF-981D-4138-B492-8233AE0EF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6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6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941"/>
    <w:rPr>
      <w:rFonts w:eastAsiaTheme="majorEastAsia" w:cstheme="majorBidi"/>
      <w:color w:val="272727" w:themeColor="text1" w:themeTint="D8"/>
    </w:rPr>
  </w:style>
  <w:style w:type="paragraph" w:styleId="Title">
    <w:name w:val="Title"/>
    <w:basedOn w:val="Normal"/>
    <w:next w:val="Normal"/>
    <w:link w:val="TitleChar"/>
    <w:uiPriority w:val="10"/>
    <w:qFormat/>
    <w:rsid w:val="00816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941"/>
    <w:pPr>
      <w:spacing w:before="160"/>
      <w:jc w:val="center"/>
    </w:pPr>
    <w:rPr>
      <w:i/>
      <w:iCs/>
      <w:color w:val="404040" w:themeColor="text1" w:themeTint="BF"/>
    </w:rPr>
  </w:style>
  <w:style w:type="character" w:customStyle="1" w:styleId="QuoteChar">
    <w:name w:val="Quote Char"/>
    <w:basedOn w:val="DefaultParagraphFont"/>
    <w:link w:val="Quote"/>
    <w:uiPriority w:val="29"/>
    <w:rsid w:val="00816941"/>
    <w:rPr>
      <w:i/>
      <w:iCs/>
      <w:color w:val="404040" w:themeColor="text1" w:themeTint="BF"/>
    </w:rPr>
  </w:style>
  <w:style w:type="paragraph" w:styleId="ListParagraph">
    <w:name w:val="List Paragraph"/>
    <w:basedOn w:val="Normal"/>
    <w:uiPriority w:val="34"/>
    <w:qFormat/>
    <w:rsid w:val="00816941"/>
    <w:pPr>
      <w:ind w:left="720"/>
      <w:contextualSpacing/>
    </w:pPr>
  </w:style>
  <w:style w:type="character" w:styleId="IntenseEmphasis">
    <w:name w:val="Intense Emphasis"/>
    <w:basedOn w:val="DefaultParagraphFont"/>
    <w:uiPriority w:val="21"/>
    <w:qFormat/>
    <w:rsid w:val="00816941"/>
    <w:rPr>
      <w:i/>
      <w:iCs/>
      <w:color w:val="2F5496" w:themeColor="accent1" w:themeShade="BF"/>
    </w:rPr>
  </w:style>
  <w:style w:type="paragraph" w:styleId="IntenseQuote">
    <w:name w:val="Intense Quote"/>
    <w:basedOn w:val="Normal"/>
    <w:next w:val="Normal"/>
    <w:link w:val="IntenseQuoteChar"/>
    <w:uiPriority w:val="30"/>
    <w:qFormat/>
    <w:rsid w:val="00816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941"/>
    <w:rPr>
      <w:i/>
      <w:iCs/>
      <w:color w:val="2F5496" w:themeColor="accent1" w:themeShade="BF"/>
    </w:rPr>
  </w:style>
  <w:style w:type="character" w:styleId="IntenseReference">
    <w:name w:val="Intense Reference"/>
    <w:basedOn w:val="DefaultParagraphFont"/>
    <w:uiPriority w:val="32"/>
    <w:qFormat/>
    <w:rsid w:val="00816941"/>
    <w:rPr>
      <w:b/>
      <w:bCs/>
      <w:smallCaps/>
      <w:color w:val="2F5496" w:themeColor="accent1" w:themeShade="BF"/>
      <w:spacing w:val="5"/>
    </w:rPr>
  </w:style>
  <w:style w:type="character" w:styleId="Strong">
    <w:name w:val="Strong"/>
    <w:basedOn w:val="DefaultParagraphFont"/>
    <w:uiPriority w:val="22"/>
    <w:qFormat/>
    <w:rsid w:val="00816941"/>
    <w:rPr>
      <w:b/>
      <w:bCs/>
    </w:rPr>
  </w:style>
  <w:style w:type="paragraph" w:styleId="NormalWeb">
    <w:name w:val="Normal (Web)"/>
    <w:basedOn w:val="Normal"/>
    <w:uiPriority w:val="99"/>
    <w:unhideWhenUsed/>
    <w:rsid w:val="00816941"/>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table" w:styleId="TableGrid">
    <w:name w:val="Table Grid"/>
    <w:basedOn w:val="TableNormal"/>
    <w:uiPriority w:val="39"/>
    <w:rsid w:val="00816941"/>
    <w:pPr>
      <w:spacing w:after="0" w:line="240" w:lineRule="auto"/>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69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941"/>
  </w:style>
  <w:style w:type="paragraph" w:styleId="Footer">
    <w:name w:val="footer"/>
    <w:basedOn w:val="Normal"/>
    <w:link w:val="FooterChar"/>
    <w:uiPriority w:val="99"/>
    <w:unhideWhenUsed/>
    <w:rsid w:val="008169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941"/>
  </w:style>
  <w:style w:type="paragraph" w:styleId="HTMLPreformatted">
    <w:name w:val="HTML Preformatted"/>
    <w:basedOn w:val="Normal"/>
    <w:link w:val="HTMLPreformattedChar"/>
    <w:uiPriority w:val="99"/>
    <w:unhideWhenUsed/>
    <w:rsid w:val="00DB4A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DB4A0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2489</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Venkatesan</dc:creator>
  <cp:keywords/>
  <dc:description/>
  <cp:lastModifiedBy>Santhosh Venkatesan</cp:lastModifiedBy>
  <cp:revision>3</cp:revision>
  <dcterms:created xsi:type="dcterms:W3CDTF">2026-02-09T04:14:00Z</dcterms:created>
  <dcterms:modified xsi:type="dcterms:W3CDTF">2026-02-09T04:34:00Z</dcterms:modified>
</cp:coreProperties>
</file>