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Paid Time Off</w:t>
      </w:r>
    </w:p>
    <w:p>
      <w:r>
        <w:t>Full-time employees accrue 15 days of paid time off per year. PTO must be requested at least two weeks in advance and approved by the direct manager. Unused PTO may be carried over up to a maximum of 5 days into the next year.</w:t>
      </w:r>
    </w:p>
    <w:p>
      <w:pPr>
        <w:pStyle w:val="Heading1"/>
      </w:pPr>
      <w:r>
        <w:t>Remote Work Policy</w:t>
      </w:r>
    </w:p>
    <w:p>
      <w:r>
        <w:t>Employees are expected to work from the office at least three days per week. Remote work days must be coordinated with the team to ensure adequate in-office coverage. Fully remote arrangements require VP approval.</w:t>
      </w:r>
    </w:p>
    <w:p>
      <w:pPr>
        <w:pStyle w:val="Heading1"/>
      </w:pPr>
      <w:r>
        <w:t>Expense Reimbursement</w:t>
      </w:r>
    </w:p>
    <w:p>
      <w:r>
        <w:t>Business expenses under 100 dollars may be approved by a direct manager. Expenses above that threshold require finance approval. All expense reports must be submitted within 30 days of the expense being incurred.</w:t>
      </w:r>
    </w:p>
    <w:p>
      <w:pPr>
        <w:pStyle w:val="Heading1"/>
      </w:pPr>
      <w:r>
        <w:t>Performance Reviews</w:t>
      </w:r>
    </w:p>
    <w:p>
      <w:r>
        <w:t>Performance reviews are conducted annually in December. Mid-year check-ins are optional and scheduled at the manager's discretion. Compensation adjustments take effect at the start of the following fiscal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