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Retention Policy</w:t>
      </w:r>
    </w:p>
    <w:p>
      <w:r>
        <w:t>All records must be retained for 7 years per regulatory requirements.</w:t>
      </w:r>
    </w:p>
    <w:p>
      <w:pPr>
        <w:pStyle w:val="Heading1"/>
      </w:pPr>
      <w:r>
        <w:t>Access Control</w:t>
      </w:r>
    </w:p>
    <w:p>
      <w:r>
        <w:t>Employee access to production systems requires manager approval.</w:t>
      </w:r>
    </w:p>
    <w:p>
      <w:pPr>
        <w:pStyle w:val="Heading1"/>
      </w:pPr>
      <w:r>
        <w:t>Incident Response</w:t>
      </w:r>
    </w:p>
    <w:p>
      <w:r>
        <w:t>Security incidents must be reported within 24 hours of discovery.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