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Paid Time Off</w:t>
      </w:r>
    </w:p>
    <w:p>
      <w:r>
        <w:t>Full-time employees accrue 15 days of paid time off per year. PTO must be requested two weeks in advance and approved by the direct manager.</w:t>
      </w:r>
    </w:p>
    <w:p>
      <w:pPr>
        <w:pStyle w:val="Heading1"/>
      </w:pPr>
      <w:r>
        <w:t>Remote Work Policy</w:t>
      </w:r>
    </w:p>
    <w:p>
      <w:r>
        <w:t>Employees are expected to work from the office at least three days per week. Fully remote arrangements require VP approval.</w:t>
      </w:r>
    </w:p>
    <w:p>
      <w:pPr>
        <w:pStyle w:val="Heading1"/>
      </w:pPr>
      <w:r>
        <w:t>Expense Reimbursement</w:t>
      </w:r>
    </w:p>
    <w:p>
      <w:r>
        <w:t>Business expenses under 100 dollars may be approved by a direct manager. Larger expenses require finance approval.</w:t>
      </w:r>
    </w:p>
    <w:p>
      <w:pPr>
        <w:pStyle w:val="Heading1"/>
      </w:pPr>
      <w:r>
        <w:t>Performance Reviews</w:t>
      </w:r>
    </w:p>
    <w:p>
      <w:r>
        <w:t>Performance reviews are conducted annually in December. Compensation adjustments take effect the following fiscal year.</w:t>
      </w:r>
    </w:p>
    <w:p>
      <w:pPr>
        <w:pStyle w:val="Heading1"/>
      </w:pPr>
      <w:r>
        <w:t>Parental Leave</w:t>
      </w:r>
    </w:p>
    <w:p>
      <w:r>
        <w:t>New parents receive 12 weeks of paid parental leave, which may be taken any time within the first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