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Policies</w:t>
      </w:r>
    </w:p>
    <w:p>
      <w:r>
        <w:t>This handbook describes the people policies that apply to all Nimbus Robotics employees. It is maintained by the People Operations team and reviewed annually. Where a local law provides a greater benefit than this policy, the local law applies.</w:t>
      </w:r>
    </w:p>
    <w:p>
      <w:pPr>
        <w:pStyle w:val="Heading1"/>
      </w:pPr>
      <w:r>
        <w:t>Paid Time Off</w:t>
      </w:r>
    </w:p>
    <w:p>
      <w:r>
        <w:t>Full-time employees accrue 15 days of paid time off per year, accrued monthly and available for use as it accrues. PTO must be requested at least two weeks in advance and approved by the direct manager, except in cases of illness or emergency.</w:t>
      </w:r>
    </w:p>
    <w:p>
      <w:r>
        <w:t>Unused PTO may be carried over up to a maximum of five days into the following year; any balance above that is forfeited unless local law requires otherwise. Employees are encouraged to take at least one full week of consecutive time off each year to rest.</w:t>
      </w:r>
    </w:p>
    <w:p>
      <w:pPr>
        <w:pStyle w:val="Heading1"/>
      </w:pPr>
      <w:r>
        <w:t>Sick Leave</w:t>
      </w:r>
    </w:p>
    <w:p>
      <w:r>
        <w:t>Employees receive ten paid sick days per year, separate from paid time off. Sick leave may be used for the employee's own illness or to care for an immediate family member.</w:t>
      </w:r>
    </w:p>
    <w:p>
      <w:r>
        <w:t>A doctor's note is only required for absences longer than three consecutive days. Unused sick leave does not carry over and is not paid out on departure.</w:t>
      </w:r>
    </w:p>
    <w:p>
      <w:pPr>
        <w:pStyle w:val="Heading1"/>
      </w:pPr>
      <w:r>
        <w:t>Remote Work Policy</w:t>
      </w:r>
    </w:p>
    <w:p>
      <w:r>
        <w:t>Employees are expected to work from the office at least three days per week, with the specific days coordinated within each team to ensure adequate in-person collaboration.</w:t>
      </w:r>
    </w:p>
    <w:p>
      <w:r>
        <w:t>Fully remote arrangements require VP approval and are reviewed annually. Remote workers must maintain a reliable internet connection and a distraction-free environment for meetings. The company provides a one-time home-office stipend for remote-eligible staff.</w:t>
      </w:r>
    </w:p>
    <w:p>
      <w:pPr>
        <w:pStyle w:val="Heading1"/>
      </w:pPr>
      <w:r>
        <w:t>Expense Reimbursement</w:t>
      </w:r>
    </w:p>
    <w:p>
      <w:r>
        <w:t>Business expenses under 100 dollars may be approved by a direct manager. Expenses at or above that threshold require finance approval before they are incurred where practical.</w:t>
      </w:r>
    </w:p>
    <w:p>
      <w:r>
        <w:t>All expense reports must include itemized receipts and be submitted within 30 days of the expense. Reimbursements are paid in the next payroll cycle after approval.</w:t>
      </w:r>
    </w:p>
    <w:p>
      <w:pPr>
        <w:pStyle w:val="Heading1"/>
      </w:pPr>
      <w:r>
        <w:t>Performance Reviews</w:t>
      </w:r>
    </w:p>
    <w:p>
      <w:r>
        <w:t>Formal performance reviews are conducted annually in December, with a lighter-weight check-in at mid-year. Reviews assess both results and how those results were achieved.</w:t>
      </w:r>
    </w:p>
    <w:p>
      <w:r>
        <w:t>Compensation adjustments resulting from a review take effect at the start of the next fiscal year. Promotions may occur at either cycle when the case is clearly met.</w:t>
      </w:r>
    </w:p>
    <w:p>
      <w:pPr>
        <w:pStyle w:val="Heading1"/>
      </w:pPr>
      <w:r>
        <w:t>Parental Leave</w:t>
      </w:r>
    </w:p>
    <w:p>
      <w:r>
        <w:t>New parents receive 12 weeks of fully paid parental leave, available to all parents regardless of gender and usable any time within the first year after birth or adoption.</w:t>
      </w:r>
    </w:p>
    <w:p>
      <w:r>
        <w:t>Leave may be taken continuously or, with manager agreement, in two separate blocks. Returning parents are entitled to a gradual ramp-up schedule for their first two weeks.</w:t>
      </w:r>
    </w:p>
    <w:p>
      <w:pPr>
        <w:pStyle w:val="Heading1"/>
      </w:pPr>
      <w:r>
        <w:t>Benefits Enrollment</w:t>
      </w:r>
    </w:p>
    <w:p>
      <w:r>
        <w:t>Employees must enroll in benefits within 30 days of their start date; those who miss the window wait until the next open enrollment in November. The package includes health, dental, and vision coverage, with the company covering the majority of the premium.</w:t>
      </w:r>
    </w:p>
    <w:p>
      <w:r>
        <w:t>A retirement savings plan with company matching is available after ninety days of employment. Life and disability insurance are provided automatically at no 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