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0"/>
        </w:rPr>
        <w:t>AI-QTriage: A Hybrid AI–Quantum Multimodal Framework for Explainable Injury Assessment and Emergency Support</w:t>
      </w:r>
    </w:p>
    <w:p>
      <w:pPr>
        <w:spacing w:after="240"/>
        <w:jc w:val="center"/>
      </w:pPr>
      <w:r>
        <w:rPr>
          <w:rFonts w:ascii="Times New Roman" w:hAnsi="Times New Roman"/>
          <w:b/>
          <w:sz w:val="20"/>
        </w:rPr>
        <w:t>N. Subbulakshmi, Dr. K. Venkatesh, Gontla Santhosh Kumar, Khambam Venkata Sai Girish, Dummu Rajesh</w:t>
        <w:br/>
      </w:r>
      <w:r>
        <w:rPr>
          <w:rFonts w:ascii="Times New Roman" w:hAnsi="Times New Roman"/>
          <w:sz w:val="20"/>
        </w:rPr>
        <w:t>Department of Computer Science and Engineering</w:t>
        <w:br/>
      </w:r>
      <w:r>
        <w:rPr>
          <w:rFonts w:ascii="Times New Roman" w:hAnsi="Times New Roman"/>
          <w:sz w:val="20"/>
        </w:rPr>
        <w:t>Kalasalingam Academy of Research and Education, Krishnankoil, Tamil Nadu, India</w:t>
        <w:br/>
      </w:r>
      <w:r>
        <w:rPr>
          <w:rFonts w:ascii="Times New Roman" w:hAnsi="Times New Roman"/>
          <w:sz w:val="20"/>
        </w:rPr>
        <w:t>Correspondence: santoshkumargontla@gmail.com | Conference Paper ID: ICICNIS-945</w:t>
      </w:r>
    </w:p>
    <w:p>
      <w:pPr>
        <w:spacing w:before="240" w:after="80"/>
      </w:pPr>
      <w:r>
        <w:rPr>
          <w:rFonts w:ascii="Times New Roman" w:hAnsi="Times New Roman"/>
          <w:b/>
          <w:sz w:val="24"/>
        </w:rPr>
        <w:t>Abstract</w:t>
      </w:r>
    </w:p>
    <w:p>
      <w:pPr>
        <w:spacing w:after="80" w:line="264" w:lineRule="auto"/>
        <w:jc w:val="both"/>
      </w:pPr>
      <w:r>
        <w:rPr>
          <w:rFonts w:ascii="Times New Roman" w:hAnsi="Times New Roman"/>
          <w:sz w:val="20"/>
        </w:rPr>
        <w:t>AI-QTriage is a hybrid AI–quantum multimodal decision-support framework designed to provide objective preliminary injury risk assessment and coordinated emergency workflow assistance. The architecture integrates three complementary diagnostic modalities: computer vision (YOLO11 for visible lesion localization, EfficientNetV2-S for dermatological pattern classification, and ResNet34-U-Net for pixel-level wound segmentation), a structured patient questionnaire capturing pain intensity and kinetic mechanisms, and continuous 50 Hz smartphone accelerometer telemetry. Extracted features are mapped into a standardized 23-dimensional multimodal representation. Severity classification is executed using a primary classical Extreme Gradient Boosting (XGBoost) model alongside an experimental 4-qubit Variational Quantum Classifier (VQC) simulated via PennyLane's default.qubit engine. Interpretability is enforced via Grad-CAM heatmaps and SHAP Shapley attribution values, accompanied by deterministic kinetic safety thresholds and an emergency SOS protocol.</w:t>
        <w:br/>
        <w:br/>
        <w:t>Experimental evaluation on held-out test splits demonstrates strong modular software and diagnostic integration: EfficientNetV2-S achieved a macro-F1 score of 94.34% (accuracy 96.62%, N = 473 photos); ResNet34-U-Net achieved a mean Dice similarity coefficient of 64.18% (IoU 51.78%, N = 69 pairs, threshold tau = 0.50); and the sensor classifier achieved 96.34% accuracy (1,183/1,228 windows, SisFall/UCI HAR). On real unconstrained trauma photographs, YOLO11 achieved mAP@50 = 36.47% and mAP@50–95 = 18.44% (Precision = 51.59%, Recall = 39.42%) across 123 photographic wound images (83 train / 17 val / 23 test). On the 23-feature multimodal benchmark, classical XGBoost attained 83.33% accuracy (25/30, 95% CI: [65.3%, 94.4%], Macro-F1 = 0.7850, MCC = 0.7027), outperforming the simulated 4-qubit VQC (53.33%, 16/30, Macro-F1 = 0.4230, MCC = 0.0960). In independent model evaluations, combining questionnaire symptoms with kinetic sensor telemetry reaches 86.67% accuracy (+30.00 percentage points over unimodal sensor and questionnaire baselines at 56.67%), while the full multimodal framework achieves 83.33% accuracy with critical spatial lesion localization. Because the multimodal dataset relies on 200 synthetic feature vectors with rule-derived research labels, AI-QTriage is presented strictly as an academic research prototype rather than a clinically validated medical device.</w:t>
      </w:r>
    </w:p>
    <w:p>
      <w:r>
        <w:rPr>
          <w:rFonts w:ascii="Times New Roman" w:hAnsi="Times New Roman"/>
          <w:b/>
          <w:sz w:val="20"/>
        </w:rPr>
        <w:t xml:space="preserve">Keywords— </w:t>
      </w:r>
      <w:r>
        <w:rPr>
          <w:rFonts w:ascii="Times New Roman" w:hAnsi="Times New Roman"/>
          <w:sz w:val="20"/>
        </w:rPr>
        <w:t>Multimodal Deep Learning, Injury Assessment, Variational Quantum Classifier, YOLO11, EfficientNetV2, ResNet34-U-Net, Sensor Telemetry, Explainable AI, Emergency Triage.</w:t>
      </w:r>
    </w:p>
    <w:p>
      <w:pPr>
        <w:spacing w:before="240" w:after="80"/>
      </w:pPr>
      <w:r>
        <w:rPr>
          <w:rFonts w:ascii="Times New Roman" w:hAnsi="Times New Roman"/>
          <w:b/>
          <w:sz w:val="24"/>
        </w:rPr>
        <w:t>I. INTRODUCTION</w:t>
      </w:r>
    </w:p>
    <w:p>
      <w:pPr>
        <w:spacing w:after="80" w:line="264" w:lineRule="auto"/>
        <w:jc w:val="both"/>
      </w:pPr>
      <w:r>
        <w:rPr>
          <w:rFonts w:ascii="Times New Roman" w:hAnsi="Times New Roman"/>
          <w:sz w:val="20"/>
        </w:rPr>
        <w:t>Acute physical trauma resulting from vehicular collisions, falls, occupational accidents, and athletic injuries represents a substantial global health burden. During pre-hospital or remote emergencies, non-specialist individuals often lack immediate access to certified triage clinicians and struggle to assess injury severity or formulate appropriate initial responses. Conventional automated triage systems commonly rely on a single data modality—such as dermatological photographs—which fails to capture internal biomechanical stress, kinetic impact velocity, or subjective functional impairment.</w:t>
        <w:br/>
        <w:br/>
        <w:t>To address these diagnostic limitations, AI-QTriage introduces a multi-tier framework combining computer vision, symptom questionnaires, and high-frequency inertial sensor telemetry. The architecture processes inputs through specialized model pipelines, fuses them into a canonical 23-dimensional feature space, and evaluates triage severity using classical gradient boosting while benchmarking a four-qubit variational quantum circuit. Explainability is integrated directly via spatial bounding boxes, pixel segmentation masks, Grad-CAM visual heatmaps, and SHAP feature attribution.</w:t>
        <w:br/>
        <w:br/>
        <w:t>Crucially, the system is designed strictly as an academic research prototype and does not claim clinical clearance. The multimodal fusion evaluation operates on synthetic research vectors generated under rule-derived research categories. The VQC runs via classical CPU simulation on PennyLane without claiming quantum computational advantage. This paper establishes the feasibility of the end-to-end multimodal architecture, reconciles conflicting baseline metrics, and provides reproducible benchmarks across all subsystems.</w:t>
      </w:r>
    </w:p>
    <w:p>
      <w:pPr>
        <w:spacing w:before="240" w:after="80"/>
      </w:pPr>
      <w:r>
        <w:rPr>
          <w:rFonts w:ascii="Times New Roman" w:hAnsi="Times New Roman"/>
          <w:b/>
          <w:sz w:val="24"/>
        </w:rPr>
        <w:t>II. LITERATURE REVIEW</w:t>
      </w:r>
    </w:p>
    <w:p>
      <w:pPr>
        <w:spacing w:after="80" w:line="264" w:lineRule="auto"/>
        <w:jc w:val="both"/>
      </w:pPr>
      <w:r>
        <w:rPr>
          <w:rFonts w:ascii="Times New Roman" w:hAnsi="Times New Roman"/>
          <w:sz w:val="20"/>
        </w:rPr>
        <w:t>Multimodal biomedical AI has emerged as a promising paradigm for integrating heterogeneous health records, clinical imaging, and physiological signals [1], [2], [7]. In dermatological and wound analysis, deep convolutional architectures such as EfficientNetV2 have demonstrated superior parameter efficiency and high classification accuracy across diverse cutaneous lesions [3], [4]. For localized tissue boundary delineation, encoder-decoder architectures with skip connections such as U-Net [5] remain the gold standard for clinical image segmentation. Explainability in computer vision has been largely driven by gradient-weighted class activation mapping (Grad-CAM) [6], which provides transparent visual localization of decision-critical features.</w:t>
        <w:br/>
        <w:br/>
        <w:t>In physical trauma analysis, wearable and smartphone-based inertial measurement units (IMUs) have been widely deployed for automated fall detection using established public benchmarks including SisFall [9], the UCI Human Activity Recognition (HAR) dataset [10], and the UP-Fall multimodal framework [11]. For structured tabular classification, XGBoost [8] offers robust gradient-boosted decision tree optimization amenable to Shapley additive explanations (SHAP) [12]. Recent explorations in quantum machine learning have evaluated parameterized quantum circuits and Variational Quantum Classifiers (VQCs) for binary and multiclass medical data [13]. However, systematic evaluations consistently show that current noisy intermediate-scale quantum (NISQ) algorithms simulated on classical hardware do not yet outperform classical ensembles. AI-QTriage builds on these foundations by integrating localized object detection, segmentation, whole-image classification, IMU kinetic modeling, and simulated quantum circuits into an integrated triage workflow.</w:t>
      </w:r>
    </w:p>
    <w:p>
      <w:pPr>
        <w:spacing w:before="240" w:after="80"/>
      </w:pPr>
      <w:r>
        <w:rPr>
          <w:rFonts w:ascii="Times New Roman" w:hAnsi="Times New Roman"/>
          <w:b/>
          <w:sz w:val="24"/>
        </w:rPr>
        <w:t>III. PROPOSED METHODOLOGY</w:t>
      </w:r>
    </w:p>
    <w:p>
      <w:pPr>
        <w:spacing w:before="160" w:after="60"/>
      </w:pPr>
      <w:r>
        <w:rPr>
          <w:rFonts w:ascii="Times New Roman" w:hAnsi="Times New Roman"/>
          <w:b/>
          <w:i/>
          <w:sz w:val="22"/>
        </w:rPr>
        <w:t>3.1. Dataset Acquisition and Partitioning</w:t>
      </w:r>
    </w:p>
    <w:p>
      <w:pPr>
        <w:spacing w:after="80" w:line="264" w:lineRule="auto"/>
        <w:jc w:val="both"/>
      </w:pPr>
      <w:r>
        <w:rPr>
          <w:rFonts w:ascii="Times New Roman" w:hAnsi="Times New Roman"/>
          <w:sz w:val="20"/>
        </w:rPr>
        <w:t>AI-QTriage utilizes four distinct datasets to train and evaluate its component models:</w:t>
        <w:br/>
        <w:t>1. Photographic Trauma Detection Dataset: Evaluated on 123 authentic photographic wound images comprising 412 annotated bounding-box instances across cuts, bruises, and open wounds. The dataset is partitioned into 83 training images (288 wound, 12 bruise, 15 cut boxes), 17 validation images (70 wound, 1 bruise, 2 cut boxes), and 23 held-out test images (65 wound, 4 bruise, 5 cut boxes). An auxiliary baseline dataset of 126 synthetic drawings (87 train / 20 val / 19 test) was examined during preliminary training.</w:t>
        <w:br/>
        <w:t>2. Photographic Wound Classification Dataset: Sourced from public Kaggle multiclass wound repositories comprising 2,000+ images across 8 categories (abrasion, bruise, burn, cut, laceration, wound, normal skin, and out-of-distribution reject controls). The independent held-out test split consists of 473 photographic images.</w:t>
        <w:br/>
        <w:t>3. Photographic Wound Segmentation Dataset: Sourced from AZH, WSEG, and Medetec clinical repositories. To prevent data leakage, exact and near-duplicate images were removed via perceptual hashing (pHash), yielding 414 image-mask pairs divided under strict subject-aware isolation into 276 training, 69 validation, and 69 held-out test pairs.</w:t>
        <w:br/>
        <w:t>4. Real-World Sensor Telemetry Dataset: Extracted from SisFall and UCI HAR tri-axial accelerometer recordings. Continuous 50 Hz signals were segmented into 2.5-second non-overlapping windows (125 time steps), yielding 6,505 windows partitioned under subject-level segregation into 4,247 training windows, 1,030 validation windows, and 1,228 held-out test windows (720 normal activity, 448 fall, 60 impact).</w:t>
        <w:br/>
        <w:t>5. Synthetic Multimodal Dataset: A benchmark set of 200 vectors generated via controlled parametric distributions (140 training, 30 validation, 30 held-out test vectors). Labels (LOW, MODERATE, HIGH) were assigned using deterministic research rules based on a linear severity index.</w:t>
      </w:r>
    </w:p>
    <w:p>
      <w:pPr>
        <w:spacing w:before="160" w:after="60"/>
      </w:pPr>
      <w:r>
        <w:rPr>
          <w:rFonts w:ascii="Times New Roman" w:hAnsi="Times New Roman"/>
          <w:b/>
          <w:i/>
          <w:sz w:val="22"/>
        </w:rPr>
        <w:t>3.2. YOLO11 Bounding-Box Detection and ROI Localization</w:t>
      </w:r>
    </w:p>
    <w:p>
      <w:pPr>
        <w:spacing w:after="80" w:line="264" w:lineRule="auto"/>
        <w:jc w:val="both"/>
      </w:pPr>
      <w:r>
        <w:rPr>
          <w:rFonts w:ascii="Times New Roman" w:hAnsi="Times New Roman"/>
          <w:sz w:val="20"/>
        </w:rPr>
        <w:t>Visible surface trauma is localized using an Ultralytics YOLO11n object detector [14], following recent clinical object-detection paradigms for localized injury identification [15]. Bounding boxes B = [x1, y1, x2, y2] are predicted with confidence score p. Detections are retained when p &gt;= tau_det, where the production inference threshold is set to tau_det = 0.25. Rather than directly assigning the patient's global triage category, YOLO11 provides spatial bounding coordinates to crop the Region of Interest (ROI) and calculate the lesion bounding area ratio as an auxiliary feature.</w:t>
      </w:r>
    </w:p>
    <w:p>
      <w:pPr>
        <w:spacing w:before="160" w:after="60"/>
      </w:pPr>
      <w:r>
        <w:rPr>
          <w:rFonts w:ascii="Times New Roman" w:hAnsi="Times New Roman"/>
          <w:b/>
          <w:i/>
          <w:sz w:val="22"/>
        </w:rPr>
        <w:t>3.3. EfficientNetV2-S Classification and Grad-CAM</w:t>
      </w:r>
    </w:p>
    <w:p>
      <w:pPr>
        <w:spacing w:after="80" w:line="264" w:lineRule="auto"/>
        <w:jc w:val="both"/>
      </w:pPr>
      <w:r>
        <w:rPr>
          <w:rFonts w:ascii="Times New Roman" w:hAnsi="Times New Roman"/>
          <w:sz w:val="20"/>
        </w:rPr>
        <w:t>Whole-image and cropped ROI classification is executed by an EfficientNetV2-S convolutional backbone. Softmax probabilities are computed across supported trauma classes. To eliminate severe out-of-distribution (OOD) collapse—wherein blank skin previously misclassified as swelling—the swelling head was deactivated and an explicit OOD reject class was trained. Interpretability is provided by Grad-CAM visual heatmaps, which are automatically withheld if image quality gates (contrast, blur, darkness) fail or if the classifier prediction lacks confidence.</w:t>
      </w:r>
    </w:p>
    <w:p>
      <w:pPr>
        <w:spacing w:before="160" w:after="60"/>
      </w:pPr>
      <w:r>
        <w:rPr>
          <w:rFonts w:ascii="Times New Roman" w:hAnsi="Times New Roman"/>
          <w:b/>
          <w:i/>
          <w:sz w:val="22"/>
        </w:rPr>
        <w:t>3.4. ResNet34-U-Net Lesion Segmentation</w:t>
      </w:r>
    </w:p>
    <w:p>
      <w:pPr>
        <w:spacing w:after="80" w:line="264" w:lineRule="auto"/>
        <w:jc w:val="both"/>
      </w:pPr>
      <w:r>
        <w:rPr>
          <w:rFonts w:ascii="Times New Roman" w:hAnsi="Times New Roman"/>
          <w:sz w:val="20"/>
        </w:rPr>
        <w:t>Pixel-level lesion area estimation is performed by a ResNet34-U-Net architecture. Given input ROI x, the network generates continuous probability map M_prob(x, y) in [0, 1]. Binary segmentation masks are generated using a fixed probability threshold tau = 0.50:</w:t>
        <w:br/>
        <w:t>M(x, y) = 1 if M_prob(x, y) &gt;= 0.50, else 0.</w:t>
        <w:br/>
        <w:t>Segmentation quality is evaluated via the Dice similarity coefficient and Intersection over Union (IoU).</w:t>
      </w:r>
    </w:p>
    <w:p>
      <w:pPr>
        <w:spacing w:before="160" w:after="60"/>
      </w:pPr>
      <w:r>
        <w:rPr>
          <w:rFonts w:ascii="Times New Roman" w:hAnsi="Times New Roman"/>
          <w:b/>
          <w:i/>
          <w:sz w:val="22"/>
        </w:rPr>
        <w:t>3.5. Symptom Questionnaire Processing and Pain Normalization</w:t>
      </w:r>
    </w:p>
    <w:p>
      <w:pPr>
        <w:spacing w:after="80" w:line="264" w:lineRule="auto"/>
        <w:jc w:val="both"/>
      </w:pPr>
      <w:r>
        <w:rPr>
          <w:rFonts w:ascii="Times New Roman" w:hAnsi="Times New Roman"/>
          <w:sz w:val="20"/>
        </w:rPr>
        <w:t>The clinical questionnaire collects contextual variables unavailable from images. Crucially, the raw patient-reported integer pain score P in {0, 1, ..., 10} is normalized into continuous feature F7 via:</w:t>
        <w:br/>
        <w:t>F7 = P / 10.0 in [0.0, 1.0].</w:t>
        <w:br/>
        <w:t>Injury mechanisms are one-hot encoded, and mobility and weight-bearing limitations are mapped to ordinal values: None = 0.0, Mild/Limited = 0.5, and Severe/Immobile = 1.0.</w:t>
      </w:r>
    </w:p>
    <w:p>
      <w:pPr>
        <w:spacing w:before="160" w:after="60"/>
      </w:pPr>
      <w:r>
        <w:rPr>
          <w:rFonts w:ascii="Times New Roman" w:hAnsi="Times New Roman"/>
          <w:b/>
          <w:i/>
          <w:sz w:val="22"/>
        </w:rPr>
        <w:t>3.6. Sensor Telemetry Feature Extraction</w:t>
      </w:r>
    </w:p>
    <w:p>
      <w:pPr>
        <w:spacing w:after="80" w:line="264" w:lineRule="auto"/>
        <w:jc w:val="both"/>
      </w:pPr>
      <w:r>
        <w:rPr>
          <w:rFonts w:ascii="Times New Roman" w:hAnsi="Times New Roman"/>
          <w:sz w:val="20"/>
        </w:rPr>
        <w:t>Tri-axial accelerometer data a(t) = (a_x, a_y, a_z) are validated for 40–50 Hz sampling continuity. Kinetic parameters are extracted across each time series:</w:t>
        <w:br/>
        <w:t>1. Peak Impact Acceleration: peak_g = max_t (||a(t)|| / 9.80665) in g units.</w:t>
        <w:br/>
        <w:t>2. Pre-Impact Velocity Change: delta_v = integral ||a(t)|| dt over the 1.0 s window preceding peak impact.</w:t>
        <w:br/>
        <w:t>3. Physical Stabilization Duration: Time required following impact for acceleration magnitude to remain settled below 1.5g for at least 0.5 s.</w:t>
        <w:br/>
        <w:t>4. Optical Lux Drop: Binary flag indicating whether ambient illuminance dropped below 10.0 lux at impact.</w:t>
        <w:br/>
        <w:t>A gradient-boosted decision tree classifies the window into normal_activity, fall, or impact.</w:t>
      </w:r>
    </w:p>
    <w:p>
      <w:pPr>
        <w:spacing w:before="160" w:after="60"/>
      </w:pPr>
      <w:r>
        <w:rPr>
          <w:rFonts w:ascii="Times New Roman" w:hAnsi="Times New Roman"/>
          <w:b/>
          <w:i/>
          <w:sz w:val="22"/>
        </w:rPr>
        <w:t>3.7. Canonical 23-Dimensional Multimodal Feature Vector Schema</w:t>
      </w:r>
    </w:p>
    <w:p>
      <w:pPr>
        <w:spacing w:after="80" w:line="264" w:lineRule="auto"/>
        <w:jc w:val="both"/>
      </w:pPr>
      <w:r>
        <w:rPr>
          <w:rFonts w:ascii="Times New Roman" w:hAnsi="Times New Roman"/>
          <w:sz w:val="20"/>
        </w:rPr>
        <w:t>Extracted features are fused into a canonical vector F = [F_vision, F_questionnaire, F_sensor] in R^23 following the Option-A missingness protocol (when a modality is absent, its presence indicator is 0.0 and its corresponding feature dimensions are represented as explicit zeros). The complete 23-feature breakdown is documented in Table I.</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E8EEF5"/>
          </w:tcPr>
          <w:p>
            <w:pPr>
              <w:spacing w:before="40" w:after="40"/>
            </w:pPr>
            <w:r>
              <w:rPr>
                <w:rFonts w:ascii="Times New Roman" w:hAnsi="Times New Roman"/>
                <w:b/>
                <w:sz w:val="18"/>
              </w:rPr>
              <w:t>Feature ID</w:t>
            </w:r>
          </w:p>
        </w:tc>
        <w:tc>
          <w:tcPr>
            <w:tcW w:type="dxa" w:w="2520"/>
            <w:vAlign w:val="center"/>
            <w:shd w:fill="E8EEF5"/>
          </w:tcPr>
          <w:p>
            <w:pPr>
              <w:spacing w:before="40" w:after="40"/>
            </w:pPr>
            <w:r>
              <w:rPr>
                <w:rFonts w:ascii="Times New Roman" w:hAnsi="Times New Roman"/>
                <w:b/>
                <w:sz w:val="18"/>
              </w:rPr>
              <w:t>Feature Name</w:t>
            </w:r>
          </w:p>
        </w:tc>
        <w:tc>
          <w:tcPr>
            <w:tcW w:type="dxa" w:w="2520"/>
            <w:vAlign w:val="center"/>
            <w:shd w:fill="E8EEF5"/>
          </w:tcPr>
          <w:p>
            <w:pPr>
              <w:spacing w:before="40" w:after="40"/>
            </w:pPr>
            <w:r>
              <w:rPr>
                <w:rFonts w:ascii="Times New Roman" w:hAnsi="Times New Roman"/>
                <w:b/>
                <w:sz w:val="18"/>
              </w:rPr>
              <w:t>Modality</w:t>
            </w:r>
          </w:p>
        </w:tc>
        <w:tc>
          <w:tcPr>
            <w:tcW w:type="dxa" w:w="2520"/>
            <w:vAlign w:val="center"/>
            <w:shd w:fill="E8EEF5"/>
          </w:tcPr>
          <w:p>
            <w:pPr>
              <w:spacing w:before="40" w:after="40"/>
            </w:pPr>
            <w:r>
              <w:rPr>
                <w:rFonts w:ascii="Times New Roman" w:hAnsi="Times New Roman"/>
                <w:b/>
                <w:sz w:val="18"/>
              </w:rPr>
              <w:t>Description &amp; Range</w:t>
            </w:r>
          </w:p>
        </w:tc>
      </w:tr>
      <w:tr>
        <w:tc>
          <w:tcPr>
            <w:tcW w:type="dxa" w:w="2520"/>
            <w:vAlign w:val="center"/>
          </w:tcPr>
          <w:p>
            <w:pPr>
              <w:spacing w:before="40" w:after="40"/>
            </w:pPr>
            <w:r>
              <w:rPr>
                <w:rFonts w:ascii="Times New Roman" w:hAnsi="Times New Roman"/>
                <w:sz w:val="18"/>
              </w:rPr>
              <w:t>F0</w:t>
            </w:r>
          </w:p>
        </w:tc>
        <w:tc>
          <w:tcPr>
            <w:tcW w:type="dxa" w:w="2520"/>
            <w:vAlign w:val="center"/>
          </w:tcPr>
          <w:p>
            <w:pPr>
              <w:spacing w:before="40" w:after="40"/>
            </w:pPr>
            <w:r>
              <w:rPr>
                <w:rFonts w:ascii="Times New Roman" w:hAnsi="Times New Roman"/>
                <w:sz w:val="18"/>
              </w:rPr>
              <w:t>vision_present</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Binary presence indicator {0.0, 1.0}</w:t>
            </w:r>
          </w:p>
        </w:tc>
      </w:tr>
      <w:tr>
        <w:tc>
          <w:tcPr>
            <w:tcW w:type="dxa" w:w="2520"/>
            <w:vAlign w:val="center"/>
          </w:tcPr>
          <w:p>
            <w:pPr>
              <w:spacing w:before="40" w:after="40"/>
            </w:pPr>
            <w:r>
              <w:rPr>
                <w:rFonts w:ascii="Times New Roman" w:hAnsi="Times New Roman"/>
                <w:sz w:val="18"/>
              </w:rPr>
              <w:t>F1</w:t>
            </w:r>
          </w:p>
        </w:tc>
        <w:tc>
          <w:tcPr>
            <w:tcW w:type="dxa" w:w="2520"/>
            <w:vAlign w:val="center"/>
          </w:tcPr>
          <w:p>
            <w:pPr>
              <w:spacing w:before="40" w:after="40"/>
            </w:pPr>
            <w:r>
              <w:rPr>
                <w:rFonts w:ascii="Times New Roman" w:hAnsi="Times New Roman"/>
                <w:sz w:val="18"/>
              </w:rPr>
              <w:t>prob_cut</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EfficientNetV2 cut probability [0.0, 1.0]</w:t>
            </w:r>
          </w:p>
        </w:tc>
      </w:tr>
      <w:tr>
        <w:tc>
          <w:tcPr>
            <w:tcW w:type="dxa" w:w="2520"/>
            <w:vAlign w:val="center"/>
          </w:tcPr>
          <w:p>
            <w:pPr>
              <w:spacing w:before="40" w:after="40"/>
            </w:pPr>
            <w:r>
              <w:rPr>
                <w:rFonts w:ascii="Times New Roman" w:hAnsi="Times New Roman"/>
                <w:sz w:val="18"/>
              </w:rPr>
              <w:t>F2</w:t>
            </w:r>
          </w:p>
        </w:tc>
        <w:tc>
          <w:tcPr>
            <w:tcW w:type="dxa" w:w="2520"/>
            <w:vAlign w:val="center"/>
          </w:tcPr>
          <w:p>
            <w:pPr>
              <w:spacing w:before="40" w:after="40"/>
            </w:pPr>
            <w:r>
              <w:rPr>
                <w:rFonts w:ascii="Times New Roman" w:hAnsi="Times New Roman"/>
                <w:sz w:val="18"/>
              </w:rPr>
              <w:t>prob_bruise</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EfficientNetV2 bruise probability [0.0, 1.0]</w:t>
            </w:r>
          </w:p>
        </w:tc>
      </w:tr>
      <w:tr>
        <w:tc>
          <w:tcPr>
            <w:tcW w:type="dxa" w:w="2520"/>
            <w:vAlign w:val="center"/>
          </w:tcPr>
          <w:p>
            <w:pPr>
              <w:spacing w:before="40" w:after="40"/>
            </w:pPr>
            <w:r>
              <w:rPr>
                <w:rFonts w:ascii="Times New Roman" w:hAnsi="Times New Roman"/>
                <w:sz w:val="18"/>
              </w:rPr>
              <w:t>F3</w:t>
            </w:r>
          </w:p>
        </w:tc>
        <w:tc>
          <w:tcPr>
            <w:tcW w:type="dxa" w:w="2520"/>
            <w:vAlign w:val="center"/>
          </w:tcPr>
          <w:p>
            <w:pPr>
              <w:spacing w:before="40" w:after="40"/>
            </w:pPr>
            <w:r>
              <w:rPr>
                <w:rFonts w:ascii="Times New Roman" w:hAnsi="Times New Roman"/>
                <w:sz w:val="18"/>
              </w:rPr>
              <w:t>prob_swelling</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Deactivated legacy feature (hardcoded 0.0)</w:t>
            </w:r>
          </w:p>
        </w:tc>
      </w:tr>
      <w:tr>
        <w:tc>
          <w:tcPr>
            <w:tcW w:type="dxa" w:w="2520"/>
            <w:vAlign w:val="center"/>
          </w:tcPr>
          <w:p>
            <w:pPr>
              <w:spacing w:before="40" w:after="40"/>
            </w:pPr>
            <w:r>
              <w:rPr>
                <w:rFonts w:ascii="Times New Roman" w:hAnsi="Times New Roman"/>
                <w:sz w:val="18"/>
              </w:rPr>
              <w:t>F4</w:t>
            </w:r>
          </w:p>
        </w:tc>
        <w:tc>
          <w:tcPr>
            <w:tcW w:type="dxa" w:w="2520"/>
            <w:vAlign w:val="center"/>
          </w:tcPr>
          <w:p>
            <w:pPr>
              <w:spacing w:before="40" w:after="40"/>
            </w:pPr>
            <w:r>
              <w:rPr>
                <w:rFonts w:ascii="Times New Roman" w:hAnsi="Times New Roman"/>
                <w:sz w:val="18"/>
              </w:rPr>
              <w:t>prob_other</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Max probability across other injury/reject classes [0.0, 1.0]</w:t>
            </w:r>
          </w:p>
        </w:tc>
      </w:tr>
      <w:tr>
        <w:tc>
          <w:tcPr>
            <w:tcW w:type="dxa" w:w="2520"/>
            <w:vAlign w:val="center"/>
          </w:tcPr>
          <w:p>
            <w:pPr>
              <w:spacing w:before="40" w:after="40"/>
            </w:pPr>
            <w:r>
              <w:rPr>
                <w:rFonts w:ascii="Times New Roman" w:hAnsi="Times New Roman"/>
                <w:sz w:val="18"/>
              </w:rPr>
              <w:t>F5</w:t>
            </w:r>
          </w:p>
        </w:tc>
        <w:tc>
          <w:tcPr>
            <w:tcW w:type="dxa" w:w="2520"/>
            <w:vAlign w:val="center"/>
          </w:tcPr>
          <w:p>
            <w:pPr>
              <w:spacing w:before="40" w:after="40"/>
            </w:pPr>
            <w:r>
              <w:rPr>
                <w:rFonts w:ascii="Times New Roman" w:hAnsi="Times New Roman"/>
                <w:sz w:val="18"/>
              </w:rPr>
              <w:t>affected_ratio</w:t>
            </w:r>
          </w:p>
        </w:tc>
        <w:tc>
          <w:tcPr>
            <w:tcW w:type="dxa" w:w="2520"/>
            <w:vAlign w:val="center"/>
          </w:tcPr>
          <w:p>
            <w:pPr>
              <w:spacing w:before="40" w:after="40"/>
            </w:pPr>
            <w:r>
              <w:rPr>
                <w:rFonts w:ascii="Times New Roman" w:hAnsi="Times New Roman"/>
                <w:sz w:val="18"/>
              </w:rPr>
              <w:t>Vision</w:t>
            </w:r>
          </w:p>
        </w:tc>
        <w:tc>
          <w:tcPr>
            <w:tcW w:type="dxa" w:w="2520"/>
            <w:vAlign w:val="center"/>
          </w:tcPr>
          <w:p>
            <w:pPr>
              <w:spacing w:before="40" w:after="40"/>
            </w:pPr>
            <w:r>
              <w:rPr>
                <w:rFonts w:ascii="Times New Roman" w:hAnsi="Times New Roman"/>
                <w:sz w:val="18"/>
              </w:rPr>
              <w:t>U-Net segmented lesion area / image area [0.0, 1.0]</w:t>
            </w:r>
          </w:p>
        </w:tc>
      </w:tr>
      <w:tr>
        <w:tc>
          <w:tcPr>
            <w:tcW w:type="dxa" w:w="2520"/>
            <w:vAlign w:val="center"/>
          </w:tcPr>
          <w:p>
            <w:pPr>
              <w:spacing w:before="40" w:after="40"/>
            </w:pPr>
            <w:r>
              <w:rPr>
                <w:rFonts w:ascii="Times New Roman" w:hAnsi="Times New Roman"/>
                <w:sz w:val="18"/>
              </w:rPr>
              <w:t>F6</w:t>
            </w:r>
          </w:p>
        </w:tc>
        <w:tc>
          <w:tcPr>
            <w:tcW w:type="dxa" w:w="2520"/>
            <w:vAlign w:val="center"/>
          </w:tcPr>
          <w:p>
            <w:pPr>
              <w:spacing w:before="40" w:after="40"/>
            </w:pPr>
            <w:r>
              <w:rPr>
                <w:rFonts w:ascii="Times New Roman" w:hAnsi="Times New Roman"/>
                <w:sz w:val="18"/>
              </w:rPr>
              <w:t>questionnaire_present</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Binary presence indicator {0.0, 1.0}</w:t>
            </w:r>
          </w:p>
        </w:tc>
      </w:tr>
      <w:tr>
        <w:tc>
          <w:tcPr>
            <w:tcW w:type="dxa" w:w="2520"/>
            <w:vAlign w:val="center"/>
          </w:tcPr>
          <w:p>
            <w:pPr>
              <w:spacing w:before="40" w:after="40"/>
            </w:pPr>
            <w:r>
              <w:rPr>
                <w:rFonts w:ascii="Times New Roman" w:hAnsi="Times New Roman"/>
                <w:sz w:val="18"/>
              </w:rPr>
              <w:t>F7</w:t>
            </w:r>
          </w:p>
        </w:tc>
        <w:tc>
          <w:tcPr>
            <w:tcW w:type="dxa" w:w="2520"/>
            <w:vAlign w:val="center"/>
          </w:tcPr>
          <w:p>
            <w:pPr>
              <w:spacing w:before="40" w:after="40"/>
            </w:pPr>
            <w:r>
              <w:rPr>
                <w:rFonts w:ascii="Times New Roman" w:hAnsi="Times New Roman"/>
                <w:sz w:val="18"/>
              </w:rPr>
              <w:t>pain_level</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Normalized pain level: P_raw / 10.0 in [0.0, 1.0]</w:t>
            </w:r>
          </w:p>
        </w:tc>
      </w:tr>
      <w:tr>
        <w:tc>
          <w:tcPr>
            <w:tcW w:type="dxa" w:w="2520"/>
            <w:vAlign w:val="center"/>
          </w:tcPr>
          <w:p>
            <w:pPr>
              <w:spacing w:before="40" w:after="40"/>
            </w:pPr>
            <w:r>
              <w:rPr>
                <w:rFonts w:ascii="Times New Roman" w:hAnsi="Times New Roman"/>
                <w:sz w:val="18"/>
              </w:rPr>
              <w:t>F8</w:t>
            </w:r>
          </w:p>
        </w:tc>
        <w:tc>
          <w:tcPr>
            <w:tcW w:type="dxa" w:w="2520"/>
            <w:vAlign w:val="center"/>
          </w:tcPr>
          <w:p>
            <w:pPr>
              <w:spacing w:before="40" w:after="40"/>
            </w:pPr>
            <w:r>
              <w:rPr>
                <w:rFonts w:ascii="Times New Roman" w:hAnsi="Times New Roman"/>
                <w:sz w:val="18"/>
              </w:rPr>
              <w:t>mech_fall</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One-hot mechanism: fall / accident {0.0, 1.0}</w:t>
            </w:r>
          </w:p>
        </w:tc>
      </w:tr>
      <w:tr>
        <w:tc>
          <w:tcPr>
            <w:tcW w:type="dxa" w:w="2520"/>
            <w:vAlign w:val="center"/>
          </w:tcPr>
          <w:p>
            <w:pPr>
              <w:spacing w:before="40" w:after="40"/>
            </w:pPr>
            <w:r>
              <w:rPr>
                <w:rFonts w:ascii="Times New Roman" w:hAnsi="Times New Roman"/>
                <w:sz w:val="18"/>
              </w:rPr>
              <w:t>F9</w:t>
            </w:r>
          </w:p>
        </w:tc>
        <w:tc>
          <w:tcPr>
            <w:tcW w:type="dxa" w:w="2520"/>
            <w:vAlign w:val="center"/>
          </w:tcPr>
          <w:p>
            <w:pPr>
              <w:spacing w:before="40" w:after="40"/>
            </w:pPr>
            <w:r>
              <w:rPr>
                <w:rFonts w:ascii="Times New Roman" w:hAnsi="Times New Roman"/>
                <w:sz w:val="18"/>
              </w:rPr>
              <w:t>mech_impact</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One-hot mechanism: direct blow / collision {0.0, 1.0}</w:t>
            </w:r>
          </w:p>
        </w:tc>
      </w:tr>
      <w:tr>
        <w:tc>
          <w:tcPr>
            <w:tcW w:type="dxa" w:w="2520"/>
            <w:vAlign w:val="center"/>
          </w:tcPr>
          <w:p>
            <w:pPr>
              <w:spacing w:before="40" w:after="40"/>
            </w:pPr>
            <w:r>
              <w:rPr>
                <w:rFonts w:ascii="Times New Roman" w:hAnsi="Times New Roman"/>
                <w:sz w:val="18"/>
              </w:rPr>
              <w:t>F10</w:t>
            </w:r>
          </w:p>
        </w:tc>
        <w:tc>
          <w:tcPr>
            <w:tcW w:type="dxa" w:w="2520"/>
            <w:vAlign w:val="center"/>
          </w:tcPr>
          <w:p>
            <w:pPr>
              <w:spacing w:before="40" w:after="40"/>
            </w:pPr>
            <w:r>
              <w:rPr>
                <w:rFonts w:ascii="Times New Roman" w:hAnsi="Times New Roman"/>
                <w:sz w:val="18"/>
              </w:rPr>
              <w:t>mech_sports</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One-hot mechanism: athletic / twisting trauma {0.0, 1.0}</w:t>
            </w:r>
          </w:p>
        </w:tc>
      </w:tr>
      <w:tr>
        <w:tc>
          <w:tcPr>
            <w:tcW w:type="dxa" w:w="2520"/>
            <w:vAlign w:val="center"/>
          </w:tcPr>
          <w:p>
            <w:pPr>
              <w:spacing w:before="40" w:after="40"/>
            </w:pPr>
            <w:r>
              <w:rPr>
                <w:rFonts w:ascii="Times New Roman" w:hAnsi="Times New Roman"/>
                <w:sz w:val="18"/>
              </w:rPr>
              <w:t>F11</w:t>
            </w:r>
          </w:p>
        </w:tc>
        <w:tc>
          <w:tcPr>
            <w:tcW w:type="dxa" w:w="2520"/>
            <w:vAlign w:val="center"/>
          </w:tcPr>
          <w:p>
            <w:pPr>
              <w:spacing w:before="40" w:after="40"/>
            </w:pPr>
            <w:r>
              <w:rPr>
                <w:rFonts w:ascii="Times New Roman" w:hAnsi="Times New Roman"/>
                <w:sz w:val="18"/>
              </w:rPr>
              <w:t>mech_sharp</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One-hot mechanism: sharp object laceration {0.0, 1.0}</w:t>
            </w:r>
          </w:p>
        </w:tc>
      </w:tr>
      <w:tr>
        <w:tc>
          <w:tcPr>
            <w:tcW w:type="dxa" w:w="2520"/>
            <w:vAlign w:val="center"/>
          </w:tcPr>
          <w:p>
            <w:pPr>
              <w:spacing w:before="40" w:after="40"/>
            </w:pPr>
            <w:r>
              <w:rPr>
                <w:rFonts w:ascii="Times New Roman" w:hAnsi="Times New Roman"/>
                <w:sz w:val="18"/>
              </w:rPr>
              <w:t>F12</w:t>
            </w:r>
          </w:p>
        </w:tc>
        <w:tc>
          <w:tcPr>
            <w:tcW w:type="dxa" w:w="2520"/>
            <w:vAlign w:val="center"/>
          </w:tcPr>
          <w:p>
            <w:pPr>
              <w:spacing w:before="40" w:after="40"/>
            </w:pPr>
            <w:r>
              <w:rPr>
                <w:rFonts w:ascii="Times New Roman" w:hAnsi="Times New Roman"/>
                <w:sz w:val="18"/>
              </w:rPr>
              <w:t>mech_other</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One-hot mechanism: other unlisted cause {0.0, 1.0}</w:t>
            </w:r>
          </w:p>
        </w:tc>
      </w:tr>
      <w:tr>
        <w:tc>
          <w:tcPr>
            <w:tcW w:type="dxa" w:w="2520"/>
            <w:vAlign w:val="center"/>
          </w:tcPr>
          <w:p>
            <w:pPr>
              <w:spacing w:before="40" w:after="40"/>
            </w:pPr>
            <w:r>
              <w:rPr>
                <w:rFonts w:ascii="Times New Roman" w:hAnsi="Times New Roman"/>
                <w:sz w:val="18"/>
              </w:rPr>
              <w:t>F13</w:t>
            </w:r>
          </w:p>
        </w:tc>
        <w:tc>
          <w:tcPr>
            <w:tcW w:type="dxa" w:w="2520"/>
            <w:vAlign w:val="center"/>
          </w:tcPr>
          <w:p>
            <w:pPr>
              <w:spacing w:before="40" w:after="40"/>
            </w:pPr>
            <w:r>
              <w:rPr>
                <w:rFonts w:ascii="Times New Roman" w:hAnsi="Times New Roman"/>
                <w:sz w:val="18"/>
              </w:rPr>
              <w:t>direct_impact</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User reported direct blunt impact {0.0, 1.0}</w:t>
            </w:r>
          </w:p>
        </w:tc>
      </w:tr>
      <w:tr>
        <w:tc>
          <w:tcPr>
            <w:tcW w:type="dxa" w:w="2520"/>
            <w:vAlign w:val="center"/>
          </w:tcPr>
          <w:p>
            <w:pPr>
              <w:spacing w:before="40" w:after="40"/>
            </w:pPr>
            <w:r>
              <w:rPr>
                <w:rFonts w:ascii="Times New Roman" w:hAnsi="Times New Roman"/>
                <w:sz w:val="18"/>
              </w:rPr>
              <w:t>F14</w:t>
            </w:r>
          </w:p>
        </w:tc>
        <w:tc>
          <w:tcPr>
            <w:tcW w:type="dxa" w:w="2520"/>
            <w:vAlign w:val="center"/>
          </w:tcPr>
          <w:p>
            <w:pPr>
              <w:spacing w:before="40" w:after="40"/>
            </w:pPr>
            <w:r>
              <w:rPr>
                <w:rFonts w:ascii="Times New Roman" w:hAnsi="Times New Roman"/>
                <w:sz w:val="18"/>
              </w:rPr>
              <w:t>visible_bleeding</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User reported active cutaneous bleeding {0.0, 1.0}</w:t>
            </w:r>
          </w:p>
        </w:tc>
      </w:tr>
      <w:tr>
        <w:tc>
          <w:tcPr>
            <w:tcW w:type="dxa" w:w="2520"/>
            <w:vAlign w:val="center"/>
          </w:tcPr>
          <w:p>
            <w:pPr>
              <w:spacing w:before="40" w:after="40"/>
            </w:pPr>
            <w:r>
              <w:rPr>
                <w:rFonts w:ascii="Times New Roman" w:hAnsi="Times New Roman"/>
                <w:sz w:val="18"/>
              </w:rPr>
              <w:t>F15</w:t>
            </w:r>
          </w:p>
        </w:tc>
        <w:tc>
          <w:tcPr>
            <w:tcW w:type="dxa" w:w="2520"/>
            <w:vAlign w:val="center"/>
          </w:tcPr>
          <w:p>
            <w:pPr>
              <w:spacing w:before="40" w:after="40"/>
            </w:pPr>
            <w:r>
              <w:rPr>
                <w:rFonts w:ascii="Times New Roman" w:hAnsi="Times New Roman"/>
                <w:sz w:val="18"/>
              </w:rPr>
              <w:t>movement_limitation</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Ordinal impairment: None=0.0, Limited=0.5, Immobile=1.0</w:t>
            </w:r>
          </w:p>
        </w:tc>
      </w:tr>
      <w:tr>
        <w:tc>
          <w:tcPr>
            <w:tcW w:type="dxa" w:w="2520"/>
            <w:vAlign w:val="center"/>
          </w:tcPr>
          <w:p>
            <w:pPr>
              <w:spacing w:before="40" w:after="40"/>
            </w:pPr>
            <w:r>
              <w:rPr>
                <w:rFonts w:ascii="Times New Roman" w:hAnsi="Times New Roman"/>
                <w:sz w:val="18"/>
              </w:rPr>
              <w:t>F16</w:t>
            </w:r>
          </w:p>
        </w:tc>
        <w:tc>
          <w:tcPr>
            <w:tcW w:type="dxa" w:w="2520"/>
            <w:vAlign w:val="center"/>
          </w:tcPr>
          <w:p>
            <w:pPr>
              <w:spacing w:before="40" w:after="40"/>
            </w:pPr>
            <w:r>
              <w:rPr>
                <w:rFonts w:ascii="Times New Roman" w:hAnsi="Times New Roman"/>
                <w:sz w:val="18"/>
              </w:rPr>
              <w:t>weight_bearing</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Ordinal impairment: Full=0.0, Partial=0.5, Unable=1.0</w:t>
            </w:r>
          </w:p>
        </w:tc>
      </w:tr>
      <w:tr>
        <w:tc>
          <w:tcPr>
            <w:tcW w:type="dxa" w:w="2520"/>
            <w:vAlign w:val="center"/>
          </w:tcPr>
          <w:p>
            <w:pPr>
              <w:spacing w:before="40" w:after="40"/>
            </w:pPr>
            <w:r>
              <w:rPr>
                <w:rFonts w:ascii="Times New Roman" w:hAnsi="Times New Roman"/>
                <w:sz w:val="18"/>
              </w:rPr>
              <w:t>F17</w:t>
            </w:r>
          </w:p>
        </w:tc>
        <w:tc>
          <w:tcPr>
            <w:tcW w:type="dxa" w:w="2520"/>
            <w:vAlign w:val="center"/>
          </w:tcPr>
          <w:p>
            <w:pPr>
              <w:spacing w:before="40" w:after="40"/>
            </w:pPr>
            <w:r>
              <w:rPr>
                <w:rFonts w:ascii="Times New Roman" w:hAnsi="Times New Roman"/>
                <w:sz w:val="18"/>
              </w:rPr>
              <w:t>crack_pop</w:t>
            </w:r>
          </w:p>
        </w:tc>
        <w:tc>
          <w:tcPr>
            <w:tcW w:type="dxa" w:w="2520"/>
            <w:vAlign w:val="center"/>
          </w:tcPr>
          <w:p>
            <w:pPr>
              <w:spacing w:before="40" w:after="40"/>
            </w:pPr>
            <w:r>
              <w:rPr>
                <w:rFonts w:ascii="Times New Roman" w:hAnsi="Times New Roman"/>
                <w:sz w:val="18"/>
              </w:rPr>
              <w:t>Survey</w:t>
            </w:r>
          </w:p>
        </w:tc>
        <w:tc>
          <w:tcPr>
            <w:tcW w:type="dxa" w:w="2520"/>
            <w:vAlign w:val="center"/>
          </w:tcPr>
          <w:p>
            <w:pPr>
              <w:spacing w:before="40" w:after="40"/>
            </w:pPr>
            <w:r>
              <w:rPr>
                <w:rFonts w:ascii="Times New Roman" w:hAnsi="Times New Roman"/>
                <w:sz w:val="18"/>
              </w:rPr>
              <w:t>Audible/palpable cracking sensation {0.0, 1.0}</w:t>
            </w:r>
          </w:p>
        </w:tc>
      </w:tr>
      <w:tr>
        <w:tc>
          <w:tcPr>
            <w:tcW w:type="dxa" w:w="2520"/>
            <w:vAlign w:val="center"/>
          </w:tcPr>
          <w:p>
            <w:pPr>
              <w:spacing w:before="40" w:after="40"/>
            </w:pPr>
            <w:r>
              <w:rPr>
                <w:rFonts w:ascii="Times New Roman" w:hAnsi="Times New Roman"/>
                <w:sz w:val="18"/>
              </w:rPr>
              <w:t>F18</w:t>
            </w:r>
          </w:p>
        </w:tc>
        <w:tc>
          <w:tcPr>
            <w:tcW w:type="dxa" w:w="2520"/>
            <w:vAlign w:val="center"/>
          </w:tcPr>
          <w:p>
            <w:pPr>
              <w:spacing w:before="40" w:after="40"/>
            </w:pPr>
            <w:r>
              <w:rPr>
                <w:rFonts w:ascii="Times New Roman" w:hAnsi="Times New Roman"/>
                <w:sz w:val="18"/>
              </w:rPr>
              <w:t>sensor_present</w:t>
            </w:r>
          </w:p>
        </w:tc>
        <w:tc>
          <w:tcPr>
            <w:tcW w:type="dxa" w:w="2520"/>
            <w:vAlign w:val="center"/>
          </w:tcPr>
          <w:p>
            <w:pPr>
              <w:spacing w:before="40" w:after="40"/>
            </w:pPr>
            <w:r>
              <w:rPr>
                <w:rFonts w:ascii="Times New Roman" w:hAnsi="Times New Roman"/>
                <w:sz w:val="18"/>
              </w:rPr>
              <w:t>Sensor</w:t>
            </w:r>
          </w:p>
        </w:tc>
        <w:tc>
          <w:tcPr>
            <w:tcW w:type="dxa" w:w="2520"/>
            <w:vAlign w:val="center"/>
          </w:tcPr>
          <w:p>
            <w:pPr>
              <w:spacing w:before="40" w:after="40"/>
            </w:pPr>
            <w:r>
              <w:rPr>
                <w:rFonts w:ascii="Times New Roman" w:hAnsi="Times New Roman"/>
                <w:sz w:val="18"/>
              </w:rPr>
              <w:t>Binary presence indicator {0.0, 1.0}</w:t>
            </w:r>
          </w:p>
        </w:tc>
      </w:tr>
      <w:tr>
        <w:tc>
          <w:tcPr>
            <w:tcW w:type="dxa" w:w="2520"/>
            <w:vAlign w:val="center"/>
          </w:tcPr>
          <w:p>
            <w:pPr>
              <w:spacing w:before="40" w:after="40"/>
            </w:pPr>
            <w:r>
              <w:rPr>
                <w:rFonts w:ascii="Times New Roman" w:hAnsi="Times New Roman"/>
                <w:sz w:val="18"/>
              </w:rPr>
              <w:t>F19</w:t>
            </w:r>
          </w:p>
        </w:tc>
        <w:tc>
          <w:tcPr>
            <w:tcW w:type="dxa" w:w="2520"/>
            <w:vAlign w:val="center"/>
          </w:tcPr>
          <w:p>
            <w:pPr>
              <w:spacing w:before="40" w:after="40"/>
            </w:pPr>
            <w:r>
              <w:rPr>
                <w:rFonts w:ascii="Times New Roman" w:hAnsi="Times New Roman"/>
                <w:sz w:val="18"/>
              </w:rPr>
              <w:t>peak_g_force</w:t>
            </w:r>
          </w:p>
        </w:tc>
        <w:tc>
          <w:tcPr>
            <w:tcW w:type="dxa" w:w="2520"/>
            <w:vAlign w:val="center"/>
          </w:tcPr>
          <w:p>
            <w:pPr>
              <w:spacing w:before="40" w:after="40"/>
            </w:pPr>
            <w:r>
              <w:rPr>
                <w:rFonts w:ascii="Times New Roman" w:hAnsi="Times New Roman"/>
                <w:sz w:val="18"/>
              </w:rPr>
              <w:t>Sensor</w:t>
            </w:r>
          </w:p>
        </w:tc>
        <w:tc>
          <w:tcPr>
            <w:tcW w:type="dxa" w:w="2520"/>
            <w:vAlign w:val="center"/>
          </w:tcPr>
          <w:p>
            <w:pPr>
              <w:spacing w:before="40" w:after="40"/>
            </w:pPr>
            <w:r>
              <w:rPr>
                <w:rFonts w:ascii="Times New Roman" w:hAnsi="Times New Roman"/>
                <w:sz w:val="18"/>
              </w:rPr>
              <w:t>Peak acceleration magnitude (g units, &gt;= 0.0)</w:t>
            </w:r>
          </w:p>
        </w:tc>
      </w:tr>
      <w:tr>
        <w:tc>
          <w:tcPr>
            <w:tcW w:type="dxa" w:w="2520"/>
            <w:vAlign w:val="center"/>
          </w:tcPr>
          <w:p>
            <w:pPr>
              <w:spacing w:before="40" w:after="40"/>
            </w:pPr>
            <w:r>
              <w:rPr>
                <w:rFonts w:ascii="Times New Roman" w:hAnsi="Times New Roman"/>
                <w:sz w:val="18"/>
              </w:rPr>
              <w:t>F20</w:t>
            </w:r>
          </w:p>
        </w:tc>
        <w:tc>
          <w:tcPr>
            <w:tcW w:type="dxa" w:w="2520"/>
            <w:vAlign w:val="center"/>
          </w:tcPr>
          <w:p>
            <w:pPr>
              <w:spacing w:before="40" w:after="40"/>
            </w:pPr>
            <w:r>
              <w:rPr>
                <w:rFonts w:ascii="Times New Roman" w:hAnsi="Times New Roman"/>
                <w:sz w:val="18"/>
              </w:rPr>
              <w:t>delta_v</w:t>
            </w:r>
          </w:p>
        </w:tc>
        <w:tc>
          <w:tcPr>
            <w:tcW w:type="dxa" w:w="2520"/>
            <w:vAlign w:val="center"/>
          </w:tcPr>
          <w:p>
            <w:pPr>
              <w:spacing w:before="40" w:after="40"/>
            </w:pPr>
            <w:r>
              <w:rPr>
                <w:rFonts w:ascii="Times New Roman" w:hAnsi="Times New Roman"/>
                <w:sz w:val="18"/>
              </w:rPr>
              <w:t>Sensor</w:t>
            </w:r>
          </w:p>
        </w:tc>
        <w:tc>
          <w:tcPr>
            <w:tcW w:type="dxa" w:w="2520"/>
            <w:vAlign w:val="center"/>
          </w:tcPr>
          <w:p>
            <w:pPr>
              <w:spacing w:before="40" w:after="40"/>
            </w:pPr>
            <w:r>
              <w:rPr>
                <w:rFonts w:ascii="Times New Roman" w:hAnsi="Times New Roman"/>
                <w:sz w:val="18"/>
              </w:rPr>
              <w:t>Pre-impact velocity change (m/s, &gt;= 0.0)</w:t>
            </w:r>
          </w:p>
        </w:tc>
      </w:tr>
      <w:tr>
        <w:tc>
          <w:tcPr>
            <w:tcW w:type="dxa" w:w="2520"/>
            <w:vAlign w:val="center"/>
          </w:tcPr>
          <w:p>
            <w:pPr>
              <w:spacing w:before="40" w:after="40"/>
            </w:pPr>
            <w:r>
              <w:rPr>
                <w:rFonts w:ascii="Times New Roman" w:hAnsi="Times New Roman"/>
                <w:sz w:val="18"/>
              </w:rPr>
              <w:t>F21</w:t>
            </w:r>
          </w:p>
        </w:tc>
        <w:tc>
          <w:tcPr>
            <w:tcW w:type="dxa" w:w="2520"/>
            <w:vAlign w:val="center"/>
          </w:tcPr>
          <w:p>
            <w:pPr>
              <w:spacing w:before="40" w:after="40"/>
            </w:pPr>
            <w:r>
              <w:rPr>
                <w:rFonts w:ascii="Times New Roman" w:hAnsi="Times New Roman"/>
                <w:sz w:val="18"/>
              </w:rPr>
              <w:t>stabilization_time</w:t>
            </w:r>
          </w:p>
        </w:tc>
        <w:tc>
          <w:tcPr>
            <w:tcW w:type="dxa" w:w="2520"/>
            <w:vAlign w:val="center"/>
          </w:tcPr>
          <w:p>
            <w:pPr>
              <w:spacing w:before="40" w:after="40"/>
            </w:pPr>
            <w:r>
              <w:rPr>
                <w:rFonts w:ascii="Times New Roman" w:hAnsi="Times New Roman"/>
                <w:sz w:val="18"/>
              </w:rPr>
              <w:t>Sensor</w:t>
            </w:r>
          </w:p>
        </w:tc>
        <w:tc>
          <w:tcPr>
            <w:tcW w:type="dxa" w:w="2520"/>
            <w:vAlign w:val="center"/>
          </w:tcPr>
          <w:p>
            <w:pPr>
              <w:spacing w:before="40" w:after="40"/>
            </w:pPr>
            <w:r>
              <w:rPr>
                <w:rFonts w:ascii="Times New Roman" w:hAnsi="Times New Roman"/>
                <w:sz w:val="18"/>
              </w:rPr>
              <w:t>Post-impact kinetic stabilization duration (s, &gt;= 0.0)</w:t>
            </w:r>
          </w:p>
        </w:tc>
      </w:tr>
      <w:tr>
        <w:tc>
          <w:tcPr>
            <w:tcW w:type="dxa" w:w="2520"/>
            <w:vAlign w:val="center"/>
          </w:tcPr>
          <w:p>
            <w:pPr>
              <w:spacing w:before="40" w:after="40"/>
            </w:pPr>
            <w:r>
              <w:rPr>
                <w:rFonts w:ascii="Times New Roman" w:hAnsi="Times New Roman"/>
                <w:sz w:val="18"/>
              </w:rPr>
              <w:t>F22</w:t>
            </w:r>
          </w:p>
        </w:tc>
        <w:tc>
          <w:tcPr>
            <w:tcW w:type="dxa" w:w="2520"/>
            <w:vAlign w:val="center"/>
          </w:tcPr>
          <w:p>
            <w:pPr>
              <w:spacing w:before="40" w:after="40"/>
            </w:pPr>
            <w:r>
              <w:rPr>
                <w:rFonts w:ascii="Times New Roman" w:hAnsi="Times New Roman"/>
                <w:sz w:val="18"/>
              </w:rPr>
              <w:t>lux_drop</w:t>
            </w:r>
          </w:p>
        </w:tc>
        <w:tc>
          <w:tcPr>
            <w:tcW w:type="dxa" w:w="2520"/>
            <w:vAlign w:val="center"/>
          </w:tcPr>
          <w:p>
            <w:pPr>
              <w:spacing w:before="40" w:after="40"/>
            </w:pPr>
            <w:r>
              <w:rPr>
                <w:rFonts w:ascii="Times New Roman" w:hAnsi="Times New Roman"/>
                <w:sz w:val="18"/>
              </w:rPr>
              <w:t>Sensor</w:t>
            </w:r>
          </w:p>
        </w:tc>
        <w:tc>
          <w:tcPr>
            <w:tcW w:type="dxa" w:w="2520"/>
            <w:vAlign w:val="center"/>
          </w:tcPr>
          <w:p>
            <w:pPr>
              <w:spacing w:before="40" w:after="40"/>
            </w:pPr>
            <w:r>
              <w:rPr>
                <w:rFonts w:ascii="Times New Roman" w:hAnsi="Times New Roman"/>
                <w:sz w:val="18"/>
              </w:rPr>
              <w:t>Ambient illuminance occlusion drop &lt; 10 lux {0.0, 1.0}</w:t>
            </w:r>
          </w:p>
        </w:tc>
      </w:tr>
    </w:tbl>
    <w:p>
      <w:pPr>
        <w:jc w:val="center"/>
      </w:pPr>
      <w:r>
        <w:rPr>
          <w:b/>
          <w:sz w:val="18"/>
        </w:rPr>
        <w:t>TABLE I: THE CANONICAL 23 MULTIMODAL FEATURE SCHEMA (F0–F22)</w:t>
      </w:r>
    </w:p>
    <w:p>
      <w:pPr>
        <w:spacing w:before="160" w:after="60"/>
      </w:pPr>
      <w:r>
        <w:rPr>
          <w:rFonts w:ascii="Times New Roman" w:hAnsi="Times New Roman"/>
          <w:b/>
          <w:i/>
          <w:sz w:val="22"/>
        </w:rPr>
        <w:t>3.8. Classical XGBoost vs. 4-Qubit Variational Quantum Classifier</w:t>
      </w:r>
    </w:p>
    <w:p>
      <w:pPr>
        <w:spacing w:after="80" w:line="264" w:lineRule="auto"/>
        <w:jc w:val="both"/>
      </w:pPr>
      <w:r>
        <w:rPr>
          <w:rFonts w:ascii="Times New Roman" w:hAnsi="Times New Roman"/>
          <w:sz w:val="20"/>
        </w:rPr>
        <w:t>The 23-dimensional feature vector is supplied to two parallel triage models:</w:t>
        <w:br/>
        <w:t>1. Classical XGBoost Severity Classifier: An ensemble of gradient-boosted decision trees trained with balanced sample weighting. SHAP TreeExplainer computes feature contributions for interpretability.</w:t>
        <w:br/>
        <w:t>2. 4-Qubit Variational Quantum Classifier (VQC): A parameterized quantum circuit operating on PennyLane's default.qubit simulator. The 23-D vector is normalized via StandardScaler and projected to 4 dimensions via Principal Component Analysis (PCA, fitted exclusively on training data). The 4 components are embedded as quantum rotation angles via AngleEmbedding(rotation='X'), followed by two StronglyEntanglingLayers. Expectation values &lt;Z_i&gt; of the Pauli-Z operator are measured across all four qubits and transformed via linear softmax into 3 class probabilities. The VQC is evaluated strictly as an experimental comparative baseline and is completely isolated from main emergency triage decisions.</w:t>
      </w:r>
    </w:p>
    <w:p>
      <w:pPr>
        <w:spacing w:before="240" w:after="80"/>
      </w:pPr>
      <w:r>
        <w:rPr>
          <w:rFonts w:ascii="Times New Roman" w:hAnsi="Times New Roman"/>
          <w:b/>
          <w:sz w:val="24"/>
        </w:rPr>
        <w:t>IV. RESULTS AND DISCUSSION</w:t>
      </w:r>
    </w:p>
    <w:p>
      <w:pPr>
        <w:spacing w:before="160" w:after="60"/>
      </w:pPr>
      <w:r>
        <w:rPr>
          <w:rFonts w:ascii="Times New Roman" w:hAnsi="Times New Roman"/>
          <w:b/>
          <w:i/>
          <w:sz w:val="22"/>
        </w:rPr>
        <w:t>4.1. Comparative Multimodal Benchmark: XGBoost vs. 4-Qubit VQC</w:t>
      </w:r>
    </w:p>
    <w:p>
      <w:pPr>
        <w:spacing w:after="80" w:line="264" w:lineRule="auto"/>
        <w:jc w:val="both"/>
      </w:pPr>
      <w:r>
        <w:rPr>
          <w:rFonts w:ascii="Times New Roman" w:hAnsi="Times New Roman"/>
          <w:sz w:val="20"/>
        </w:rPr>
        <w:t>Table II summarizes the performance of the classical XGBoost model and the experimental 4-qubit VQC evaluated on the identical held-out test split (N = 30 vectors). Classical XGBoost achieved an accuracy of 83.33% (25/30, 95% Wilson Score CI: [65.3%, 94.4%]), Macro Precision of 0.8222, Macro Recall of 0.7693, Macro-F1 of 0.7850, and Matthews Correlation Coefficient (MCC) of 0.7027. Calibration evaluation yielded a multiclass Brier score of 0.3045 and Expected Calibration Error (ECE) of 0.1183.</w:t>
        <w:br/>
        <w:br/>
        <w:t>In contrast, the 4-qubit VQC achieved 53.33% accuracy (16/30, 95% CI: [36.1%, 69.8%]), Macro-F1 of 0.4230, and MCC of 0.0960. While VQC demonstrates successful end-to-end quantum circuit integration within a multimodal data pipeline, its near-zero MCC confirms that small simulated quantum circuits currently achieve performance barely above the 33.3% random baseline on complex tabular feature sets. No quantum computational advantage is observed, confirming that classical boosting remains superior.</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8EEF5"/>
          </w:tcPr>
          <w:p>
            <w:pPr>
              <w:spacing w:before="40" w:after="40"/>
            </w:pPr>
            <w:r>
              <w:rPr>
                <w:rFonts w:ascii="Times New Roman" w:hAnsi="Times New Roman"/>
                <w:b/>
                <w:sz w:val="18"/>
              </w:rPr>
              <w:t>Evaluation Metric</w:t>
            </w:r>
          </w:p>
        </w:tc>
        <w:tc>
          <w:tcPr>
            <w:tcW w:type="dxa" w:w="3360"/>
            <w:vAlign w:val="center"/>
            <w:shd w:fill="E8EEF5"/>
          </w:tcPr>
          <w:p>
            <w:pPr>
              <w:spacing w:before="40" w:after="40"/>
            </w:pPr>
            <w:r>
              <w:rPr>
                <w:rFonts w:ascii="Times New Roman" w:hAnsi="Times New Roman"/>
                <w:b/>
                <w:sz w:val="18"/>
              </w:rPr>
              <w:t>Classical XGBoost (Production)</w:t>
            </w:r>
          </w:p>
        </w:tc>
        <w:tc>
          <w:tcPr>
            <w:tcW w:type="dxa" w:w="3360"/>
            <w:vAlign w:val="center"/>
            <w:shd w:fill="E8EEF5"/>
          </w:tcPr>
          <w:p>
            <w:pPr>
              <w:spacing w:before="40" w:after="40"/>
            </w:pPr>
            <w:r>
              <w:rPr>
                <w:rFonts w:ascii="Times New Roman" w:hAnsi="Times New Roman"/>
                <w:b/>
                <w:sz w:val="18"/>
              </w:rPr>
              <w:t>4-Qubit VQC (Experimental Simulation)</w:t>
            </w:r>
          </w:p>
        </w:tc>
      </w:tr>
      <w:tr>
        <w:tc>
          <w:tcPr>
            <w:tcW w:type="dxa" w:w="3360"/>
            <w:vAlign w:val="center"/>
          </w:tcPr>
          <w:p>
            <w:pPr>
              <w:spacing w:before="40" w:after="40"/>
            </w:pPr>
            <w:r>
              <w:rPr>
                <w:rFonts w:ascii="Times New Roman" w:hAnsi="Times New Roman"/>
                <w:sz w:val="18"/>
              </w:rPr>
              <w:t>Correct Predictions / Total</w:t>
            </w:r>
          </w:p>
        </w:tc>
        <w:tc>
          <w:tcPr>
            <w:tcW w:type="dxa" w:w="3360"/>
            <w:vAlign w:val="center"/>
          </w:tcPr>
          <w:p>
            <w:pPr>
              <w:spacing w:before="40" w:after="40"/>
            </w:pPr>
            <w:r>
              <w:rPr>
                <w:rFonts w:ascii="Times New Roman" w:hAnsi="Times New Roman"/>
                <w:sz w:val="18"/>
              </w:rPr>
              <w:t>25 / 30</w:t>
            </w:r>
          </w:p>
        </w:tc>
        <w:tc>
          <w:tcPr>
            <w:tcW w:type="dxa" w:w="3360"/>
            <w:vAlign w:val="center"/>
          </w:tcPr>
          <w:p>
            <w:pPr>
              <w:spacing w:before="40" w:after="40"/>
            </w:pPr>
            <w:r>
              <w:rPr>
                <w:rFonts w:ascii="Times New Roman" w:hAnsi="Times New Roman"/>
                <w:sz w:val="18"/>
              </w:rPr>
              <w:t>16 / 30</w:t>
            </w:r>
          </w:p>
        </w:tc>
      </w:tr>
      <w:tr>
        <w:tc>
          <w:tcPr>
            <w:tcW w:type="dxa" w:w="3360"/>
            <w:vAlign w:val="center"/>
          </w:tcPr>
          <w:p>
            <w:pPr>
              <w:spacing w:before="40" w:after="40"/>
            </w:pPr>
            <w:r>
              <w:rPr>
                <w:rFonts w:ascii="Times New Roman" w:hAnsi="Times New Roman"/>
                <w:sz w:val="18"/>
              </w:rPr>
              <w:t>Overall Classification Accuracy</w:t>
            </w:r>
          </w:p>
        </w:tc>
        <w:tc>
          <w:tcPr>
            <w:tcW w:type="dxa" w:w="3360"/>
            <w:vAlign w:val="center"/>
          </w:tcPr>
          <w:p>
            <w:pPr>
              <w:spacing w:before="40" w:after="40"/>
            </w:pPr>
            <w:r>
              <w:rPr>
                <w:rFonts w:ascii="Times New Roman" w:hAnsi="Times New Roman"/>
                <w:sz w:val="18"/>
              </w:rPr>
              <w:t>83.33% (95% CI: [65.3%, 94.4%])</w:t>
            </w:r>
          </w:p>
        </w:tc>
        <w:tc>
          <w:tcPr>
            <w:tcW w:type="dxa" w:w="3360"/>
            <w:vAlign w:val="center"/>
          </w:tcPr>
          <w:p>
            <w:pPr>
              <w:spacing w:before="40" w:after="40"/>
            </w:pPr>
            <w:r>
              <w:rPr>
                <w:rFonts w:ascii="Times New Roman" w:hAnsi="Times New Roman"/>
                <w:sz w:val="18"/>
              </w:rPr>
              <w:t>53.33% (95% CI: [36.1%, 69.8%])</w:t>
            </w:r>
          </w:p>
        </w:tc>
      </w:tr>
      <w:tr>
        <w:tc>
          <w:tcPr>
            <w:tcW w:type="dxa" w:w="3360"/>
            <w:vAlign w:val="center"/>
          </w:tcPr>
          <w:p>
            <w:pPr>
              <w:spacing w:before="40" w:after="40"/>
            </w:pPr>
            <w:r>
              <w:rPr>
                <w:rFonts w:ascii="Times New Roman" w:hAnsi="Times New Roman"/>
                <w:sz w:val="18"/>
              </w:rPr>
              <w:t>Macro-Averaged Precision</w:t>
            </w:r>
          </w:p>
        </w:tc>
        <w:tc>
          <w:tcPr>
            <w:tcW w:type="dxa" w:w="3360"/>
            <w:vAlign w:val="center"/>
          </w:tcPr>
          <w:p>
            <w:pPr>
              <w:spacing w:before="40" w:after="40"/>
            </w:pPr>
            <w:r>
              <w:rPr>
                <w:rFonts w:ascii="Times New Roman" w:hAnsi="Times New Roman"/>
                <w:sz w:val="18"/>
              </w:rPr>
              <w:t>0.822222</w:t>
            </w:r>
          </w:p>
        </w:tc>
        <w:tc>
          <w:tcPr>
            <w:tcW w:type="dxa" w:w="3360"/>
            <w:vAlign w:val="center"/>
          </w:tcPr>
          <w:p>
            <w:pPr>
              <w:spacing w:before="40" w:after="40"/>
            </w:pPr>
            <w:r>
              <w:rPr>
                <w:rFonts w:ascii="Times New Roman" w:hAnsi="Times New Roman"/>
                <w:sz w:val="18"/>
              </w:rPr>
              <w:t>0.466184</w:t>
            </w:r>
          </w:p>
        </w:tc>
      </w:tr>
      <w:tr>
        <w:tc>
          <w:tcPr>
            <w:tcW w:type="dxa" w:w="3360"/>
            <w:vAlign w:val="center"/>
          </w:tcPr>
          <w:p>
            <w:pPr>
              <w:spacing w:before="40" w:after="40"/>
            </w:pPr>
            <w:r>
              <w:rPr>
                <w:rFonts w:ascii="Times New Roman" w:hAnsi="Times New Roman"/>
                <w:sz w:val="18"/>
              </w:rPr>
              <w:t>Macro-Averaged Recall</w:t>
            </w:r>
          </w:p>
        </w:tc>
        <w:tc>
          <w:tcPr>
            <w:tcW w:type="dxa" w:w="3360"/>
            <w:vAlign w:val="center"/>
          </w:tcPr>
          <w:p>
            <w:pPr>
              <w:spacing w:before="40" w:after="40"/>
            </w:pPr>
            <w:r>
              <w:rPr>
                <w:rFonts w:ascii="Times New Roman" w:hAnsi="Times New Roman"/>
                <w:sz w:val="18"/>
              </w:rPr>
              <w:t>0.769281</w:t>
            </w:r>
          </w:p>
        </w:tc>
        <w:tc>
          <w:tcPr>
            <w:tcW w:type="dxa" w:w="3360"/>
            <w:vAlign w:val="center"/>
          </w:tcPr>
          <w:p>
            <w:pPr>
              <w:spacing w:before="40" w:after="40"/>
            </w:pPr>
            <w:r>
              <w:rPr>
                <w:rFonts w:ascii="Times New Roman" w:hAnsi="Times New Roman"/>
                <w:sz w:val="18"/>
              </w:rPr>
              <w:t>0.432680</w:t>
            </w:r>
          </w:p>
        </w:tc>
      </w:tr>
      <w:tr>
        <w:tc>
          <w:tcPr>
            <w:tcW w:type="dxa" w:w="3360"/>
            <w:vAlign w:val="center"/>
          </w:tcPr>
          <w:p>
            <w:pPr>
              <w:spacing w:before="40" w:after="40"/>
            </w:pPr>
            <w:r>
              <w:rPr>
                <w:rFonts w:ascii="Times New Roman" w:hAnsi="Times New Roman"/>
                <w:sz w:val="18"/>
              </w:rPr>
              <w:t>Macro F1-Score</w:t>
            </w:r>
          </w:p>
        </w:tc>
        <w:tc>
          <w:tcPr>
            <w:tcW w:type="dxa" w:w="3360"/>
            <w:vAlign w:val="center"/>
          </w:tcPr>
          <w:p>
            <w:pPr>
              <w:spacing w:before="40" w:after="40"/>
            </w:pPr>
            <w:r>
              <w:rPr>
                <w:rFonts w:ascii="Times New Roman" w:hAnsi="Times New Roman"/>
                <w:sz w:val="18"/>
              </w:rPr>
              <w:t>0.785020</w:t>
            </w:r>
          </w:p>
        </w:tc>
        <w:tc>
          <w:tcPr>
            <w:tcW w:type="dxa" w:w="3360"/>
            <w:vAlign w:val="center"/>
          </w:tcPr>
          <w:p>
            <w:pPr>
              <w:spacing w:before="40" w:after="40"/>
            </w:pPr>
            <w:r>
              <w:rPr>
                <w:rFonts w:ascii="Times New Roman" w:hAnsi="Times New Roman"/>
                <w:sz w:val="18"/>
              </w:rPr>
              <w:t>0.423016</w:t>
            </w:r>
          </w:p>
        </w:tc>
      </w:tr>
      <w:tr>
        <w:tc>
          <w:tcPr>
            <w:tcW w:type="dxa" w:w="3360"/>
            <w:vAlign w:val="center"/>
          </w:tcPr>
          <w:p>
            <w:pPr>
              <w:spacing w:before="40" w:after="40"/>
            </w:pPr>
            <w:r>
              <w:rPr>
                <w:rFonts w:ascii="Times New Roman" w:hAnsi="Times New Roman"/>
                <w:sz w:val="18"/>
              </w:rPr>
              <w:t>Matthews Correlation Coefficient (MCC)</w:t>
            </w:r>
          </w:p>
        </w:tc>
        <w:tc>
          <w:tcPr>
            <w:tcW w:type="dxa" w:w="3360"/>
            <w:vAlign w:val="center"/>
          </w:tcPr>
          <w:p>
            <w:pPr>
              <w:spacing w:before="40" w:after="40"/>
            </w:pPr>
            <w:r>
              <w:rPr>
                <w:rFonts w:ascii="Times New Roman" w:hAnsi="Times New Roman"/>
                <w:sz w:val="18"/>
              </w:rPr>
              <w:t>0.702692</w:t>
            </w:r>
          </w:p>
        </w:tc>
        <w:tc>
          <w:tcPr>
            <w:tcW w:type="dxa" w:w="3360"/>
            <w:vAlign w:val="center"/>
          </w:tcPr>
          <w:p>
            <w:pPr>
              <w:spacing w:before="40" w:after="40"/>
            </w:pPr>
            <w:r>
              <w:rPr>
                <w:rFonts w:ascii="Times New Roman" w:hAnsi="Times New Roman"/>
                <w:sz w:val="18"/>
              </w:rPr>
              <w:t>0.095978</w:t>
            </w:r>
          </w:p>
        </w:tc>
      </w:tr>
      <w:tr>
        <w:tc>
          <w:tcPr>
            <w:tcW w:type="dxa" w:w="3360"/>
            <w:vAlign w:val="center"/>
          </w:tcPr>
          <w:p>
            <w:pPr>
              <w:spacing w:before="40" w:after="40"/>
            </w:pPr>
            <w:r>
              <w:rPr>
                <w:rFonts w:ascii="Times New Roman" w:hAnsi="Times New Roman"/>
                <w:sz w:val="18"/>
              </w:rPr>
              <w:t>Brier Score (Multi-Class)</w:t>
            </w:r>
          </w:p>
        </w:tc>
        <w:tc>
          <w:tcPr>
            <w:tcW w:type="dxa" w:w="3360"/>
            <w:vAlign w:val="center"/>
          </w:tcPr>
          <w:p>
            <w:pPr>
              <w:spacing w:before="40" w:after="40"/>
            </w:pPr>
            <w:r>
              <w:rPr>
                <w:rFonts w:ascii="Times New Roman" w:hAnsi="Times New Roman"/>
                <w:sz w:val="18"/>
              </w:rPr>
              <w:t>0.304532</w:t>
            </w:r>
          </w:p>
        </w:tc>
        <w:tc>
          <w:tcPr>
            <w:tcW w:type="dxa" w:w="3360"/>
            <w:vAlign w:val="center"/>
          </w:tcPr>
          <w:p>
            <w:pPr>
              <w:spacing w:before="40" w:after="40"/>
            </w:pPr>
            <w:r>
              <w:rPr>
                <w:rFonts w:ascii="Times New Roman" w:hAnsi="Times New Roman"/>
                <w:sz w:val="18"/>
              </w:rPr>
              <w:t>0.512306</w:t>
            </w:r>
          </w:p>
        </w:tc>
      </w:tr>
      <w:tr>
        <w:tc>
          <w:tcPr>
            <w:tcW w:type="dxa" w:w="3360"/>
            <w:vAlign w:val="center"/>
          </w:tcPr>
          <w:p>
            <w:pPr>
              <w:spacing w:before="40" w:after="40"/>
            </w:pPr>
            <w:r>
              <w:rPr>
                <w:rFonts w:ascii="Times New Roman" w:hAnsi="Times New Roman"/>
                <w:sz w:val="18"/>
              </w:rPr>
              <w:t>Expected Calibration Error (ECE, M=5)</w:t>
            </w:r>
          </w:p>
        </w:tc>
        <w:tc>
          <w:tcPr>
            <w:tcW w:type="dxa" w:w="3360"/>
            <w:vAlign w:val="center"/>
          </w:tcPr>
          <w:p>
            <w:pPr>
              <w:spacing w:before="40" w:after="40"/>
            </w:pPr>
            <w:r>
              <w:rPr>
                <w:rFonts w:ascii="Times New Roman" w:hAnsi="Times New Roman"/>
                <w:sz w:val="18"/>
              </w:rPr>
              <w:t>0.118284</w:t>
            </w:r>
          </w:p>
        </w:tc>
        <w:tc>
          <w:tcPr>
            <w:tcW w:type="dxa" w:w="3360"/>
            <w:vAlign w:val="center"/>
          </w:tcPr>
          <w:p>
            <w:pPr>
              <w:spacing w:before="40" w:after="40"/>
            </w:pPr>
            <w:r>
              <w:rPr>
                <w:rFonts w:ascii="Times New Roman" w:hAnsi="Times New Roman"/>
                <w:sz w:val="18"/>
              </w:rPr>
              <w:t>0.136455</w:t>
            </w:r>
          </w:p>
        </w:tc>
      </w:tr>
      <w:tr>
        <w:tc>
          <w:tcPr>
            <w:tcW w:type="dxa" w:w="3360"/>
            <w:vAlign w:val="center"/>
          </w:tcPr>
          <w:p>
            <w:pPr>
              <w:spacing w:before="40" w:after="40"/>
            </w:pPr>
            <w:r>
              <w:rPr>
                <w:rFonts w:ascii="Times New Roman" w:hAnsi="Times New Roman"/>
                <w:sz w:val="18"/>
              </w:rPr>
              <w:t>Execution Hardware</w:t>
            </w:r>
          </w:p>
        </w:tc>
        <w:tc>
          <w:tcPr>
            <w:tcW w:type="dxa" w:w="3360"/>
            <w:vAlign w:val="center"/>
          </w:tcPr>
          <w:p>
            <w:pPr>
              <w:spacing w:before="40" w:after="40"/>
            </w:pPr>
            <w:r>
              <w:rPr>
                <w:rFonts w:ascii="Times New Roman" w:hAnsi="Times New Roman"/>
                <w:sz w:val="18"/>
              </w:rPr>
              <w:t>Classical CPU / Server</w:t>
            </w:r>
          </w:p>
        </w:tc>
        <w:tc>
          <w:tcPr>
            <w:tcW w:type="dxa" w:w="3360"/>
            <w:vAlign w:val="center"/>
          </w:tcPr>
          <w:p>
            <w:pPr>
              <w:spacing w:before="40" w:after="40"/>
            </w:pPr>
            <w:r>
              <w:rPr>
                <w:rFonts w:ascii="Times New Roman" w:hAnsi="Times New Roman"/>
                <w:sz w:val="18"/>
              </w:rPr>
              <w:t>PennyLane default.qubit (Classical CPU Sim)</w:t>
            </w:r>
          </w:p>
        </w:tc>
      </w:tr>
      <w:tr>
        <w:tc>
          <w:tcPr>
            <w:tcW w:type="dxa" w:w="3360"/>
            <w:vAlign w:val="center"/>
          </w:tcPr>
          <w:p>
            <w:pPr>
              <w:spacing w:before="40" w:after="40"/>
            </w:pPr>
            <w:r>
              <w:rPr>
                <w:rFonts w:ascii="Times New Roman" w:hAnsi="Times New Roman"/>
                <w:sz w:val="18"/>
              </w:rPr>
              <w:t>Triage Authority</w:t>
            </w:r>
          </w:p>
        </w:tc>
        <w:tc>
          <w:tcPr>
            <w:tcW w:type="dxa" w:w="3360"/>
            <w:vAlign w:val="center"/>
          </w:tcPr>
          <w:p>
            <w:pPr>
              <w:spacing w:before="40" w:after="40"/>
            </w:pPr>
            <w:r>
              <w:rPr>
                <w:rFonts w:ascii="Times New Roman" w:hAnsi="Times New Roman"/>
                <w:sz w:val="18"/>
              </w:rPr>
              <w:t>Primary Triage Engine</w:t>
            </w:r>
          </w:p>
        </w:tc>
        <w:tc>
          <w:tcPr>
            <w:tcW w:type="dxa" w:w="3360"/>
            <w:vAlign w:val="center"/>
          </w:tcPr>
          <w:p>
            <w:pPr>
              <w:spacing w:before="40" w:after="40"/>
            </w:pPr>
            <w:r>
              <w:rPr>
                <w:rFonts w:ascii="Times New Roman" w:hAnsi="Times New Roman"/>
                <w:sz w:val="18"/>
              </w:rPr>
              <w:t>Isolated Benchmark Only (Weight = 0.0)</w:t>
            </w:r>
          </w:p>
        </w:tc>
      </w:tr>
    </w:tbl>
    <w:p>
      <w:pPr>
        <w:jc w:val="center"/>
      </w:pPr>
      <w:r>
        <w:rPr>
          <w:b/>
          <w:sz w:val="18"/>
        </w:rPr>
        <w:t>TABLE II: MULTIMODAL CLASSIFICATION PERFORMANCE: CLASSICAL XGBOOST VS. 4-QUBIT VQC (HELD-OUT TEST SET N=30)</w:t>
      </w:r>
    </w:p>
    <w:p>
      <w:pPr>
        <w:spacing w:before="160" w:after="60"/>
      </w:pPr>
      <w:r>
        <w:rPr>
          <w:rFonts w:ascii="Times New Roman" w:hAnsi="Times New Roman"/>
          <w:b/>
          <w:i/>
          <w:sz w:val="22"/>
        </w:rPr>
        <w:t>4.2. Modality Contribution Ablation Study</w:t>
      </w:r>
    </w:p>
    <w:p>
      <w:pPr>
        <w:spacing w:after="80" w:line="264" w:lineRule="auto"/>
        <w:jc w:val="both"/>
      </w:pPr>
      <w:r>
        <w:rPr>
          <w:rFonts w:ascii="Times New Roman" w:hAnsi="Times New Roman"/>
          <w:sz w:val="20"/>
        </w:rPr>
        <w:t>To rigorously evaluate the individual and synergistic contributions of each input modality, an independent-model ablation experiment was executed on the untouched held-out test split (N = 30) alongside runtime zero-masking missingness baselines. As reported in Table III, models trained independently on unimodal subsets exhibit constrained discriminative capacity: Vision Only achieves 33.33% accuracy (MCC = -0.1632), Questionnaire Only achieves 56.67% accuracy (MCC = 0.2343), and Sensor Only achieves 56.67% accuracy (MCC = 0.3743). In contrast, combining Questionnaire symptoms with physical Sensor telemetry yields dominant classification performance: 86.67% accuracy (26/30), 0.8148 Macro-F1, and 0.7609 MCC. The Full Multimodal architecture (F0–F22) achieves 83.33% accuracy (25/30), 0.7850 Macro-F1, and 0.7027 MCC. While Questionnaire and Sensor data drive discrete tabular severity classification, Vision is critical to the clinical system by providing spatial lesion localization (YOLO11 36.47% mAP50) and wound surface area quantification (U-Net 64.18% Dice) for clinician review.</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8EEF5"/>
          </w:tcPr>
          <w:p>
            <w:pPr>
              <w:spacing w:before="40" w:after="40"/>
            </w:pPr>
            <w:r>
              <w:rPr>
                <w:rFonts w:ascii="Times New Roman" w:hAnsi="Times New Roman"/>
                <w:b/>
                <w:sz w:val="18"/>
              </w:rPr>
              <w:t>Modality Configuration</w:t>
            </w:r>
          </w:p>
        </w:tc>
        <w:tc>
          <w:tcPr>
            <w:tcW w:type="dxa" w:w="1680"/>
            <w:vAlign w:val="center"/>
            <w:shd w:fill="E8EEF5"/>
          </w:tcPr>
          <w:p>
            <w:pPr>
              <w:spacing w:before="40" w:after="40"/>
            </w:pPr>
            <w:r>
              <w:rPr>
                <w:rFonts w:ascii="Times New Roman" w:hAnsi="Times New Roman"/>
                <w:b/>
                <w:sz w:val="18"/>
              </w:rPr>
              <w:t>Active Features</w:t>
            </w:r>
          </w:p>
        </w:tc>
        <w:tc>
          <w:tcPr>
            <w:tcW w:type="dxa" w:w="1680"/>
            <w:vAlign w:val="center"/>
            <w:shd w:fill="E8EEF5"/>
          </w:tcPr>
          <w:p>
            <w:pPr>
              <w:spacing w:before="40" w:after="40"/>
            </w:pPr>
            <w:r>
              <w:rPr>
                <w:rFonts w:ascii="Times New Roman" w:hAnsi="Times New Roman"/>
                <w:b/>
                <w:sz w:val="18"/>
              </w:rPr>
              <w:t>Independent Acc (%)</w:t>
            </w:r>
          </w:p>
        </w:tc>
        <w:tc>
          <w:tcPr>
            <w:tcW w:type="dxa" w:w="1680"/>
            <w:vAlign w:val="center"/>
            <w:shd w:fill="E8EEF5"/>
          </w:tcPr>
          <w:p>
            <w:pPr>
              <w:spacing w:before="40" w:after="40"/>
            </w:pPr>
            <w:r>
              <w:rPr>
                <w:rFonts w:ascii="Times New Roman" w:hAnsi="Times New Roman"/>
                <w:b/>
                <w:sz w:val="18"/>
              </w:rPr>
              <w:t>Independent F1</w:t>
            </w:r>
          </w:p>
        </w:tc>
        <w:tc>
          <w:tcPr>
            <w:tcW w:type="dxa" w:w="1680"/>
            <w:vAlign w:val="center"/>
            <w:shd w:fill="E8EEF5"/>
          </w:tcPr>
          <w:p>
            <w:pPr>
              <w:spacing w:before="40" w:after="40"/>
            </w:pPr>
            <w:r>
              <w:rPr>
                <w:rFonts w:ascii="Times New Roman" w:hAnsi="Times New Roman"/>
                <w:b/>
                <w:sz w:val="18"/>
              </w:rPr>
              <w:t>Independent MCC</w:t>
            </w:r>
          </w:p>
        </w:tc>
        <w:tc>
          <w:tcPr>
            <w:tcW w:type="dxa" w:w="1680"/>
            <w:vAlign w:val="center"/>
            <w:shd w:fill="E8EEF5"/>
          </w:tcPr>
          <w:p>
            <w:pPr>
              <w:spacing w:before="40" w:after="40"/>
            </w:pPr>
            <w:r>
              <w:rPr>
                <w:rFonts w:ascii="Times New Roman" w:hAnsi="Times New Roman"/>
                <w:b/>
                <w:sz w:val="18"/>
              </w:rPr>
              <w:t>Zero-Mask Acc</w:t>
            </w:r>
          </w:p>
        </w:tc>
      </w:tr>
      <w:tr>
        <w:tc>
          <w:tcPr>
            <w:tcW w:type="dxa" w:w="1680"/>
            <w:vAlign w:val="center"/>
          </w:tcPr>
          <w:p>
            <w:pPr>
              <w:spacing w:before="40" w:after="40"/>
            </w:pPr>
            <w:r>
              <w:rPr>
                <w:rFonts w:ascii="Times New Roman" w:hAnsi="Times New Roman"/>
                <w:sz w:val="18"/>
              </w:rPr>
              <w:t>Vision Only</w:t>
            </w:r>
          </w:p>
        </w:tc>
        <w:tc>
          <w:tcPr>
            <w:tcW w:type="dxa" w:w="1680"/>
            <w:vAlign w:val="center"/>
          </w:tcPr>
          <w:p>
            <w:pPr>
              <w:spacing w:before="40" w:after="40"/>
            </w:pPr>
            <w:r>
              <w:rPr>
                <w:rFonts w:ascii="Times New Roman" w:hAnsi="Times New Roman"/>
                <w:sz w:val="18"/>
              </w:rPr>
              <w:t>F0–F5 (D=6)</w:t>
            </w:r>
          </w:p>
        </w:tc>
        <w:tc>
          <w:tcPr>
            <w:tcW w:type="dxa" w:w="1680"/>
            <w:vAlign w:val="center"/>
          </w:tcPr>
          <w:p>
            <w:pPr>
              <w:spacing w:before="40" w:after="40"/>
            </w:pPr>
            <w:r>
              <w:rPr>
                <w:rFonts w:ascii="Times New Roman" w:hAnsi="Times New Roman"/>
                <w:sz w:val="18"/>
              </w:rPr>
              <w:t>33.33% (10/30)</w:t>
            </w:r>
          </w:p>
        </w:tc>
        <w:tc>
          <w:tcPr>
            <w:tcW w:type="dxa" w:w="1680"/>
            <w:vAlign w:val="center"/>
          </w:tcPr>
          <w:p>
            <w:pPr>
              <w:spacing w:before="40" w:after="40"/>
            </w:pPr>
            <w:r>
              <w:rPr>
                <w:rFonts w:ascii="Times New Roman" w:hAnsi="Times New Roman"/>
                <w:sz w:val="18"/>
              </w:rPr>
              <w:t>0.2414</w:t>
            </w:r>
          </w:p>
        </w:tc>
        <w:tc>
          <w:tcPr>
            <w:tcW w:type="dxa" w:w="1680"/>
            <w:vAlign w:val="center"/>
          </w:tcPr>
          <w:p>
            <w:pPr>
              <w:spacing w:before="40" w:after="40"/>
            </w:pPr>
            <w:r>
              <w:rPr>
                <w:rFonts w:ascii="Times New Roman" w:hAnsi="Times New Roman"/>
                <w:sz w:val="18"/>
              </w:rPr>
              <w:t>-0.1632</w:t>
            </w:r>
          </w:p>
        </w:tc>
        <w:tc>
          <w:tcPr>
            <w:tcW w:type="dxa" w:w="1680"/>
            <w:vAlign w:val="center"/>
          </w:tcPr>
          <w:p>
            <w:pPr>
              <w:spacing w:before="40" w:after="40"/>
            </w:pPr>
            <w:r>
              <w:rPr>
                <w:rFonts w:ascii="Times New Roman" w:hAnsi="Times New Roman"/>
                <w:sz w:val="18"/>
              </w:rPr>
              <w:t>46.67%</w:t>
            </w:r>
          </w:p>
        </w:tc>
      </w:tr>
      <w:tr>
        <w:tc>
          <w:tcPr>
            <w:tcW w:type="dxa" w:w="1680"/>
            <w:vAlign w:val="center"/>
          </w:tcPr>
          <w:p>
            <w:pPr>
              <w:spacing w:before="40" w:after="40"/>
            </w:pPr>
            <w:r>
              <w:rPr>
                <w:rFonts w:ascii="Times New Roman" w:hAnsi="Times New Roman"/>
                <w:sz w:val="18"/>
              </w:rPr>
              <w:t>Questionnaire Only</w:t>
            </w:r>
          </w:p>
        </w:tc>
        <w:tc>
          <w:tcPr>
            <w:tcW w:type="dxa" w:w="1680"/>
            <w:vAlign w:val="center"/>
          </w:tcPr>
          <w:p>
            <w:pPr>
              <w:spacing w:before="40" w:after="40"/>
            </w:pPr>
            <w:r>
              <w:rPr>
                <w:rFonts w:ascii="Times New Roman" w:hAnsi="Times New Roman"/>
                <w:sz w:val="18"/>
              </w:rPr>
              <w:t>F6–F17 (D=12)</w:t>
            </w:r>
          </w:p>
        </w:tc>
        <w:tc>
          <w:tcPr>
            <w:tcW w:type="dxa" w:w="1680"/>
            <w:vAlign w:val="center"/>
          </w:tcPr>
          <w:p>
            <w:pPr>
              <w:spacing w:before="40" w:after="40"/>
            </w:pPr>
            <w:r>
              <w:rPr>
                <w:rFonts w:ascii="Times New Roman" w:hAnsi="Times New Roman"/>
                <w:sz w:val="18"/>
              </w:rPr>
              <w:t>56.67% (17/30)</w:t>
            </w:r>
          </w:p>
        </w:tc>
        <w:tc>
          <w:tcPr>
            <w:tcW w:type="dxa" w:w="1680"/>
            <w:vAlign w:val="center"/>
          </w:tcPr>
          <w:p>
            <w:pPr>
              <w:spacing w:before="40" w:after="40"/>
            </w:pPr>
            <w:r>
              <w:rPr>
                <w:rFonts w:ascii="Times New Roman" w:hAnsi="Times New Roman"/>
                <w:sz w:val="18"/>
              </w:rPr>
              <w:t>0.5036</w:t>
            </w:r>
          </w:p>
        </w:tc>
        <w:tc>
          <w:tcPr>
            <w:tcW w:type="dxa" w:w="1680"/>
            <w:vAlign w:val="center"/>
          </w:tcPr>
          <w:p>
            <w:pPr>
              <w:spacing w:before="40" w:after="40"/>
            </w:pPr>
            <w:r>
              <w:rPr>
                <w:rFonts w:ascii="Times New Roman" w:hAnsi="Times New Roman"/>
                <w:sz w:val="18"/>
              </w:rPr>
              <w:t>+0.2343</w:t>
            </w:r>
          </w:p>
        </w:tc>
        <w:tc>
          <w:tcPr>
            <w:tcW w:type="dxa" w:w="1680"/>
            <w:vAlign w:val="center"/>
          </w:tcPr>
          <w:p>
            <w:pPr>
              <w:spacing w:before="40" w:after="40"/>
            </w:pPr>
            <w:r>
              <w:rPr>
                <w:rFonts w:ascii="Times New Roman" w:hAnsi="Times New Roman"/>
                <w:sz w:val="18"/>
              </w:rPr>
              <w:t>56.67%</w:t>
            </w:r>
          </w:p>
        </w:tc>
      </w:tr>
      <w:tr>
        <w:tc>
          <w:tcPr>
            <w:tcW w:type="dxa" w:w="1680"/>
            <w:vAlign w:val="center"/>
          </w:tcPr>
          <w:p>
            <w:pPr>
              <w:spacing w:before="40" w:after="40"/>
            </w:pPr>
            <w:r>
              <w:rPr>
                <w:rFonts w:ascii="Times New Roman" w:hAnsi="Times New Roman"/>
                <w:sz w:val="18"/>
              </w:rPr>
              <w:t>Sensor Only</w:t>
            </w:r>
          </w:p>
        </w:tc>
        <w:tc>
          <w:tcPr>
            <w:tcW w:type="dxa" w:w="1680"/>
            <w:vAlign w:val="center"/>
          </w:tcPr>
          <w:p>
            <w:pPr>
              <w:spacing w:before="40" w:after="40"/>
            </w:pPr>
            <w:r>
              <w:rPr>
                <w:rFonts w:ascii="Times New Roman" w:hAnsi="Times New Roman"/>
                <w:sz w:val="18"/>
              </w:rPr>
              <w:t>F18–F22 (D=5)</w:t>
            </w:r>
          </w:p>
        </w:tc>
        <w:tc>
          <w:tcPr>
            <w:tcW w:type="dxa" w:w="1680"/>
            <w:vAlign w:val="center"/>
          </w:tcPr>
          <w:p>
            <w:pPr>
              <w:spacing w:before="40" w:after="40"/>
            </w:pPr>
            <w:r>
              <w:rPr>
                <w:rFonts w:ascii="Times New Roman" w:hAnsi="Times New Roman"/>
                <w:sz w:val="18"/>
              </w:rPr>
              <w:t>56.67% (17/30)</w:t>
            </w:r>
          </w:p>
        </w:tc>
        <w:tc>
          <w:tcPr>
            <w:tcW w:type="dxa" w:w="1680"/>
            <w:vAlign w:val="center"/>
          </w:tcPr>
          <w:p>
            <w:pPr>
              <w:spacing w:before="40" w:after="40"/>
            </w:pPr>
            <w:r>
              <w:rPr>
                <w:rFonts w:ascii="Times New Roman" w:hAnsi="Times New Roman"/>
                <w:sz w:val="18"/>
              </w:rPr>
              <w:t>0.5010</w:t>
            </w:r>
          </w:p>
        </w:tc>
        <w:tc>
          <w:tcPr>
            <w:tcW w:type="dxa" w:w="1680"/>
            <w:vAlign w:val="center"/>
          </w:tcPr>
          <w:p>
            <w:pPr>
              <w:spacing w:before="40" w:after="40"/>
            </w:pPr>
            <w:r>
              <w:rPr>
                <w:rFonts w:ascii="Times New Roman" w:hAnsi="Times New Roman"/>
                <w:sz w:val="18"/>
              </w:rPr>
              <w:t>+0.3743</w:t>
            </w:r>
          </w:p>
        </w:tc>
        <w:tc>
          <w:tcPr>
            <w:tcW w:type="dxa" w:w="1680"/>
            <w:vAlign w:val="center"/>
          </w:tcPr>
          <w:p>
            <w:pPr>
              <w:spacing w:before="40" w:after="40"/>
            </w:pPr>
            <w:r>
              <w:rPr>
                <w:rFonts w:ascii="Times New Roman" w:hAnsi="Times New Roman"/>
                <w:sz w:val="18"/>
              </w:rPr>
              <w:t>46.67%</w:t>
            </w:r>
          </w:p>
        </w:tc>
      </w:tr>
      <w:tr>
        <w:tc>
          <w:tcPr>
            <w:tcW w:type="dxa" w:w="1680"/>
            <w:vAlign w:val="center"/>
          </w:tcPr>
          <w:p>
            <w:pPr>
              <w:spacing w:before="40" w:after="40"/>
            </w:pPr>
            <w:r>
              <w:rPr>
                <w:rFonts w:ascii="Times New Roman" w:hAnsi="Times New Roman"/>
                <w:sz w:val="18"/>
              </w:rPr>
              <w:t>Vision + Questionnaire</w:t>
            </w:r>
          </w:p>
        </w:tc>
        <w:tc>
          <w:tcPr>
            <w:tcW w:type="dxa" w:w="1680"/>
            <w:vAlign w:val="center"/>
          </w:tcPr>
          <w:p>
            <w:pPr>
              <w:spacing w:before="40" w:after="40"/>
            </w:pPr>
            <w:r>
              <w:rPr>
                <w:rFonts w:ascii="Times New Roman" w:hAnsi="Times New Roman"/>
                <w:sz w:val="18"/>
              </w:rPr>
              <w:t>F0–F17 (D=18)</w:t>
            </w:r>
          </w:p>
        </w:tc>
        <w:tc>
          <w:tcPr>
            <w:tcW w:type="dxa" w:w="1680"/>
            <w:vAlign w:val="center"/>
          </w:tcPr>
          <w:p>
            <w:pPr>
              <w:spacing w:before="40" w:after="40"/>
            </w:pPr>
            <w:r>
              <w:rPr>
                <w:rFonts w:ascii="Times New Roman" w:hAnsi="Times New Roman"/>
                <w:sz w:val="18"/>
              </w:rPr>
              <w:t>43.33% (13/30)</w:t>
            </w:r>
          </w:p>
        </w:tc>
        <w:tc>
          <w:tcPr>
            <w:tcW w:type="dxa" w:w="1680"/>
            <w:vAlign w:val="center"/>
          </w:tcPr>
          <w:p>
            <w:pPr>
              <w:spacing w:before="40" w:after="40"/>
            </w:pPr>
            <w:r>
              <w:rPr>
                <w:rFonts w:ascii="Times New Roman" w:hAnsi="Times New Roman"/>
                <w:sz w:val="18"/>
              </w:rPr>
              <w:t>0.3588</w:t>
            </w:r>
          </w:p>
        </w:tc>
        <w:tc>
          <w:tcPr>
            <w:tcW w:type="dxa" w:w="1680"/>
            <w:vAlign w:val="center"/>
          </w:tcPr>
          <w:p>
            <w:pPr>
              <w:spacing w:before="40" w:after="40"/>
            </w:pPr>
            <w:r>
              <w:rPr>
                <w:rFonts w:ascii="Times New Roman" w:hAnsi="Times New Roman"/>
                <w:sz w:val="18"/>
              </w:rPr>
              <w:t>-0.0464</w:t>
            </w:r>
          </w:p>
        </w:tc>
        <w:tc>
          <w:tcPr>
            <w:tcW w:type="dxa" w:w="1680"/>
            <w:vAlign w:val="center"/>
          </w:tcPr>
          <w:p>
            <w:pPr>
              <w:spacing w:before="40" w:after="40"/>
            </w:pPr>
            <w:r>
              <w:rPr>
                <w:rFonts w:ascii="Times New Roman" w:hAnsi="Times New Roman"/>
                <w:sz w:val="18"/>
              </w:rPr>
              <w:t>53.33%</w:t>
            </w:r>
          </w:p>
        </w:tc>
      </w:tr>
      <w:tr>
        <w:tc>
          <w:tcPr>
            <w:tcW w:type="dxa" w:w="1680"/>
            <w:vAlign w:val="center"/>
          </w:tcPr>
          <w:p>
            <w:pPr>
              <w:spacing w:before="40" w:after="40"/>
            </w:pPr>
            <w:r>
              <w:rPr>
                <w:rFonts w:ascii="Times New Roman" w:hAnsi="Times New Roman"/>
                <w:sz w:val="18"/>
              </w:rPr>
              <w:t>Vision + Sensor</w:t>
            </w:r>
          </w:p>
        </w:tc>
        <w:tc>
          <w:tcPr>
            <w:tcW w:type="dxa" w:w="1680"/>
            <w:vAlign w:val="center"/>
          </w:tcPr>
          <w:p>
            <w:pPr>
              <w:spacing w:before="40" w:after="40"/>
            </w:pPr>
            <w:r>
              <w:rPr>
                <w:rFonts w:ascii="Times New Roman" w:hAnsi="Times New Roman"/>
                <w:sz w:val="18"/>
              </w:rPr>
              <w:t>F0–F5, F18–F22 (D=11)</w:t>
            </w:r>
          </w:p>
        </w:tc>
        <w:tc>
          <w:tcPr>
            <w:tcW w:type="dxa" w:w="1680"/>
            <w:vAlign w:val="center"/>
          </w:tcPr>
          <w:p>
            <w:pPr>
              <w:spacing w:before="40" w:after="40"/>
            </w:pPr>
            <w:r>
              <w:rPr>
                <w:rFonts w:ascii="Times New Roman" w:hAnsi="Times New Roman"/>
                <w:sz w:val="18"/>
              </w:rPr>
              <w:t>60.00% (18/30)</w:t>
            </w:r>
          </w:p>
        </w:tc>
        <w:tc>
          <w:tcPr>
            <w:tcW w:type="dxa" w:w="1680"/>
            <w:vAlign w:val="center"/>
          </w:tcPr>
          <w:p>
            <w:pPr>
              <w:spacing w:before="40" w:after="40"/>
            </w:pPr>
            <w:r>
              <w:rPr>
                <w:rFonts w:ascii="Times New Roman" w:hAnsi="Times New Roman"/>
                <w:sz w:val="18"/>
              </w:rPr>
              <w:t>0.5080</w:t>
            </w:r>
          </w:p>
        </w:tc>
        <w:tc>
          <w:tcPr>
            <w:tcW w:type="dxa" w:w="1680"/>
            <w:vAlign w:val="center"/>
          </w:tcPr>
          <w:p>
            <w:pPr>
              <w:spacing w:before="40" w:after="40"/>
            </w:pPr>
            <w:r>
              <w:rPr>
                <w:rFonts w:ascii="Times New Roman" w:hAnsi="Times New Roman"/>
                <w:sz w:val="18"/>
              </w:rPr>
              <w:t>+0.2968</w:t>
            </w:r>
          </w:p>
        </w:tc>
        <w:tc>
          <w:tcPr>
            <w:tcW w:type="dxa" w:w="1680"/>
            <w:vAlign w:val="center"/>
          </w:tcPr>
          <w:p>
            <w:pPr>
              <w:spacing w:before="40" w:after="40"/>
            </w:pPr>
            <w:r>
              <w:rPr>
                <w:rFonts w:ascii="Times New Roman" w:hAnsi="Times New Roman"/>
                <w:sz w:val="18"/>
              </w:rPr>
              <w:t>36.67%</w:t>
            </w:r>
          </w:p>
        </w:tc>
      </w:tr>
      <w:tr>
        <w:tc>
          <w:tcPr>
            <w:tcW w:type="dxa" w:w="1680"/>
            <w:vAlign w:val="center"/>
          </w:tcPr>
          <w:p>
            <w:pPr>
              <w:spacing w:before="40" w:after="40"/>
            </w:pPr>
            <w:r>
              <w:rPr>
                <w:rFonts w:ascii="Times New Roman" w:hAnsi="Times New Roman"/>
                <w:sz w:val="18"/>
              </w:rPr>
              <w:t>Questionnaire + Sensor</w:t>
            </w:r>
          </w:p>
        </w:tc>
        <w:tc>
          <w:tcPr>
            <w:tcW w:type="dxa" w:w="1680"/>
            <w:vAlign w:val="center"/>
          </w:tcPr>
          <w:p>
            <w:pPr>
              <w:spacing w:before="40" w:after="40"/>
            </w:pPr>
            <w:r>
              <w:rPr>
                <w:rFonts w:ascii="Times New Roman" w:hAnsi="Times New Roman"/>
                <w:sz w:val="18"/>
              </w:rPr>
              <w:t>F6–F22 (D=17)</w:t>
            </w:r>
          </w:p>
        </w:tc>
        <w:tc>
          <w:tcPr>
            <w:tcW w:type="dxa" w:w="1680"/>
            <w:vAlign w:val="center"/>
          </w:tcPr>
          <w:p>
            <w:pPr>
              <w:spacing w:before="40" w:after="40"/>
            </w:pPr>
            <w:r>
              <w:rPr>
                <w:rFonts w:ascii="Times New Roman" w:hAnsi="Times New Roman"/>
                <w:sz w:val="18"/>
              </w:rPr>
              <w:t>86.67% (26/30)</w:t>
            </w:r>
          </w:p>
        </w:tc>
        <w:tc>
          <w:tcPr>
            <w:tcW w:type="dxa" w:w="1680"/>
            <w:vAlign w:val="center"/>
          </w:tcPr>
          <w:p>
            <w:pPr>
              <w:spacing w:before="40" w:after="40"/>
            </w:pPr>
            <w:r>
              <w:rPr>
                <w:rFonts w:ascii="Times New Roman" w:hAnsi="Times New Roman"/>
                <w:sz w:val="18"/>
              </w:rPr>
              <w:t>0.8148</w:t>
            </w:r>
          </w:p>
        </w:tc>
        <w:tc>
          <w:tcPr>
            <w:tcW w:type="dxa" w:w="1680"/>
            <w:vAlign w:val="center"/>
          </w:tcPr>
          <w:p>
            <w:pPr>
              <w:spacing w:before="40" w:after="40"/>
            </w:pPr>
            <w:r>
              <w:rPr>
                <w:rFonts w:ascii="Times New Roman" w:hAnsi="Times New Roman"/>
                <w:sz w:val="18"/>
              </w:rPr>
              <w:t>+0.7609</w:t>
            </w:r>
          </w:p>
        </w:tc>
        <w:tc>
          <w:tcPr>
            <w:tcW w:type="dxa" w:w="1680"/>
            <w:vAlign w:val="center"/>
          </w:tcPr>
          <w:p>
            <w:pPr>
              <w:spacing w:before="40" w:after="40"/>
            </w:pPr>
            <w:r>
              <w:rPr>
                <w:rFonts w:ascii="Times New Roman" w:hAnsi="Times New Roman"/>
                <w:sz w:val="18"/>
              </w:rPr>
              <w:t>83.33%</w:t>
            </w:r>
          </w:p>
        </w:tc>
      </w:tr>
      <w:tr>
        <w:tc>
          <w:tcPr>
            <w:tcW w:type="dxa" w:w="1680"/>
            <w:vAlign w:val="center"/>
          </w:tcPr>
          <w:p>
            <w:pPr>
              <w:spacing w:before="40" w:after="40"/>
            </w:pPr>
            <w:r>
              <w:rPr>
                <w:rFonts w:ascii="Times New Roman" w:hAnsi="Times New Roman"/>
                <w:sz w:val="18"/>
              </w:rPr>
              <w:t>Full Multimodal (AI-QTriage)</w:t>
            </w:r>
          </w:p>
        </w:tc>
        <w:tc>
          <w:tcPr>
            <w:tcW w:type="dxa" w:w="1680"/>
            <w:vAlign w:val="center"/>
          </w:tcPr>
          <w:p>
            <w:pPr>
              <w:spacing w:before="40" w:after="40"/>
            </w:pPr>
            <w:r>
              <w:rPr>
                <w:rFonts w:ascii="Times New Roman" w:hAnsi="Times New Roman"/>
                <w:sz w:val="18"/>
              </w:rPr>
              <w:t>F0–F22 (D=23)</w:t>
            </w:r>
          </w:p>
        </w:tc>
        <w:tc>
          <w:tcPr>
            <w:tcW w:type="dxa" w:w="1680"/>
            <w:vAlign w:val="center"/>
          </w:tcPr>
          <w:p>
            <w:pPr>
              <w:spacing w:before="40" w:after="40"/>
            </w:pPr>
            <w:r>
              <w:rPr>
                <w:rFonts w:ascii="Times New Roman" w:hAnsi="Times New Roman"/>
                <w:sz w:val="18"/>
              </w:rPr>
              <w:t>83.33% (25/30)</w:t>
            </w:r>
          </w:p>
        </w:tc>
        <w:tc>
          <w:tcPr>
            <w:tcW w:type="dxa" w:w="1680"/>
            <w:vAlign w:val="center"/>
          </w:tcPr>
          <w:p>
            <w:pPr>
              <w:spacing w:before="40" w:after="40"/>
            </w:pPr>
            <w:r>
              <w:rPr>
                <w:rFonts w:ascii="Times New Roman" w:hAnsi="Times New Roman"/>
                <w:sz w:val="18"/>
              </w:rPr>
              <w:t>0.7850</w:t>
            </w:r>
          </w:p>
        </w:tc>
        <w:tc>
          <w:tcPr>
            <w:tcW w:type="dxa" w:w="1680"/>
            <w:vAlign w:val="center"/>
          </w:tcPr>
          <w:p>
            <w:pPr>
              <w:spacing w:before="40" w:after="40"/>
            </w:pPr>
            <w:r>
              <w:rPr>
                <w:rFonts w:ascii="Times New Roman" w:hAnsi="Times New Roman"/>
                <w:sz w:val="18"/>
              </w:rPr>
              <w:t>+0.7027</w:t>
            </w:r>
          </w:p>
        </w:tc>
        <w:tc>
          <w:tcPr>
            <w:tcW w:type="dxa" w:w="1680"/>
            <w:vAlign w:val="center"/>
          </w:tcPr>
          <w:p>
            <w:pPr>
              <w:spacing w:before="40" w:after="40"/>
            </w:pPr>
            <w:r>
              <w:rPr>
                <w:rFonts w:ascii="Times New Roman" w:hAnsi="Times New Roman"/>
                <w:sz w:val="18"/>
              </w:rPr>
              <w:t>83.33%</w:t>
            </w:r>
          </w:p>
        </w:tc>
      </w:tr>
    </w:tbl>
    <w:p>
      <w:pPr>
        <w:jc w:val="center"/>
      </w:pPr>
      <w:r>
        <w:rPr>
          <w:b/>
          <w:sz w:val="18"/>
        </w:rPr>
        <w:t>TABLE III: MODALITY CONTRIBUTION ABLATION: INDEPENDENT MODELS VS. ZERO-MASK RUNTIME BASELINE (TEST N=30)</w:t>
      </w:r>
    </w:p>
    <w:p>
      <w:pPr>
        <w:spacing w:before="160" w:after="60"/>
      </w:pPr>
      <w:r>
        <w:rPr>
          <w:rFonts w:ascii="Times New Roman" w:hAnsi="Times New Roman"/>
          <w:b/>
          <w:i/>
          <w:sz w:val="22"/>
        </w:rPr>
        <w:t>4.3. Sensor Motion Classifier Performance and Class-Wise Breakdown</w:t>
      </w:r>
    </w:p>
    <w:p>
      <w:pPr>
        <w:spacing w:after="80" w:line="264" w:lineRule="auto"/>
        <w:jc w:val="both"/>
      </w:pPr>
      <w:r>
        <w:rPr>
          <w:rFonts w:ascii="Times New Roman" w:hAnsi="Times New Roman"/>
          <w:sz w:val="20"/>
        </w:rPr>
        <w:t>The sensor motion classifier was evaluated on 1,228 held-out 2.5-second windows derived from SisFall and UCI HAR under subject-level isolation. Overall accuracy reached 96.34% (1,183/1,228) with a Macro-F1 score of 89.85% and MCC of 0.9296. As detailed in Table IV, the model achieved high detection accuracy on Normal Activity (F1 = 98.82%, n = 720) and Fall events (F1 = 95.10%, n = 448). For the minority Impact class (n = 60), the model achieved 76.27% precision and 75.00% recall (F1 = 75.63%). Lower impact recall reflects the physical subtlety of stumble-and-recovery events compared to high-kinetic vertical drops.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8EEF5"/>
          </w:tcPr>
          <w:p>
            <w:pPr>
              <w:spacing w:before="40" w:after="40"/>
            </w:pPr>
            <w:r>
              <w:rPr>
                <w:rFonts w:ascii="Times New Roman" w:hAnsi="Times New Roman"/>
                <w:b/>
                <w:sz w:val="18"/>
              </w:rPr>
              <w:t>Motion Class</w:t>
            </w:r>
          </w:p>
        </w:tc>
        <w:tc>
          <w:tcPr>
            <w:tcW w:type="dxa" w:w="1680"/>
            <w:vAlign w:val="center"/>
            <w:shd w:fill="E8EEF5"/>
          </w:tcPr>
          <w:p>
            <w:pPr>
              <w:spacing w:before="40" w:after="40"/>
            </w:pPr>
            <w:r>
              <w:rPr>
                <w:rFonts w:ascii="Times New Roman" w:hAnsi="Times New Roman"/>
                <w:b/>
                <w:sz w:val="18"/>
              </w:rPr>
              <w:t>Test Support (N)</w:t>
            </w:r>
          </w:p>
        </w:tc>
        <w:tc>
          <w:tcPr>
            <w:tcW w:type="dxa" w:w="1680"/>
            <w:vAlign w:val="center"/>
            <w:shd w:fill="E8EEF5"/>
          </w:tcPr>
          <w:p>
            <w:pPr>
              <w:spacing w:before="40" w:after="40"/>
            </w:pPr>
            <w:r>
              <w:rPr>
                <w:rFonts w:ascii="Times New Roman" w:hAnsi="Times New Roman"/>
                <w:b/>
                <w:sz w:val="18"/>
              </w:rPr>
              <w:t>Precision (%)</w:t>
            </w:r>
          </w:p>
        </w:tc>
        <w:tc>
          <w:tcPr>
            <w:tcW w:type="dxa" w:w="1680"/>
            <w:vAlign w:val="center"/>
            <w:shd w:fill="E8EEF5"/>
          </w:tcPr>
          <w:p>
            <w:pPr>
              <w:spacing w:before="40" w:after="40"/>
            </w:pPr>
            <w:r>
              <w:rPr>
                <w:rFonts w:ascii="Times New Roman" w:hAnsi="Times New Roman"/>
                <w:b/>
                <w:sz w:val="18"/>
              </w:rPr>
              <w:t>Recall (%)</w:t>
            </w:r>
          </w:p>
        </w:tc>
        <w:tc>
          <w:tcPr>
            <w:tcW w:type="dxa" w:w="1680"/>
            <w:vAlign w:val="center"/>
            <w:shd w:fill="E8EEF5"/>
          </w:tcPr>
          <w:p>
            <w:pPr>
              <w:spacing w:before="40" w:after="40"/>
            </w:pPr>
            <w:r>
              <w:rPr>
                <w:rFonts w:ascii="Times New Roman" w:hAnsi="Times New Roman"/>
                <w:b/>
                <w:sz w:val="18"/>
              </w:rPr>
              <w:t>F1-Score (%)</w:t>
            </w:r>
          </w:p>
        </w:tc>
        <w:tc>
          <w:tcPr>
            <w:tcW w:type="dxa" w:w="1680"/>
            <w:vAlign w:val="center"/>
            <w:shd w:fill="E8EEF5"/>
          </w:tcPr>
          <w:p>
            <w:pPr>
              <w:spacing w:before="40" w:after="40"/>
            </w:pPr>
            <w:r>
              <w:rPr>
                <w:rFonts w:ascii="Times New Roman" w:hAnsi="Times New Roman"/>
                <w:b/>
                <w:sz w:val="18"/>
              </w:rPr>
              <w:t>Confusion Matrix Row</w:t>
            </w:r>
          </w:p>
        </w:tc>
      </w:tr>
      <w:tr>
        <w:tc>
          <w:tcPr>
            <w:tcW w:type="dxa" w:w="1680"/>
            <w:vAlign w:val="center"/>
          </w:tcPr>
          <w:p>
            <w:pPr>
              <w:spacing w:before="40" w:after="40"/>
            </w:pPr>
            <w:r>
              <w:rPr>
                <w:rFonts w:ascii="Times New Roman" w:hAnsi="Times New Roman"/>
                <w:sz w:val="18"/>
              </w:rPr>
              <w:t>Normal Activity</w:t>
            </w:r>
          </w:p>
        </w:tc>
        <w:tc>
          <w:tcPr>
            <w:tcW w:type="dxa" w:w="1680"/>
            <w:vAlign w:val="center"/>
          </w:tcPr>
          <w:p>
            <w:pPr>
              <w:spacing w:before="40" w:after="40"/>
            </w:pPr>
            <w:r>
              <w:rPr>
                <w:rFonts w:ascii="Times New Roman" w:hAnsi="Times New Roman"/>
                <w:sz w:val="18"/>
              </w:rPr>
              <w:t>720</w:t>
            </w:r>
          </w:p>
        </w:tc>
        <w:tc>
          <w:tcPr>
            <w:tcW w:type="dxa" w:w="1680"/>
            <w:vAlign w:val="center"/>
          </w:tcPr>
          <w:p>
            <w:pPr>
              <w:spacing w:before="40" w:after="40"/>
            </w:pPr>
            <w:r>
              <w:rPr>
                <w:rFonts w:ascii="Times New Roman" w:hAnsi="Times New Roman"/>
                <w:sz w:val="18"/>
              </w:rPr>
              <w:t>98.89%</w:t>
            </w:r>
          </w:p>
        </w:tc>
        <w:tc>
          <w:tcPr>
            <w:tcW w:type="dxa" w:w="1680"/>
            <w:vAlign w:val="center"/>
          </w:tcPr>
          <w:p>
            <w:pPr>
              <w:spacing w:before="40" w:after="40"/>
            </w:pPr>
            <w:r>
              <w:rPr>
                <w:rFonts w:ascii="Times New Roman" w:hAnsi="Times New Roman"/>
                <w:sz w:val="18"/>
              </w:rPr>
              <w:t>98.75%</w:t>
            </w:r>
          </w:p>
        </w:tc>
        <w:tc>
          <w:tcPr>
            <w:tcW w:type="dxa" w:w="1680"/>
            <w:vAlign w:val="center"/>
          </w:tcPr>
          <w:p>
            <w:pPr>
              <w:spacing w:before="40" w:after="40"/>
            </w:pPr>
            <w:r>
              <w:rPr>
                <w:rFonts w:ascii="Times New Roman" w:hAnsi="Times New Roman"/>
                <w:sz w:val="18"/>
              </w:rPr>
              <w:t>98.82%</w:t>
            </w:r>
          </w:p>
        </w:tc>
        <w:tc>
          <w:tcPr>
            <w:tcW w:type="dxa" w:w="1680"/>
            <w:vAlign w:val="center"/>
          </w:tcPr>
          <w:p>
            <w:pPr>
              <w:spacing w:before="40" w:after="40"/>
            </w:pPr>
            <w:r>
              <w:rPr>
                <w:rFonts w:ascii="Times New Roman" w:hAnsi="Times New Roman"/>
                <w:sz w:val="18"/>
              </w:rPr>
              <w:t>[711 TP, 8 Fall, 1 Impact]</w:t>
            </w:r>
          </w:p>
        </w:tc>
      </w:tr>
      <w:tr>
        <w:tc>
          <w:tcPr>
            <w:tcW w:type="dxa" w:w="1680"/>
            <w:vAlign w:val="center"/>
          </w:tcPr>
          <w:p>
            <w:pPr>
              <w:spacing w:before="40" w:after="40"/>
            </w:pPr>
            <w:r>
              <w:rPr>
                <w:rFonts w:ascii="Times New Roman" w:hAnsi="Times New Roman"/>
                <w:sz w:val="18"/>
              </w:rPr>
              <w:t>Fall</w:t>
            </w:r>
          </w:p>
        </w:tc>
        <w:tc>
          <w:tcPr>
            <w:tcW w:type="dxa" w:w="1680"/>
            <w:vAlign w:val="center"/>
          </w:tcPr>
          <w:p>
            <w:pPr>
              <w:spacing w:before="40" w:after="40"/>
            </w:pPr>
            <w:r>
              <w:rPr>
                <w:rFonts w:ascii="Times New Roman" w:hAnsi="Times New Roman"/>
                <w:sz w:val="18"/>
              </w:rPr>
              <w:t>448</w:t>
            </w:r>
          </w:p>
        </w:tc>
        <w:tc>
          <w:tcPr>
            <w:tcW w:type="dxa" w:w="1680"/>
            <w:vAlign w:val="center"/>
          </w:tcPr>
          <w:p>
            <w:pPr>
              <w:spacing w:before="40" w:after="40"/>
            </w:pPr>
            <w:r>
              <w:rPr>
                <w:rFonts w:ascii="Times New Roman" w:hAnsi="Times New Roman"/>
                <w:sz w:val="18"/>
              </w:rPr>
              <w:t>94.89%</w:t>
            </w:r>
          </w:p>
        </w:tc>
        <w:tc>
          <w:tcPr>
            <w:tcW w:type="dxa" w:w="1680"/>
            <w:vAlign w:val="center"/>
          </w:tcPr>
          <w:p>
            <w:pPr>
              <w:spacing w:before="40" w:after="40"/>
            </w:pPr>
            <w:r>
              <w:rPr>
                <w:rFonts w:ascii="Times New Roman" w:hAnsi="Times New Roman"/>
                <w:sz w:val="18"/>
              </w:rPr>
              <w:t>95.31%</w:t>
            </w:r>
          </w:p>
        </w:tc>
        <w:tc>
          <w:tcPr>
            <w:tcW w:type="dxa" w:w="1680"/>
            <w:vAlign w:val="center"/>
          </w:tcPr>
          <w:p>
            <w:pPr>
              <w:spacing w:before="40" w:after="40"/>
            </w:pPr>
            <w:r>
              <w:rPr>
                <w:rFonts w:ascii="Times New Roman" w:hAnsi="Times New Roman"/>
                <w:sz w:val="18"/>
              </w:rPr>
              <w:t>95.10%</w:t>
            </w:r>
          </w:p>
        </w:tc>
        <w:tc>
          <w:tcPr>
            <w:tcW w:type="dxa" w:w="1680"/>
            <w:vAlign w:val="center"/>
          </w:tcPr>
          <w:p>
            <w:pPr>
              <w:spacing w:before="40" w:after="40"/>
            </w:pPr>
            <w:r>
              <w:rPr>
                <w:rFonts w:ascii="Times New Roman" w:hAnsi="Times New Roman"/>
                <w:sz w:val="18"/>
              </w:rPr>
              <w:t>[8 Normal, 427 TP, 13 Impact]</w:t>
            </w:r>
          </w:p>
        </w:tc>
      </w:tr>
      <w:tr>
        <w:tc>
          <w:tcPr>
            <w:tcW w:type="dxa" w:w="1680"/>
            <w:vAlign w:val="center"/>
          </w:tcPr>
          <w:p>
            <w:pPr>
              <w:spacing w:before="40" w:after="40"/>
            </w:pPr>
            <w:r>
              <w:rPr>
                <w:rFonts w:ascii="Times New Roman" w:hAnsi="Times New Roman"/>
                <w:sz w:val="18"/>
              </w:rPr>
              <w:t>Impact</w:t>
            </w:r>
          </w:p>
        </w:tc>
        <w:tc>
          <w:tcPr>
            <w:tcW w:type="dxa" w:w="1680"/>
            <w:vAlign w:val="center"/>
          </w:tcPr>
          <w:p>
            <w:pPr>
              <w:spacing w:before="40" w:after="40"/>
            </w:pPr>
            <w:r>
              <w:rPr>
                <w:rFonts w:ascii="Times New Roman" w:hAnsi="Times New Roman"/>
                <w:sz w:val="18"/>
              </w:rPr>
              <w:t>60</w:t>
            </w:r>
          </w:p>
        </w:tc>
        <w:tc>
          <w:tcPr>
            <w:tcW w:type="dxa" w:w="1680"/>
            <w:vAlign w:val="center"/>
          </w:tcPr>
          <w:p>
            <w:pPr>
              <w:spacing w:before="40" w:after="40"/>
            </w:pPr>
            <w:r>
              <w:rPr>
                <w:rFonts w:ascii="Times New Roman" w:hAnsi="Times New Roman"/>
                <w:sz w:val="18"/>
              </w:rPr>
              <w:t>76.27%</w:t>
            </w:r>
          </w:p>
        </w:tc>
        <w:tc>
          <w:tcPr>
            <w:tcW w:type="dxa" w:w="1680"/>
            <w:vAlign w:val="center"/>
          </w:tcPr>
          <w:p>
            <w:pPr>
              <w:spacing w:before="40" w:after="40"/>
            </w:pPr>
            <w:r>
              <w:rPr>
                <w:rFonts w:ascii="Times New Roman" w:hAnsi="Times New Roman"/>
                <w:sz w:val="18"/>
              </w:rPr>
              <w:t>75.00%</w:t>
            </w:r>
          </w:p>
        </w:tc>
        <w:tc>
          <w:tcPr>
            <w:tcW w:type="dxa" w:w="1680"/>
            <w:vAlign w:val="center"/>
          </w:tcPr>
          <w:p>
            <w:pPr>
              <w:spacing w:before="40" w:after="40"/>
            </w:pPr>
            <w:r>
              <w:rPr>
                <w:rFonts w:ascii="Times New Roman" w:hAnsi="Times New Roman"/>
                <w:sz w:val="18"/>
              </w:rPr>
              <w:t>75.63%</w:t>
            </w:r>
          </w:p>
        </w:tc>
        <w:tc>
          <w:tcPr>
            <w:tcW w:type="dxa" w:w="1680"/>
            <w:vAlign w:val="center"/>
          </w:tcPr>
          <w:p>
            <w:pPr>
              <w:spacing w:before="40" w:after="40"/>
            </w:pPr>
            <w:r>
              <w:rPr>
                <w:rFonts w:ascii="Times New Roman" w:hAnsi="Times New Roman"/>
                <w:sz w:val="18"/>
              </w:rPr>
              <w:t>[0 Normal, 15 Fall, 45 TP]</w:t>
            </w:r>
          </w:p>
        </w:tc>
      </w:tr>
      <w:tr>
        <w:tc>
          <w:tcPr>
            <w:tcW w:type="dxa" w:w="1680"/>
            <w:vAlign w:val="center"/>
          </w:tcPr>
          <w:p>
            <w:pPr>
              <w:spacing w:before="40" w:after="40"/>
            </w:pPr>
            <w:r>
              <w:rPr>
                <w:rFonts w:ascii="Times New Roman" w:hAnsi="Times New Roman"/>
                <w:sz w:val="18"/>
              </w:rPr>
              <w:t>Overall / Macro Avg</w:t>
            </w:r>
          </w:p>
        </w:tc>
        <w:tc>
          <w:tcPr>
            <w:tcW w:type="dxa" w:w="1680"/>
            <w:vAlign w:val="center"/>
          </w:tcPr>
          <w:p>
            <w:pPr>
              <w:spacing w:before="40" w:after="40"/>
            </w:pPr>
            <w:r>
              <w:rPr>
                <w:rFonts w:ascii="Times New Roman" w:hAnsi="Times New Roman"/>
                <w:sz w:val="18"/>
              </w:rPr>
              <w:t>1,228</w:t>
            </w:r>
          </w:p>
        </w:tc>
        <w:tc>
          <w:tcPr>
            <w:tcW w:type="dxa" w:w="1680"/>
            <w:vAlign w:val="center"/>
          </w:tcPr>
          <w:p>
            <w:pPr>
              <w:spacing w:before="40" w:after="40"/>
            </w:pPr>
            <w:r>
              <w:rPr>
                <w:rFonts w:ascii="Times New Roman" w:hAnsi="Times New Roman"/>
                <w:sz w:val="18"/>
              </w:rPr>
              <w:t>90.02%</w:t>
            </w:r>
          </w:p>
        </w:tc>
        <w:tc>
          <w:tcPr>
            <w:tcW w:type="dxa" w:w="1680"/>
            <w:vAlign w:val="center"/>
          </w:tcPr>
          <w:p>
            <w:pPr>
              <w:spacing w:before="40" w:after="40"/>
            </w:pPr>
            <w:r>
              <w:rPr>
                <w:rFonts w:ascii="Times New Roman" w:hAnsi="Times New Roman"/>
                <w:sz w:val="18"/>
              </w:rPr>
              <w:t>89.69%</w:t>
            </w:r>
          </w:p>
        </w:tc>
        <w:tc>
          <w:tcPr>
            <w:tcW w:type="dxa" w:w="1680"/>
            <w:vAlign w:val="center"/>
          </w:tcPr>
          <w:p>
            <w:pPr>
              <w:spacing w:before="40" w:after="40"/>
            </w:pPr>
            <w:r>
              <w:rPr>
                <w:rFonts w:ascii="Times New Roman" w:hAnsi="Times New Roman"/>
                <w:sz w:val="18"/>
              </w:rPr>
              <w:t>89.85%</w:t>
            </w:r>
          </w:p>
        </w:tc>
        <w:tc>
          <w:tcPr>
            <w:tcW w:type="dxa" w:w="1680"/>
            <w:vAlign w:val="center"/>
          </w:tcPr>
          <w:p>
            <w:pPr>
              <w:spacing w:before="40" w:after="40"/>
            </w:pPr>
            <w:r>
              <w:rPr>
                <w:rFonts w:ascii="Times New Roman" w:hAnsi="Times New Roman"/>
                <w:sz w:val="18"/>
              </w:rPr>
              <w:t>Overall Accuracy: 96.34%</w:t>
            </w:r>
          </w:p>
        </w:tc>
      </w:tr>
    </w:tbl>
    <w:p>
      <w:pPr>
        <w:jc w:val="center"/>
      </w:pPr>
      <w:r>
        <w:rPr>
          <w:b/>
          <w:sz w:val="18"/>
        </w:rPr>
        <w:t>TABLE IV: SENSOR MOTION EVENT CLASSIFIER PER-CLASS PERFORMANCE (N=1,228 WINDOWS)</w:t>
      </w:r>
    </w:p>
    <w:p>
      <w:pPr>
        <w:spacing w:before="160" w:after="60"/>
      </w:pPr>
      <w:r>
        <w:rPr>
          <w:rFonts w:ascii="Times New Roman" w:hAnsi="Times New Roman"/>
          <w:b/>
          <w:i/>
          <w:sz w:val="22"/>
        </w:rPr>
        <w:t>4.4. Vision Pipeline Performance: YOLO11, EfficientNetV2-S, and ResNet34-U-Net</w:t>
      </w:r>
    </w:p>
    <w:p>
      <w:pPr>
        <w:spacing w:after="80" w:line="264" w:lineRule="auto"/>
        <w:jc w:val="both"/>
      </w:pPr>
      <w:r>
        <w:rPr>
          <w:rFonts w:ascii="Times New Roman" w:hAnsi="Times New Roman"/>
          <w:sz w:val="20"/>
        </w:rPr>
        <w:t>Vision model evaluation yielded distinct, task-specific findings:</w:t>
        <w:br/>
        <w:t>1. YOLO11 Detection: On the held-out test split of 23 photographic wound images (74 bounding boxes), YOLO11 achieved mAP@50 = 36.47% and mAP@50–95 = 18.44% (Precision = 51.59%, Recall = 39.42%). Performance was highest for Abrasion (AP50 = 61.03%), Bruise (60.08%), and Cut (50.67%), while deeper chronic Wounds (19.36%) and Burns (16.07%) suffered from texture ambiguity. These results highlight the inherent challenges of unconstrained clinical photography.</w:t>
        <w:br/>
        <w:t>2. EfficientNetV2-S Classification: Evaluated across 473 held-out test photos, the model achieved an overall accuracy of 96.62% and Macro-F1 of 94.34% (Macro Precision: 94.26%, Macro Recall: 95.01%), successfully classifying cuts (F1 = 94.12%), bruises (93.33%), and wounds (98.48%) while maintaining zero out-of-distribution false positives.</w:t>
        <w:br/>
        <w:t>3. ResNet34-U-Net Segmentation: Across 69 held-out photographic wound-mask pairs, ResNet34-U-Net achieved a Mean Dice score of 64.18% and Mean IoU of 51.78% (Pixel Precision = 69.30%, Pixel Recall = 72.33%, binarization threshold tau = 0.50). This performance is fully consistent with published biomedical literature on non-standardized chronic wound photography, where baseline Dice scores typically range between 62% and 72% due to indistinct epithelial margins.</w:t>
      </w:r>
    </w:p>
    <w:p>
      <w:pPr>
        <w:spacing w:before="240" w:after="80"/>
      </w:pPr>
      <w:r>
        <w:rPr>
          <w:rFonts w:ascii="Times New Roman" w:hAnsi="Times New Roman"/>
          <w:b/>
          <w:sz w:val="24"/>
        </w:rPr>
        <w:t>V. CONCLUSION AND RESEARCH LIMITATIONS</w:t>
      </w:r>
    </w:p>
    <w:p>
      <w:pPr>
        <w:spacing w:after="80" w:line="264" w:lineRule="auto"/>
        <w:jc w:val="both"/>
      </w:pPr>
      <w:r>
        <w:rPr>
          <w:rFonts w:ascii="Times New Roman" w:hAnsi="Times New Roman"/>
          <w:sz w:val="20"/>
        </w:rPr>
        <w:t>AI-QTriage demonstrates a functional, multi-tier multimodal framework that successfully integrates computer vision, high-frequency kinetic telemetry, and symptom questionnaires into an explainable preliminary injury assessment pipeline. Rigorous empirical verification resolved prior manuscript contradictions, standardized real photographic detection metrics (YOLO11 mAP@50 = 36.47%), established a 7-configuration modality ablation showing that multimodal fusion achieves 83.33% accuracy (+26.66% to +36.66% over single modalities), and verified sensor classification at 96.34% accuracy on 1,228 real-world IMU windows.</w:t>
        <w:br/>
        <w:br/>
        <w:t>The study also confirms that classical gradient-boosted trees (XGBoost accuracy 83.33%, MCC = 0.7027) remain vastly superior to small-scale simulated quantum classifiers (4-qubit VQC accuracy 53.33%, MCC = 0.0960), establishing that current parameterized quantum circuits on classical simulators offer no computational advantage for tabular triage.</w:t>
        <w:br/>
        <w:br/>
        <w:t>Crucial Research Limitations: AI-QTriage is strictly an academic proof-of-concept. The multimodal tabular dataset comprises 200 synthetic vectors evaluated on a small held-out test split (N = 30), and ground truth labels represent rule-derived research heuristics rather than certified clinical diagnoses. Future work will focus on acquiring large-scale, IRB-approved paired clinical trauma cohorts, expanding mobile-edge inference, and evaluating fault-tolerant quantum algorithms on physical QPU hardware.</w:t>
      </w:r>
    </w:p>
    <w:p>
      <w:pPr>
        <w:spacing w:before="240" w:after="80"/>
      </w:pPr>
      <w:r>
        <w:rPr>
          <w:rFonts w:ascii="Times New Roman" w:hAnsi="Times New Roman"/>
          <w:b/>
          <w:sz w:val="24"/>
        </w:rPr>
        <w:t>VI. REFERENCES</w:t>
      </w:r>
    </w:p>
    <w:p>
      <w:pPr>
        <w:spacing w:after="40"/>
      </w:pPr>
      <w:r>
        <w:rPr>
          <w:rFonts w:ascii="Times New Roman" w:hAnsi="Times New Roman"/>
          <w:sz w:val="17"/>
        </w:rPr>
        <w:t>[1] F. Krones et al., 'Review of multimodal machine learning approaches in healthcare,' Information Fusion, vol. 104, p. 102148, 2024.</w:t>
      </w:r>
    </w:p>
    <w:p>
      <w:pPr>
        <w:spacing w:after="40"/>
      </w:pPr>
      <w:r>
        <w:rPr>
          <w:rFonts w:ascii="Times New Roman" w:hAnsi="Times New Roman"/>
          <w:sz w:val="17"/>
        </w:rPr>
        <w:t>[2] A. Kline et al., 'Multimodal machine learning in precision health: A scoping review,' npj Digital Medicine, vol. 5, no. 1, p. 171, 2022.</w:t>
      </w:r>
    </w:p>
    <w:p>
      <w:pPr>
        <w:spacing w:after="40"/>
      </w:pPr>
      <w:r>
        <w:rPr>
          <w:rFonts w:ascii="Times New Roman" w:hAnsi="Times New Roman"/>
          <w:sz w:val="17"/>
        </w:rPr>
        <w:t>[3] M. Tan and Q. V. Le, 'EfficientNetV2: Smaller models and faster training,' in Proc. 38th Int. Conf. Machine Learning (ICML), 2021, pp. 10096–10106.</w:t>
      </w:r>
    </w:p>
    <w:p>
      <w:pPr>
        <w:spacing w:after="40"/>
      </w:pPr>
      <w:r>
        <w:rPr>
          <w:rFonts w:ascii="Times New Roman" w:hAnsi="Times New Roman"/>
          <w:sz w:val="17"/>
        </w:rPr>
        <w:t>[4] N. Gessert et al., 'Skin lesion classification using ensembles of multi-resolution EfficientNets with meta data,' MethodsX, vol. 7, p. 100864, 2020.</w:t>
      </w:r>
    </w:p>
    <w:p>
      <w:pPr>
        <w:spacing w:after="40"/>
      </w:pPr>
      <w:r>
        <w:rPr>
          <w:rFonts w:ascii="Times New Roman" w:hAnsi="Times New Roman"/>
          <w:sz w:val="17"/>
        </w:rPr>
        <w:t>[5] O. Ronneberger, P. Fischer, and T. Brox, 'U-Net: Convolutional networks for biomedical image segmentation,' in Proc. MICCAI, 2015, pp. 234–241.</w:t>
      </w:r>
    </w:p>
    <w:p>
      <w:pPr>
        <w:spacing w:after="40"/>
      </w:pPr>
      <w:r>
        <w:rPr>
          <w:rFonts w:ascii="Times New Roman" w:hAnsi="Times New Roman"/>
          <w:sz w:val="17"/>
        </w:rPr>
        <w:t>[6] R. R. Selvaraju et al., 'Grad-CAM: Visual explanations from deep networks via gradient-based localization,' in Proc. IEEE ICCV, 2017, pp. 618–626.</w:t>
      </w:r>
    </w:p>
    <w:p>
      <w:pPr>
        <w:spacing w:after="40"/>
      </w:pPr>
      <w:r>
        <w:rPr>
          <w:rFonts w:ascii="Times New Roman" w:hAnsi="Times New Roman"/>
          <w:sz w:val="17"/>
        </w:rPr>
        <w:t>[7] J. N. Acosta et al., 'Multimodal biomedical AI,' Nature Medicine, vol. 28, no. 9, pp. 1773–1784, 2022.</w:t>
      </w:r>
    </w:p>
    <w:p>
      <w:pPr>
        <w:spacing w:after="40"/>
      </w:pPr>
      <w:r>
        <w:rPr>
          <w:rFonts w:ascii="Times New Roman" w:hAnsi="Times New Roman"/>
          <w:sz w:val="17"/>
        </w:rPr>
        <w:t>[8] T. Chen and C. Guestrin, 'XGBoost: A scalable tree boosting system,' in Proc. 22nd ACM SIGKDD, 2016, pp. 785–794.</w:t>
      </w:r>
    </w:p>
    <w:p>
      <w:pPr>
        <w:spacing w:after="40"/>
      </w:pPr>
      <w:r>
        <w:rPr>
          <w:rFonts w:ascii="Times New Roman" w:hAnsi="Times New Roman"/>
          <w:sz w:val="17"/>
        </w:rPr>
        <w:t>[9] A. Sucerquia, J. D. López, and J. F. Vargas-Bonilla, 'SisFall: A fall and movement dataset,' Sensors, vol. 17, no. 1, p. 198, 2017.</w:t>
      </w:r>
    </w:p>
    <w:p>
      <w:pPr>
        <w:spacing w:after="40"/>
      </w:pPr>
      <w:r>
        <w:rPr>
          <w:rFonts w:ascii="Times New Roman" w:hAnsi="Times New Roman"/>
          <w:sz w:val="17"/>
        </w:rPr>
        <w:t>[10] D. Anguita, A. Ghio, L. Oneto, X. Parra, and J. L. Reyes-Ortiz, 'A public domain dataset for human activity recognition using smartphones,' in Proc. 21th Int. European Symp. Artificial Neural Networks, Computational Intelligence and Machine Learning (ESANN), 2013, pp. 437–442.</w:t>
      </w:r>
    </w:p>
    <w:p>
      <w:pPr>
        <w:spacing w:after="40"/>
      </w:pPr>
      <w:r>
        <w:rPr>
          <w:rFonts w:ascii="Times New Roman" w:hAnsi="Times New Roman"/>
          <w:sz w:val="17"/>
        </w:rPr>
        <w:t>[11] M. Martínez-Villaseñor et al., 'UP-Fall detection dataset: A multimodal approach,' Sensors, vol. 19, no. 9, p. 1988, 2019.</w:t>
      </w:r>
    </w:p>
    <w:p>
      <w:pPr>
        <w:spacing w:after="40"/>
      </w:pPr>
      <w:r>
        <w:rPr>
          <w:rFonts w:ascii="Times New Roman" w:hAnsi="Times New Roman"/>
          <w:sz w:val="17"/>
        </w:rPr>
        <w:t>[12] S. M. Lundberg and S.-I. Lee, 'A unified approach to interpreting model predictions,' in Advances in Neural Information Processing Systems (NeurIPS 30), 2017, pp. 4765–4774.</w:t>
      </w:r>
    </w:p>
    <w:p>
      <w:pPr>
        <w:spacing w:after="40"/>
      </w:pPr>
      <w:r>
        <w:rPr>
          <w:rFonts w:ascii="Times New Roman" w:hAnsi="Times New Roman"/>
          <w:sz w:val="17"/>
        </w:rPr>
        <w:t>[13] V. Bergholm et al., 'PennyLane: Automatic differentiation of hybrid quantum-classical computations,' arXiv preprint arXiv:1811.04968, 2018.</w:t>
      </w:r>
    </w:p>
    <w:p>
      <w:pPr>
        <w:spacing w:after="40"/>
      </w:pPr>
      <w:r>
        <w:rPr>
          <w:rFonts w:ascii="Times New Roman" w:hAnsi="Times New Roman"/>
          <w:sz w:val="17"/>
        </w:rPr>
        <w:t>[14] G. Jocher and J. Qiu, 'Ultralytics YOLO11 (Version 11.0.0),' Ultralytics Inc., 2024. [Online]. Available: https://docs.ultralytics.com</w:t>
      </w:r>
    </w:p>
    <w:p>
      <w:pPr>
        <w:spacing w:after="40"/>
      </w:pPr>
      <w:r>
        <w:rPr>
          <w:rFonts w:ascii="Times New Roman" w:hAnsi="Times New Roman"/>
          <w:sz w:val="17"/>
        </w:rPr>
        <w:t>[15] M. H. Tusar et al., 'AI-powered image-based assessment of pressure injuries using YOLOv8 models,' Wound Repair and Regeneration, vol. 15, no. 5, pp. 271–288,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