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val="clear"/>
        <w:spacing w:after="0" w:before="0"/>
      </w:pPr>
      <w:r>
        <w:rPr>
          <w:rFonts w:ascii="Calibri" w:cs="Calibri" w:eastAsia="Calibri" w:hAnsi="Calibri"/>
          <w:b/>
          <w:bCs/>
          <w:color w:val="C9A227"/>
          <w:spacing w:val="70"/>
          <w:sz w:val="15"/>
          <w:szCs w:val="15"/>
        </w:rPr>
        <w:t xml:space="preserve">CONSOLIDATED QA REPORT</w:t>
      </w:r>
    </w:p>
    <w:p>
      <w:pPr>
        <w:shd w:fill="1F3A5F" w:val="clear"/>
        <w:spacing w:after="0" w:before="0"/>
      </w:pPr>
      <w:r>
        <w:rPr>
          <w:rFonts w:ascii="Georgia" w:cs="Georgia" w:eastAsia="Georgia" w:hAnsi="Georgia"/>
          <w:b/>
          <w:bCs/>
          <w:color w:val="FFFFFF"/>
          <w:sz w:val="40"/>
          <w:szCs w:val="40"/>
        </w:rPr>
        <w:t xml:space="preserve">Aastrika Sphere — Learner Portal</w:t>
      </w:r>
    </w:p>
    <w:p>
      <w:pPr>
        <w:pBdr>
          <w:bottom w:val="single" w:color="2A9D8F" w:sz="18"/>
        </w:pBdr>
        <w:shd w:fill="1F3A5F" w:val="clear"/>
        <w:spacing w:after="60" w:before="40"/>
      </w:pPr>
      <w:r>
        <w:rPr>
          <w:rFonts w:ascii="Calibri" w:cs="Calibri" w:eastAsia="Calibri" w:hAnsi="Calibri"/>
          <w:color w:val="C7D3E0"/>
          <w:sz w:val="18"/>
          <w:szCs w:val="18"/>
        </w:rPr>
        <w:t xml:space="preserve">Automation regression cross-verified against the Learner Portal manual master suite   ·   Confidential   ·   04 July 2026</w:t>
      </w:r>
    </w:p>
    <w:p>
      <w:pPr>
        <w:shd w:fill="E4F3EC" w:val="clear"/>
        <w:spacing w:after="0" w:before="0"/>
      </w:pPr>
      <w:r>
        <w:rPr>
          <w:rFonts w:ascii="Calibri" w:cs="Calibri" w:eastAsia="Calibri" w:hAnsi="Calibri"/>
          <w:b/>
          <w:bCs/>
          <w:color w:val="1E7A4D"/>
          <w:sz w:val="24"/>
          <w:szCs w:val="24"/>
        </w:rPr>
        <w:t xml:space="preserve">✓  Release-ready — 0 genuine defects</w:t>
      </w:r>
    </w:p>
    <w:p>
      <w:pPr>
        <w:shd w:fill="E4F3EC" w:val="clear"/>
        <w:spacing w:after="80" w:before="0"/>
      </w:pPr>
      <w:r>
        <w:rPr>
          <w:rFonts w:ascii="Calibri" w:cs="Calibri" w:eastAsia="Calibri" w:hAnsi="Calibri"/>
          <w:color w:val="3F6B52"/>
          <w:sz w:val="18"/>
          <w:szCs w:val="18"/>
        </w:rPr>
        <w:t xml:space="preserve">96.7% automation pass rate · all 11 automation failures confirmed as false-negatives on manual verification.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1.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Test 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33240"/>
          <w:sz w:val="20"/>
          <w:szCs w:val="20"/>
        </w:rPr>
        <w:t xml:space="preserve">To ensure that the Aastrika Sphere platform meets the specified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33240"/>
          <w:sz w:val="20"/>
          <w:szCs w:val="20"/>
        </w:rPr>
        <w:t xml:space="preserve">To identify any existing defects in the current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33240"/>
          <w:sz w:val="20"/>
          <w:szCs w:val="20"/>
        </w:rPr>
        <w:t xml:space="preserve">To validate each automation failure against the manual master suite to separate real defects from test-harness / environment false-negatives.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33240"/>
          <w:sz w:val="20"/>
          <w:szCs w:val="20"/>
        </w:rPr>
        <w:t xml:space="preserve">To assess the readiness of the platform for release.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2.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Test Environment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Web platform — Aastrika Sphere Learner Portal (browser-based)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Automation framework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Playwright / TypeScript — sequential single-tab execution (workers: 1)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Staging and Production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Browsers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Chromium (Playwright) + cross-browser via BrowserStack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Windows 11, macOS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Manual verification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BrowserStack + local desktop re-testing of failed cases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Application URL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https://sphere.aastrika.org</w:t>
            </w:r>
          </w:p>
        </w:tc>
      </w:tr>
      <w:tr>
        <w:tc>
          <w:tcPr>
            <w:tcW w:type="dxa" w:w="27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Report generated</w:t>
            </w:r>
          </w:p>
        </w:tc>
        <w:tc>
          <w:tcPr>
            <w:tcW w:type="dxa" w:w="66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04 July 2026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3.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Test Summary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 Automation Tests Executed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345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 Passed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318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 Failed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 Skipped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Automation Pass Rate (excl. skipped)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19"/>
                <w:szCs w:val="19"/>
              </w:rPr>
              <w:t xml:space="preserve">96.7%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Failed Cases Re-verified Manually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Genuine Defects Confirmed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Manual Master Suite (documented coverage)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628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4.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Failure Matrix</w:t>
      </w:r>
      <w:r>
        <w:rPr>
          <w:rFonts w:ascii="Calibri" w:cs="Calibri" w:eastAsia="Calibri" w:hAnsi="Calibri"/>
          <w:i/>
          <w:iCs/>
          <w:color w:val="5A6470"/>
          <w:sz w:val="17"/>
          <w:szCs w:val="17"/>
        </w:rPr>
        <w:t xml:space="preserve">    genuine defects confirmed after manual verification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E4F3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UI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E4F3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</w:t>
            </w:r>
          </w:p>
        </w:tc>
      </w:tr>
    </w:tbl>
    <w:p>
      <w:pPr>
        <w:pBdr>
          <w:left w:val="single" w:color="2A9D8F" w:sz="18"/>
        </w:pBdr>
        <w:shd w:fill="FAFBFC" w:val="clear"/>
        <w:spacing w:after="0" w:before="12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Note:  </w:t>
      </w:r>
      <w:r>
        <w:rPr>
          <w:rFonts w:ascii="Calibri" w:cs="Calibri" w:eastAsia="Calibri" w:hAnsi="Calibri"/>
          <w:color w:val="5A6470"/>
          <w:sz w:val="18"/>
          <w:szCs w:val="18"/>
        </w:rPr>
        <w:t xml:space="preserve">All 11 automation failures were verified against the manual master suite and confirmed as false-negatives — the features pass on manual testing. No genuine functional or UI defect was raised.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5.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Automation Failures by Root Cause</w:t>
      </w:r>
      <w:r>
        <w:rPr>
          <w:rFonts w:ascii="Calibri" w:cs="Calibri" w:eastAsia="Calibri" w:hAnsi="Calibri"/>
          <w:i/>
          <w:iCs/>
          <w:color w:val="5A6470"/>
          <w:sz w:val="17"/>
          <w:szCs w:val="17"/>
        </w:rPr>
        <w:t xml:space="preserve">    all cleared by manual verification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4560"/>
        <w:gridCol w:w="1200"/>
        <w:gridCol w:w="3600"/>
      </w:tblGrid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Test-harness — Yopmail OTP fetch timeout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Passed on manual verification</w:t>
            </w:r>
          </w:p>
        </w:tc>
      </w:tr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Environment — browser / context closed on timeout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Passed on manual verification</w:t>
            </w:r>
          </w:p>
        </w:tc>
      </w:tr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Data / timing — element or section not ready at run time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Passed on manual verification</w:t>
            </w:r>
          </w:p>
        </w:tc>
      </w:tr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External — Sunbird S3 CDN thumbnail 403 / timeout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Passed on manual verification</w:t>
            </w:r>
          </w:p>
        </w:tc>
      </w:tr>
      <w:tr>
        <w:tc>
          <w:tcPr>
            <w:tcW w:type="dxa" w:w="45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0 genuine defects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6.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Test Coverage Summary</w:t>
      </w:r>
      <w:r>
        <w:rPr>
          <w:rFonts w:ascii="Calibri" w:cs="Calibri" w:eastAsia="Calibri" w:hAnsi="Calibri"/>
          <w:i/>
          <w:iCs/>
          <w:color w:val="5A6470"/>
          <w:sz w:val="17"/>
          <w:szCs w:val="17"/>
        </w:rPr>
        <w:t xml:space="preserve">    across the 560-case must-run suite</w:t>
      </w:r>
    </w:p>
    <w:p>
      <w:pPr>
        <w:spacing w:after="100"/>
      </w:pPr>
      <w:r>
        <w:rPr>
          <w:rFonts w:ascii="Calibri" w:cs="Calibri" w:eastAsia="Calibri" w:hAnsi="Calibri"/>
          <w:color w:val="5A6470"/>
          <w:sz w:val="19"/>
          <w:szCs w:val="19"/>
        </w:rPr>
        <w:t xml:space="preserve">Coverage of the prioritised must-run suite. Every case is documented and verified through manual testing (100% manual coverage); the table below shows current automation status.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Automation status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Cases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Automated — covered by the current Playwright suite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180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32.1%</w:t>
            </w:r>
          </w:p>
        </w:tc>
      </w:tr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Manual, pending automation review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171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30.5%</w:t>
            </w:r>
          </w:p>
        </w:tc>
      </w:tr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Planned for automation (roadmap)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152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27.1%</w:t>
            </w:r>
          </w:p>
        </w:tc>
      </w:tr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Manual only — low automation value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57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10.2%</w:t>
            </w:r>
          </w:p>
        </w:tc>
      </w:tr>
      <w:tr>
        <w:tc>
          <w:tcPr>
            <w:tcW w:type="dxa" w:w="5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 must-run cases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560</w:t>
            </w:r>
          </w:p>
        </w:tc>
        <w:tc>
          <w:tcPr>
            <w:tcW w:type="dxa" w:w="21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100%</w:t>
            </w:r>
          </w:p>
        </w:tc>
      </w:tr>
    </w:tbl>
    <w:p>
      <w:pPr>
        <w:pBdr>
          <w:left w:val="single" w:color="2A9D8F" w:sz="18"/>
        </w:pBdr>
        <w:shd w:fill="FAFBFC" w:val="clear"/>
        <w:spacing w:after="0" w:before="12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Note:  </w:t>
      </w:r>
      <w:r>
        <w:rPr>
          <w:rFonts w:ascii="Calibri" w:cs="Calibri" w:eastAsia="Calibri" w:hAnsi="Calibri"/>
          <w:color w:val="5A6470"/>
          <w:sz w:val="18"/>
          <w:szCs w:val="18"/>
        </w:rPr>
        <w:t xml:space="preserve">Manual verification covers 100% of the must-run suite. “Pending automation review” are functional cases already exercised manually whose automation status is being reconciled against the script inventory; several are expected to already be automated.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7.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Coverage by Module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Automated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 automate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Manual · review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Manual only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Account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97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59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95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44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Public Page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83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Home (Authenticated)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75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53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My Courses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35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Course TOC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Competency Dashboard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Logout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A4D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560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180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152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171</w:t>
            </w:r>
          </w:p>
        </w:tc>
        <w:tc>
          <w:tcPr>
            <w:tcW w:type="dxa" w:w="12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57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8.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Automation Roadmap</w:t>
      </w:r>
      <w:r>
        <w:rPr>
          <w:rFonts w:ascii="Calibri" w:cs="Calibri" w:eastAsia="Calibri" w:hAnsi="Calibri"/>
          <w:i/>
          <w:iCs/>
          <w:color w:val="5A6470"/>
          <w:sz w:val="17"/>
          <w:szCs w:val="17"/>
        </w:rPr>
        <w:t xml:space="preserve">    152 cases identified to add to the suite</w:t>
      </w:r>
    </w:p>
    <w:p>
      <w:pPr>
        <w:spacing w:after="100"/>
      </w:pPr>
      <w:r>
        <w:rPr>
          <w:rFonts w:ascii="Calibri" w:cs="Calibri" w:eastAsia="Calibri" w:hAnsi="Calibri"/>
          <w:color w:val="5A6470"/>
          <w:sz w:val="19"/>
          <w:szCs w:val="19"/>
        </w:rPr>
        <w:t xml:space="preserve">Cases prioritised for automation build-out. Tier 1 are confirmed gaps in areas the current suite does not cover; Tier 2 are functional and negative paths with no clear automation match.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1400"/>
        <w:gridCol w:w="3000"/>
        <w:gridCol w:w="1160"/>
        <w:gridCol w:w="3800"/>
      </w:tblGrid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Cases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adds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Login page (returning user)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53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OTP / Password toggle, Get OTP, Forgot Password, password show-hide, help chat modal, identifier validation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Search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Results list, no-results state, clear-query path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9"/>
                <w:szCs w:val="19"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Bell dropdown, mark-as-read, empty state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Course TOC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28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Player controls &amp; edge paths not currently scripted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Field validation &amp; negative input paths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Home (Authenticated)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Section interactions &amp; navigation edge cases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Account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Field-level edits &amp; dropdown interactions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Public Page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Modal &amp; carousel interaction paths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Competency Dashboard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Tab &amp; state interactions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My Courses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33240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7"/>
                <w:szCs w:val="17"/>
              </w:rPr>
              <w:t xml:space="preserve">Tab-state edge case</w:t>
            </w:r>
          </w:p>
        </w:tc>
      </w:tr>
      <w:tr>
        <w:tc>
          <w:tcPr>
            <w:tcW w:type="dxa" w:w="14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Tier 1: 70  ·  Tier 2: 82</w:t>
            </w:r>
          </w:p>
        </w:tc>
        <w:tc>
          <w:tcPr>
            <w:tcW w:type="dxa" w:w="11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152</w:t>
            </w:r>
          </w:p>
        </w:tc>
        <w:tc>
          <w:tcPr>
            <w:tcW w:type="dxa" w:w="38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0F4F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9.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Type of Testing Conducted</w:t>
      </w:r>
    </w:p>
    <w:tbl>
      <w:tblPr>
        <w:tblW w:type="dxa" w:w="9360"/>
        <w:tblBorders>
          <w:top w:val="single" w:color="E2E7EC" w:sz="4"/>
          <w:left w:val="single" w:color="E2E7EC" w:sz="4"/>
          <w:bottom w:val="single" w:color="E2E7EC" w:sz="4"/>
          <w:right w:val="single" w:color="E2E7EC" w:sz="4"/>
          <w:insideH w:val="single" w:color="E2E7EC" w:sz="4"/>
          <w:insideV w:val="single" w:color="E2E7EC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Testing type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Regression Testing (Automation)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UI and Usability Testing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Manual Verification of Failed Cases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shd w:fill="FAFBF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36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3240"/>
                <w:sz w:val="19"/>
                <w:szCs w:val="19"/>
              </w:rPr>
              <w:t xml:space="preserve">Cross-browser Testing (BrowserStack)</w:t>
            </w:r>
          </w:p>
        </w:tc>
        <w:tc>
          <w:tcPr>
            <w:tcW w:type="dxa" w:w="3000"/>
            <w:tcBorders>
              <w:top w:val="single" w:color="E2E7EC" w:sz="4"/>
              <w:left w:val="single" w:color="E2E7EC" w:sz="4"/>
              <w:bottom w:val="single" w:color="E2E7EC" w:sz="4"/>
              <w:right w:val="single" w:color="E2E7E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D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10.   </w:t>
      </w: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Conclusion &amp; Release Readiness</w:t>
      </w:r>
    </w:p>
    <w:p>
      <w:pPr>
        <w:shd w:fill="1F3A5F" w:val="clear"/>
        <w:spacing w:after="0" w:before="0"/>
      </w:pPr>
      <w:r>
        <w:rPr>
          <w:rFonts w:ascii="Calibri" w:cs="Calibri" w:eastAsia="Calibri" w:hAnsi="Calibri"/>
          <w:b/>
          <w:bCs/>
          <w:color w:val="2A9D8F"/>
          <w:spacing w:val="40"/>
          <w:sz w:val="18"/>
          <w:szCs w:val="18"/>
        </w:rPr>
        <w:t xml:space="preserve">RELEASE-READY</w:t>
      </w:r>
    </w:p>
    <w:p>
      <w:pPr>
        <w:shd w:fill="1F3A5F" w:val="clear"/>
        <w:spacing w:after="0" w:before="40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No genuine defects; the build is recommended for release.</w:t>
      </w:r>
    </w:p>
    <w:p>
      <w:pPr>
        <w:shd w:fill="1F3A5F" w:val="clear"/>
        <w:spacing w:after="0" w:before="100"/>
      </w:pPr>
      <w:r>
        <w:rPr>
          <w:rFonts w:ascii="Calibri" w:cs="Calibri" w:eastAsia="Calibri" w:hAnsi="Calibri"/>
          <w:color w:val="CDD9E6"/>
          <w:sz w:val="18"/>
          <w:szCs w:val="18"/>
        </w:rPr>
        <w:t xml:space="preserve">The automated regression suite achieved a 96.7% pass rate. All 11 failures were re-tested manually and confirmed as false-negatives caused by test-harness, environment, data-timing, or external-CDN factors — none reflect a defect in the platform.</w:t>
      </w:r>
    </w:p>
    <w:p>
      <w:pPr>
        <w:shd w:fill="1F3A5F" w:val="clear"/>
        <w:spacing w:after="0" w:before="100"/>
      </w:pPr>
      <w:r>
        <w:rPr>
          <w:rFonts w:ascii="Calibri" w:cs="Calibri" w:eastAsia="Calibri" w:hAnsi="Calibri"/>
          <w:color w:val="CDD9E6"/>
          <w:sz w:val="18"/>
          <w:szCs w:val="18"/>
        </w:rPr>
        <w:t xml:space="preserve">Coverage of the prioritised must-run suite is comprehensive: 100% is documented and manually verified, with 180 cases automated today and a clear 152-case roadmap to extend automation into the Login page, Search, Notifications, and remaining functional edge paths.</w:t>
      </w:r>
    </w:p>
    <w:p>
      <w:pPr>
        <w:shd w:fill="1F3A5F" w:val="clear"/>
        <w:spacing w:after="80" w:before="100"/>
      </w:pPr>
      <w:r>
        <w:rPr>
          <w:rFonts w:ascii="Calibri" w:cs="Calibri" w:eastAsia="Calibri" w:hAnsi="Calibri"/>
          <w:color w:val="9FB3C8"/>
          <w:sz w:val="18"/>
          <w:szCs w:val="18"/>
        </w:rPr>
        <w:t xml:space="preserve">Recommended next steps: stabilise the Yopmail OTP-fetch step in the harness, monitor the Sunbird S3 CDN for intermittent thumbnail timeouts, and begin the Tier 1 automation build-out.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A2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2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Aastrika Sphere — Consolidated QA Report</dc:title>
  <dc:creator>Quality Assurance</dc:creator>
  <cp:lastModifiedBy>Un-named</cp:lastModifiedBy>
  <cp:revision>1</cp:revision>
  <dcterms:created xsi:type="dcterms:W3CDTF">2026-07-06T10:54:04.194Z</dcterms:created>
  <dcterms:modified xsi:type="dcterms:W3CDTF">2026-07-06T10:54:04.210Z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