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40" w:lineRule="auto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Santiago A. Ruiz Diaz</w:t>
      </w:r>
    </w:p>
    <w:p>
      <w:pPr>
        <w:spacing w:after="60" w:before="0" w:line="240" w:lineRule="auto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OT/ICS Cybersecurity Analyst  |  Security+ · CySA+ · PenTest+  |  15+ Years Critical Infrastructure</w:t>
      </w:r>
    </w:p>
    <w:p>
      <w:pPr>
        <w:spacing w:after="20" w:before="0" w:line="240" w:lineRule="auto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s.abelrd@gmail.com  |  United States  |  English / Spanish (Bilingual)</w:t>
      </w:r>
    </w:p>
    <w:p>
      <w:pPr>
        <w:spacing w:after="80" w:before="0" w:line="240" w:lineRule="auto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linkedin.com/in/santiago-a-ruiz-diaz-4aa418b2  |  github.com/Santi4g0RD</w:t>
      </w:r>
    </w:p>
    <w:p>
      <w:pPr>
        <w:pBdr>
          <w:bottom w:val="single" w:color="AAAAAA" w:sz="6"/>
        </w:pBdr>
        <w:spacing w:after="60" w:before="60" w:line="240" w:lineRule="auto"/>
      </w:pPr>
    </w:p>
    <w:p>
      <w:pPr>
        <w:pBdr>
          <w:bottom w:val="single" w:color="CCCCCC" w:sz="4"/>
        </w:pBdr>
        <w:spacing w:after="60" w:before="180" w:line="240" w:lineRule="auto"/>
      </w:pPr>
      <w:r>
        <w:rPr>
          <w:rFonts w:ascii="Calibri" w:cs="Calibri" w:eastAsia="Calibri" w:hAnsi="Calibri"/>
          <w:b/>
          <w:bCs/>
          <w:caps/>
          <w:color w:val="1F3864"/>
          <w:sz w:val="20"/>
          <w:szCs w:val="20"/>
        </w:rPr>
        <w:t xml:space="preserve">Professional Summary</w:t>
      </w:r>
    </w:p>
    <w:p>
      <w:pPr>
        <w:spacing w:after="60" w:before="6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Cybersecurity professional with 15+ years of hands-on experience operating Operational Technology (OT) and Industrial Control Systems (ICS) — including Building Management Systems (BMS), SCADA-like controllers, PLC-driven systems, and BACnet networks — now applying that field-level OT knowledge directly in cybersecurity operations.</w:t>
      </w:r>
    </w:p>
    <w:p>
      <w:pPr>
        <w:spacing w:after="60" w:before="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Most cybersecurity analysts have never touched a PLC or walked a server room monitoring a BACnet controller. I have — for 15+ years. That operational context shapes how I approach threat detection, anomaly analysis, and incident response across IT and OT environments.</w:t>
      </w:r>
    </w:p>
    <w:p>
      <w:pPr>
        <w:spacing w:after="80" w:before="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Currently working as Security Engineer I at LOGN Pacific, delivering hands-on projects in Microsoft Sentinel, Defender for Endpoint (EDR), Tenable vulnerability management, and SOC threat hunting — while completing my B.S. in Cybersecurity &amp; Information Assurance at Western Governors University. Pursuing a Master's degree in Cybersecurity with enrollment planned for mid-2026.</w:t>
      </w:r>
    </w:p>
    <w:p>
      <w:pPr>
        <w:pBdr>
          <w:bottom w:val="single" w:color="CCCCCC" w:sz="4"/>
        </w:pBdr>
        <w:spacing w:after="60" w:before="180" w:line="240" w:lineRule="auto"/>
      </w:pPr>
      <w:r>
        <w:rPr>
          <w:rFonts w:ascii="Calibri" w:cs="Calibri" w:eastAsia="Calibri" w:hAnsi="Calibri"/>
          <w:b/>
          <w:bCs/>
          <w:caps/>
          <w:color w:val="1F3864"/>
          <w:sz w:val="20"/>
          <w:szCs w:val="20"/>
        </w:rPr>
        <w:t xml:space="preserve">Core Competencies</w:t>
      </w:r>
    </w:p>
    <w:p>
      <w:pPr>
        <w:spacing w:after="80" w:before="6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SIEM  ·  Threat Hunting  ·  SOC Operations  ·  Alert Triage  ·  Incident Response  ·  Log Analysis  ·  Vulnerability Assessment  ·  EDR  ·  Endpoint Detection &amp; Response  ·  OT/ICS Security  ·  SCADA  ·  PLC  ·  GCL+  ·  BACnet  ·  BMS  ·  IEC 62443  ·  NIST 800-82  ·  NIST CSF  ·  NIST 800-53  ·  IT/OT Convergence  ·  Network Segmentation  ·  Purdue Model  ·  Zero Trust  ·  Privileged Access Management  ·  Access Control  ·  System Hardening  ·  Risk Assessment  ·  Python  ·  PowerShell  ·  Bash  ·  KQL  ·  Microsoft Sentinel  ·  Microsoft Defender for Endpoint  ·  Microsoft 365 Defender  ·  Tenable / Nessus  ·  Azure Security  ·  MITRE ATT&amp;CK  ·  DISA STIG</w:t>
      </w:r>
    </w:p>
    <w:p>
      <w:pPr>
        <w:pBdr>
          <w:bottom w:val="single" w:color="CCCCCC" w:sz="4"/>
        </w:pBdr>
        <w:spacing w:after="60" w:before="180" w:line="240" w:lineRule="auto"/>
      </w:pPr>
      <w:r>
        <w:rPr>
          <w:rFonts w:ascii="Calibri" w:cs="Calibri" w:eastAsia="Calibri" w:hAnsi="Calibri"/>
          <w:b/>
          <w:bCs/>
          <w:caps/>
          <w:color w:val="1F3864"/>
          <w:sz w:val="20"/>
          <w:szCs w:val="20"/>
        </w:rPr>
        <w:t xml:space="preserve">Certifications</w:t>
      </w:r>
    </w:p>
    <w:p>
      <w:pPr>
        <w:spacing w:after="30" w:before="6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CompTIA PenTest+</w:t>
      </w:r>
      <w:r>
        <w:rPr>
          <w:rFonts w:ascii="Calibri" w:cs="Calibri" w:eastAsia="Calibri" w:hAnsi="Calibri"/>
          <w:sz w:val="19"/>
          <w:szCs w:val="19"/>
        </w:rPr>
        <w:t xml:space="preserve">  —  CompTIA  ·  Issued: Mar 2026  ·  Expires: Mar 2029</w:t>
      </w:r>
    </w:p>
    <w:p>
      <w:pPr>
        <w:spacing w:after="30" w:before="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CompTIA CySA+ (ce)</w:t>
      </w:r>
      <w:r>
        <w:rPr>
          <w:rFonts w:ascii="Calibri" w:cs="Calibri" w:eastAsia="Calibri" w:hAnsi="Calibri"/>
          <w:sz w:val="19"/>
          <w:szCs w:val="19"/>
        </w:rPr>
        <w:t xml:space="preserve">  —  CompTIA  ·  Issued: Aug 2025  ·  Expires: Aug 2031</w:t>
      </w:r>
    </w:p>
    <w:p>
      <w:pPr>
        <w:spacing w:after="30" w:before="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CompTIA Security+ (ce)</w:t>
      </w:r>
      <w:r>
        <w:rPr>
          <w:rFonts w:ascii="Calibri" w:cs="Calibri" w:eastAsia="Calibri" w:hAnsi="Calibri"/>
          <w:sz w:val="19"/>
          <w:szCs w:val="19"/>
        </w:rPr>
        <w:t xml:space="preserve">  —  CompTIA  ·  Issued: Jul 2025  ·  Expires: Jul 2028</w:t>
      </w:r>
    </w:p>
    <w:p>
      <w:pPr>
        <w:spacing w:after="30" w:before="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CompTIA Network+ (ce)</w:t>
      </w:r>
      <w:r>
        <w:rPr>
          <w:rFonts w:ascii="Calibri" w:cs="Calibri" w:eastAsia="Calibri" w:hAnsi="Calibri"/>
          <w:sz w:val="19"/>
          <w:szCs w:val="19"/>
        </w:rPr>
        <w:t xml:space="preserve">  —  CompTIA  ·  Issued: Jul 2025  ·  Expires: Jul 2028</w:t>
      </w:r>
    </w:p>
    <w:p>
      <w:pPr>
        <w:spacing w:after="30" w:before="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CompTIA A+ (ce)</w:t>
      </w:r>
      <w:r>
        <w:rPr>
          <w:rFonts w:ascii="Calibri" w:cs="Calibri" w:eastAsia="Calibri" w:hAnsi="Calibri"/>
          <w:sz w:val="19"/>
          <w:szCs w:val="19"/>
        </w:rPr>
        <w:t xml:space="preserve">  —  CompTIA  ·  Issued: May 2025  ·  Expires: Aug 2031</w:t>
      </w:r>
    </w:p>
    <w:p>
      <w:pPr>
        <w:spacing w:after="30" w:before="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CompTIA Secure Infrastructure Specialist (CSIS)</w:t>
      </w:r>
      <w:r>
        <w:rPr>
          <w:rFonts w:ascii="Calibri" w:cs="Calibri" w:eastAsia="Calibri" w:hAnsi="Calibri"/>
          <w:sz w:val="19"/>
          <w:szCs w:val="19"/>
        </w:rPr>
        <w:t xml:space="preserve">  —  CompTIA  ·  Issued: Jul 2025  ·  Expires: Jul 2028</w:t>
      </w:r>
    </w:p>
    <w:p>
      <w:pPr>
        <w:spacing w:after="30" w:before="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CompTIA IT Operations Specialist (CIOS)</w:t>
      </w:r>
      <w:r>
        <w:rPr>
          <w:rFonts w:ascii="Calibri" w:cs="Calibri" w:eastAsia="Calibri" w:hAnsi="Calibri"/>
          <w:sz w:val="19"/>
          <w:szCs w:val="19"/>
        </w:rPr>
        <w:t xml:space="preserve">  —  CompTIA  ·  Issued: Jul 2025  ·  Expires: Jul 2028</w:t>
      </w:r>
    </w:p>
    <w:p>
      <w:pPr>
        <w:spacing w:after="30" w:before="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Linux Essentials Certificate</w:t>
      </w:r>
      <w:r>
        <w:rPr>
          <w:rFonts w:ascii="Calibri" w:cs="Calibri" w:eastAsia="Calibri" w:hAnsi="Calibri"/>
          <w:sz w:val="19"/>
          <w:szCs w:val="19"/>
        </w:rPr>
        <w:t xml:space="preserve">  —  LPI  ·  Issued: May 2025</w:t>
      </w:r>
    </w:p>
    <w:p>
      <w:pPr>
        <w:spacing w:after="80" w:before="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ITIL Foundation</w:t>
      </w:r>
      <w:r>
        <w:rPr>
          <w:rFonts w:ascii="Calibri" w:cs="Calibri" w:eastAsia="Calibri" w:hAnsi="Calibri"/>
          <w:sz w:val="19"/>
          <w:szCs w:val="19"/>
        </w:rPr>
        <w:t xml:space="preserve">  —  AXELOS</w:t>
      </w:r>
    </w:p>
    <w:p>
      <w:pPr>
        <w:pBdr>
          <w:bottom w:val="single" w:color="CCCCCC" w:sz="4"/>
        </w:pBdr>
        <w:spacing w:after="60" w:before="180" w:line="240" w:lineRule="auto"/>
      </w:pPr>
      <w:r>
        <w:rPr>
          <w:rFonts w:ascii="Calibri" w:cs="Calibri" w:eastAsia="Calibri" w:hAnsi="Calibri"/>
          <w:b/>
          <w:bCs/>
          <w:caps/>
          <w:color w:val="1F3864"/>
          <w:sz w:val="20"/>
          <w:szCs w:val="20"/>
        </w:rPr>
        <w:t xml:space="preserve">Experience</w:t>
      </w:r>
    </w:p>
    <w:p>
      <w:pPr>
        <w:spacing w:after="20" w:before="60" w:line="24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LOGN Pacific</w:t>
      </w:r>
    </w:p>
    <w:p>
      <w:pPr>
        <w:spacing w:after="60" w:before="0" w:line="240" w:lineRule="auto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Security Engineer I  ·  March 2026 – Present</w:t>
      </w:r>
    </w:p>
    <w:p>
      <w:pPr>
        <w:spacing w:after="60" w:before="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Hands-on security engineering role delivering threat detection, vulnerability management, incident investigation, and SOC operations across Microsoft Azure, Microsoft Sentinel, Defender for Endpoint (EDR), and Tenable.</w:t>
      </w:r>
    </w:p>
    <w:p>
      <w:pPr>
        <w:spacing w:after="40" w:before="100" w:line="240" w:lineRule="auto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  Vulnerability Management Program  (Tenable)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Implemented a full VM lifecycle across ~200-server enterprise environment (Windows Server 2025 &amp; Linux) using Tenable — authenticated and unauthenticated scans with DISA STIG scan templates.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Prioritized findings by CVSS score, asset criticality, and exposure: NTLMv1 disable, SMB signing enforcement, TLS 1.0/1.1 deprecation, and weak cipher remediation.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Built PowerShell scripts for automated Windows server remediation and Bash scripts for Linux server remediation at scale.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Facilitated CAB meetings, drafted VM policy aligned to NIST CSF and NIST 800-53, and drove executive sign-off and server team buy-in.</w:t>
      </w:r>
    </w:p>
    <w:p>
      <w:pPr>
        <w:spacing w:after="40" w:before="100" w:line="240" w:lineRule="auto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  Signal After The Noise  —  Post-Intrusion Threat Hunt  (Microsoft Sentinel)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Reconstructed a full adversary attack chain in Microsoft Sentinel across a simulated enterprise environment using SOC threat hunting methodology.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Authored 20+ KQL queries across 6 MDE log tables: DeviceLogonEvents, DeviceProcessEvents, DeviceFileEvents, DeviceNetworkEvents, DeviceRegistryEvents, and DeviceEvents.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Mapped full kill chain: T1078 (credential reuse) → T1021 (RDP lateral movement) → T1547.001 (persistence) → T1071.001 (C2 beaconing) → T1562.001 (AMSI evasion) → T1036 (LOLBin masquerade) → T1003.001 (LSASS credential dump).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Decoded Base64-encoded PowerShell payloads using KQL's base64_decode_tostring() to expose Cloudflare-fronted C2 infrastructure.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Produced full IOC table and MITRE ATT&amp;CK-mapped incident report.</w:t>
      </w:r>
    </w:p>
    <w:p>
      <w:pPr>
        <w:spacing w:after="40" w:before="100" w:line="240" w:lineRule="auto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  TOR Network Detection  (Microsoft Defender for Endpoint / EDR)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Confirmed unauthorized TOR browser usage on a corporate Azure Windows 11 endpoint via KQL across DeviceFileEvents, DeviceProcessEvents, and DeviceNetworkEvents.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Detected full TOR circuit — tor.exe to external relay on port 9001, firefox.exe from non-standard Desktop path to evade registry traces, suspicious file created and deleted to conceal activity.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Mapped to MITRE T1090.003 (proxy), T1204 (user execution), T1036 (masquerading). Delivered incident report with device isolation, HR/legal escalation, and perimeter block of TOR ports 9001–9151.</w:t>
      </w:r>
    </w:p>
    <w:p>
      <w:pPr>
        <w:spacing w:after="20" w:before="120" w:line="24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County College of Morris</w:t>
      </w:r>
    </w:p>
    <w:p>
      <w:pPr>
        <w:spacing w:after="60" w:before="0" w:line="240" w:lineRule="auto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HVAC &amp; Building Automation Systems Specialist  |  OT/ICS Operations  ·  November 2010 – Present  (15+ years)</w:t>
      </w:r>
    </w:p>
    <w:p>
      <w:pPr>
        <w:spacing w:after="60" w:before="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Operating and maintaining critical building infrastructure across a network-connected campus — working directly with OT/ICS systems, SCADA-like controllers, BACnet-connected devices, and PLC-driven building automation across HVAC, boilers, and electrical infrastructure.</w:t>
      </w:r>
    </w:p>
    <w:p>
      <w:pPr>
        <w:spacing w:after="40" w:before="100" w:line="240" w:lineRule="auto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  System Monitoring &amp; Incident Escalation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Monitored operational integrity of networked control systems across 15+ campus buildings, identifying anomalous behavior and system faults across BACnet-connected devices and electronic controls.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Identified and escalated potential risks to appropriate teams in alignment with organizational change management and security policies — supporting campus operational continuity.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Applied IT/OT convergence and network segmentation principles consistent with IEC 62443 and NIST 800-82 to isolate and protect building automation systems.</w:t>
      </w:r>
    </w:p>
    <w:p>
      <w:pPr>
        <w:spacing w:after="40" w:before="100" w:line="240" w:lineRule="auto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  PLC Scripting &amp; System Maintenance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Maintained, troubleshot, and repaired GCL+ PLC scripts across SCADA-like controllers and building automation systems — resolving logic errors and escalating out-of-scope issues.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Made configuration changes via BMS client terminal to maintain operational integrity across HVAC, boilers, and electrical infrastructure.</w:t>
      </w:r>
    </w:p>
    <w:p>
      <w:pPr>
        <w:spacing w:after="40" w:before="100" w:line="240" w:lineRule="auto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  Access Control &amp; Identity Management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Administered access control for building automation systems via BMS client terminal — provisioning, modifying, and revoking user permissions using least-privilege and privileged access management (PAM) principles.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Conducted periodic access reviews to ensure authorization aligned with current roles and responsibilities.</w:t>
      </w:r>
    </w:p>
    <w:p>
      <w:pPr>
        <w:pBdr>
          <w:bottom w:val="single" w:color="CCCCCC" w:sz="4"/>
        </w:pBdr>
        <w:spacing w:after="60" w:before="180" w:line="240" w:lineRule="auto"/>
      </w:pPr>
      <w:r>
        <w:rPr>
          <w:rFonts w:ascii="Calibri" w:cs="Calibri" w:eastAsia="Calibri" w:hAnsi="Calibri"/>
          <w:b/>
          <w:bCs/>
          <w:caps/>
          <w:color w:val="1F3864"/>
          <w:sz w:val="20"/>
          <w:szCs w:val="20"/>
        </w:rPr>
        <w:t xml:space="preserve">Projects</w:t>
      </w:r>
    </w:p>
    <w:p>
      <w:pPr>
        <w:spacing w:after="60" w:before="6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Full documentation: github.com/Santi4g0RD</w:t>
      </w:r>
    </w:p>
    <w:p>
      <w:pPr>
        <w:spacing w:after="20" w:before="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Vulnerability Management Program</w:t>
      </w:r>
    </w:p>
    <w:p>
      <w:pPr>
        <w:spacing w:after="60" w:before="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Tools: Tenable, PowerShell, Bash  |  Full VM lifecycle across ~200-server enterprise — scanning, CVSS prioritization, remediation scripting on Windows and Linux, VM policy drafting, and stakeholder coordination.</w:t>
      </w:r>
    </w:p>
    <w:p>
      <w:pPr>
        <w:spacing w:after="20" w:before="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Signal After The Noise  —  Post-Intrusion Threat Hunt</w:t>
      </w:r>
    </w:p>
    <w:p>
      <w:pPr>
        <w:spacing w:after="60" w:before="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Tools: Microsoft Sentinel, KQL  |  Reconstructed full adversary kill chain across 6 MDE log tables using 20+ KQL queries; mapped to MITRE ATT&amp;CK framework end-to-end.</w:t>
      </w:r>
    </w:p>
    <w:p>
      <w:pPr>
        <w:spacing w:after="20" w:before="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TOR Network Detection</w:t>
      </w:r>
    </w:p>
    <w:p>
      <w:pPr>
        <w:spacing w:after="80" w:before="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Tools: Microsoft Defender for Endpoint (EDR), KQL  |  Detected and investigated unauthorized TOR usage on corporate endpoint; produced full IOC documentation and incident report with remediation recommendations.</w:t>
      </w:r>
    </w:p>
    <w:p>
      <w:pPr>
        <w:pBdr>
          <w:bottom w:val="single" w:color="CCCCCC" w:sz="4"/>
        </w:pBdr>
        <w:spacing w:after="60" w:before="180" w:line="240" w:lineRule="auto"/>
      </w:pPr>
      <w:r>
        <w:rPr>
          <w:rFonts w:ascii="Calibri" w:cs="Calibri" w:eastAsia="Calibri" w:hAnsi="Calibri"/>
          <w:b/>
          <w:bCs/>
          <w:caps/>
          <w:color w:val="1F3864"/>
          <w:sz w:val="20"/>
          <w:szCs w:val="20"/>
        </w:rPr>
        <w:t xml:space="preserve">Education</w:t>
      </w:r>
    </w:p>
    <w:p>
      <w:pPr>
        <w:spacing w:after="30" w:before="6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B.S. Cybersecurity &amp; Information Assurance (BSCSIA)</w:t>
      </w:r>
      <w:r>
        <w:rPr>
          <w:rFonts w:ascii="Calibri" w:cs="Calibri" w:eastAsia="Calibri" w:hAnsi="Calibri"/>
          <w:sz w:val="19"/>
          <w:szCs w:val="19"/>
        </w:rPr>
        <w:t xml:space="preserve">  —  Western Governors University  ·  Mar 2025 – Mar 2026</w:t>
      </w:r>
    </w:p>
    <w:p>
      <w:pPr>
        <w:spacing w:after="30" w:before="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Master's Degree in Cybersecurity</w:t>
      </w:r>
      <w:r>
        <w:rPr>
          <w:rFonts w:ascii="Calibri" w:cs="Calibri" w:eastAsia="Calibri" w:hAnsi="Calibri"/>
          <w:sz w:val="19"/>
          <w:szCs w:val="19"/>
        </w:rPr>
        <w:t xml:space="preserve">  —  Enrollment target: July–August 2026</w:t>
      </w:r>
    </w:p>
    <w:p>
      <w:pPr>
        <w:spacing w:after="80" w:before="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Coursework — Electronics &amp; Electrical Engineering Technology</w:t>
      </w:r>
      <w:r>
        <w:rPr>
          <w:rFonts w:ascii="Calibri" w:cs="Calibri" w:eastAsia="Calibri" w:hAnsi="Calibri"/>
          <w:sz w:val="19"/>
          <w:szCs w:val="19"/>
        </w:rPr>
        <w:t xml:space="preserve">  —  Thomas Edison State University  ·  2014–2017</w:t>
      </w:r>
    </w:p>
    <w:p>
      <w:pPr>
        <w:pBdr>
          <w:bottom w:val="single" w:color="CCCCCC" w:sz="4"/>
        </w:pBdr>
        <w:spacing w:after="60" w:before="180" w:line="240" w:lineRule="auto"/>
      </w:pPr>
      <w:r>
        <w:rPr>
          <w:rFonts w:ascii="Calibri" w:cs="Calibri" w:eastAsia="Calibri" w:hAnsi="Calibri"/>
          <w:b/>
          <w:bCs/>
          <w:caps/>
          <w:color w:val="1F3864"/>
          <w:sz w:val="20"/>
          <w:szCs w:val="20"/>
        </w:rPr>
        <w:t xml:space="preserve">Languages</w:t>
      </w:r>
    </w:p>
    <w:p>
      <w:pPr>
        <w:spacing w:after="60" w:before="6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English — Native / Bilingual  |  Spanish — Native / Bilingual</w:t>
      </w:r>
    </w:p>
    <w:sectPr>
      <w:pgSz w:w="11906" w:h="16838" w:orient="portrait"/>
      <w:pgMar w:top="1008" w:right="1224" w:bottom="1008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2026-06-11T12:10:49.619Z</dcterms:created>
  <dcterms:modified xsi:type="dcterms:W3CDTF">2026-06-11T12:10:49.619Z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