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40" w:lineRule="auto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Santiago A. Ruiz Diaz</w:t>
      </w:r>
    </w:p>
    <w:p>
      <w:pPr>
        <w:spacing w:after="60" w:before="0" w:line="240" w:lineRule="auto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OT/ICS Systems Engineer  |  Building Automation &amp; Controls  |  Security+ · CySA+ · PenTest+  |  15+ Years Critical Infrastructure</w:t>
      </w:r>
    </w:p>
    <w:p>
      <w:pPr>
        <w:spacing w:after="20" w:before="0" w:line="240" w:lineRule="auto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s.abelrd@gmail.com  |  United States  |  English / Spanish (Bilingual)</w:t>
      </w:r>
    </w:p>
    <w:p>
      <w:pPr>
        <w:spacing w:after="80" w:before="0" w:line="240" w:lineRule="auto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linkedin.com/in/santiago-a-ruiz-diaz-4aa418b2  |  github.com/Santi4g0RD</w:t>
      </w:r>
    </w:p>
    <w:p>
      <w:pPr>
        <w:pBdr>
          <w:bottom w:val="single" w:color="AAAAAA" w:sz="6"/>
        </w:pBdr>
        <w:spacing w:after="60" w:before="60" w:line="240" w:lineRule="auto"/>
      </w:pPr>
    </w:p>
    <w:p>
      <w:pPr>
        <w:pBdr>
          <w:bottom w:val="single" w:color="CCCCCC" w:sz="4"/>
        </w:pBdr>
        <w:spacing w:after="60" w:before="180" w:line="240" w:lineRule="auto"/>
      </w:pPr>
      <w:r>
        <w:rPr>
          <w:rFonts w:ascii="Calibri" w:cs="Calibri" w:eastAsia="Calibri" w:hAnsi="Calibri"/>
          <w:b/>
          <w:bCs/>
          <w:caps/>
          <w:color w:val="1F3864"/>
          <w:sz w:val="20"/>
          <w:szCs w:val="20"/>
        </w:rPr>
        <w:t xml:space="preserve">Professional Summary</w:t>
      </w:r>
    </w:p>
    <w:p>
      <w:pPr>
        <w:spacing w:after="60" w:before="60" w:line="240" w:lineRule="auto"/>
      </w:pPr>
      <w:r>
        <w:rPr>
          <w:rFonts w:ascii="Calibri" w:cs="Calibri" w:eastAsia="Calibri" w:hAnsi="Calibri"/>
          <w:sz w:val="19"/>
          <w:szCs w:val="19"/>
        </w:rPr>
        <w:t xml:space="preserve">Operational Technology (OT) and Industrial Control Systems (ICS) professional with 15+ years of hands-on experience maintaining and troubleshooting Building Management Systems (BMS), SCADA-like controllers, PLC-driven automation (GCL+), and BACnet networks across a live, network-connected multi-building campus.</w:t>
      </w:r>
    </w:p>
    <w:p>
      <w:pPr>
        <w:spacing w:after="60" w:before="0" w:line="240" w:lineRule="auto"/>
      </w:pPr>
      <w:r>
        <w:rPr>
          <w:rFonts w:ascii="Calibri" w:cs="Calibri" w:eastAsia="Calibri" w:hAnsi="Calibri"/>
          <w:sz w:val="19"/>
          <w:szCs w:val="19"/>
        </w:rPr>
        <w:t xml:space="preserve">That field-level ownership — system monitoring, PLC logic repair, configuration changes, and access control administration across HVAC, boiler, and electrical infrastructure — is paired with a security engineering skill set most controls engineers don't have: vulnerability management, threat hunting, and endpoint detection across a ~200-server enterprise environment.</w:t>
      </w:r>
    </w:p>
    <w:p>
      <w:pPr>
        <w:spacing w:after="80" w:before="0" w:line="240" w:lineRule="auto"/>
      </w:pPr>
      <w:r>
        <w:rPr>
          <w:rFonts w:ascii="Calibri" w:cs="Calibri" w:eastAsia="Calibri" w:hAnsi="Calibri"/>
          <w:sz w:val="19"/>
          <w:szCs w:val="19"/>
        </w:rPr>
        <w:t xml:space="preserve">Currently working as Security Engineer I at LOGN Pacific, delivering hands-on projects in Tenable vulnerability management, Microsoft Sentinel, and Defender for Endpoint — while completing my B.S. in Cybersecurity &amp; Information Assurance at Western Governors University. Pursuing a Master's degree in Cybersecurity with enrollment planned for mid-2026.</w:t>
      </w:r>
    </w:p>
    <w:p>
      <w:pPr>
        <w:pBdr>
          <w:bottom w:val="single" w:color="CCCCCC" w:sz="4"/>
        </w:pBdr>
        <w:spacing w:after="60" w:before="180" w:line="240" w:lineRule="auto"/>
      </w:pPr>
      <w:r>
        <w:rPr>
          <w:rFonts w:ascii="Calibri" w:cs="Calibri" w:eastAsia="Calibri" w:hAnsi="Calibri"/>
          <w:b/>
          <w:bCs/>
          <w:caps/>
          <w:color w:val="1F3864"/>
          <w:sz w:val="20"/>
          <w:szCs w:val="20"/>
        </w:rPr>
        <w:t xml:space="preserve">Core Competencies</w:t>
      </w:r>
    </w:p>
    <w:p>
      <w:pPr>
        <w:spacing w:after="80" w:before="60" w:line="240" w:lineRule="auto"/>
      </w:pPr>
      <w:r>
        <w:rPr>
          <w:rFonts w:ascii="Calibri" w:cs="Calibri" w:eastAsia="Calibri" w:hAnsi="Calibri"/>
          <w:sz w:val="19"/>
          <w:szCs w:val="19"/>
        </w:rPr>
        <w:t xml:space="preserve">OT/ICS Operations  ·  Building Management Systems (BMS)  ·  SCADA  ·  PLC Programming &amp; Troubleshooting  ·  GCL+  ·  BACnet  ·  HVAC &amp; Electrical Infrastructure  ·  IEC 62443  ·  NIST 800-82  ·  IT/OT Convergence  ·  Network Segmentation  ·  Purdue Model  ·  System Monitoring &amp; Fault Diagnosis  ·  Access Control  ·  Privileged Access Management  ·  Change Management  ·  Risk Assessment  ·  SIEM  ·  Threat Hunting  ·  Incident Response  ·  Vulnerability Assessment  ·  EDR  ·  Zero Trust  ·  System Hardening  ·  Python  ·  PowerShell  ·  Bash  ·  KQL  ·  Microsoft Sentinel  ·  Microsoft Defender for Endpoint  ·  Tenable / Nessus  ·  Azure Security  ·  MITRE ATT&amp;CK  ·  DISA STIG  ·  NIST CSF  ·  NIST 800-53</w:t>
      </w:r>
    </w:p>
    <w:p>
      <w:pPr>
        <w:pBdr>
          <w:bottom w:val="single" w:color="CCCCCC" w:sz="4"/>
        </w:pBdr>
        <w:spacing w:after="60" w:before="180" w:line="240" w:lineRule="auto"/>
      </w:pPr>
      <w:r>
        <w:rPr>
          <w:rFonts w:ascii="Calibri" w:cs="Calibri" w:eastAsia="Calibri" w:hAnsi="Calibri"/>
          <w:b/>
          <w:bCs/>
          <w:caps/>
          <w:color w:val="1F3864"/>
          <w:sz w:val="20"/>
          <w:szCs w:val="20"/>
        </w:rPr>
        <w:t xml:space="preserve">Certifications</w:t>
      </w:r>
    </w:p>
    <w:p>
      <w:pPr>
        <w:spacing w:after="30" w:before="60" w:line="240" w:lineRule="auto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CompTIA PenTest+</w:t>
      </w:r>
      <w:r>
        <w:rPr>
          <w:rFonts w:ascii="Calibri" w:cs="Calibri" w:eastAsia="Calibri" w:hAnsi="Calibri"/>
          <w:sz w:val="19"/>
          <w:szCs w:val="19"/>
        </w:rPr>
        <w:t xml:space="preserve">  —  CompTIA  ·  Issued: Mar 2026  ·  Expires: Mar 2029</w:t>
      </w:r>
    </w:p>
    <w:p>
      <w:pPr>
        <w:spacing w:after="30" w:before="0" w:line="240" w:lineRule="auto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CompTIA CySA+ (ce)</w:t>
      </w:r>
      <w:r>
        <w:rPr>
          <w:rFonts w:ascii="Calibri" w:cs="Calibri" w:eastAsia="Calibri" w:hAnsi="Calibri"/>
          <w:sz w:val="19"/>
          <w:szCs w:val="19"/>
        </w:rPr>
        <w:t xml:space="preserve">  —  CompTIA  ·  Issued: Aug 2025  ·  Expires: Aug 2031</w:t>
      </w:r>
    </w:p>
    <w:p>
      <w:pPr>
        <w:spacing w:after="30" w:before="0" w:line="240" w:lineRule="auto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CompTIA Security+ (ce)</w:t>
      </w:r>
      <w:r>
        <w:rPr>
          <w:rFonts w:ascii="Calibri" w:cs="Calibri" w:eastAsia="Calibri" w:hAnsi="Calibri"/>
          <w:sz w:val="19"/>
          <w:szCs w:val="19"/>
        </w:rPr>
        <w:t xml:space="preserve">  —  CompTIA  ·  Issued: Jul 2025  ·  Expires: Jul 2028</w:t>
      </w:r>
    </w:p>
    <w:p>
      <w:pPr>
        <w:spacing w:after="30" w:before="0" w:line="240" w:lineRule="auto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CompTIA Network+ (ce)</w:t>
      </w:r>
      <w:r>
        <w:rPr>
          <w:rFonts w:ascii="Calibri" w:cs="Calibri" w:eastAsia="Calibri" w:hAnsi="Calibri"/>
          <w:sz w:val="19"/>
          <w:szCs w:val="19"/>
        </w:rPr>
        <w:t xml:space="preserve">  —  CompTIA  ·  Issued: Jul 2025  ·  Expires: Jul 2028</w:t>
      </w:r>
    </w:p>
    <w:p>
      <w:pPr>
        <w:spacing w:after="30" w:before="0" w:line="240" w:lineRule="auto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CompTIA A+ (ce)</w:t>
      </w:r>
      <w:r>
        <w:rPr>
          <w:rFonts w:ascii="Calibri" w:cs="Calibri" w:eastAsia="Calibri" w:hAnsi="Calibri"/>
          <w:sz w:val="19"/>
          <w:szCs w:val="19"/>
        </w:rPr>
        <w:t xml:space="preserve">  —  CompTIA  ·  Issued: May 2025  ·  Expires: Aug 2031</w:t>
      </w:r>
    </w:p>
    <w:p>
      <w:pPr>
        <w:spacing w:after="30" w:before="0" w:line="240" w:lineRule="auto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CompTIA Secure Infrastructure Specialist (CSIS)</w:t>
      </w:r>
      <w:r>
        <w:rPr>
          <w:rFonts w:ascii="Calibri" w:cs="Calibri" w:eastAsia="Calibri" w:hAnsi="Calibri"/>
          <w:sz w:val="19"/>
          <w:szCs w:val="19"/>
        </w:rPr>
        <w:t xml:space="preserve">  —  CompTIA  ·  Issued: Jul 2025  ·  Expires: Jul 2028</w:t>
      </w:r>
    </w:p>
    <w:p>
      <w:pPr>
        <w:spacing w:after="30" w:before="0" w:line="240" w:lineRule="auto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CompTIA IT Operations Specialist (CIOS)</w:t>
      </w:r>
      <w:r>
        <w:rPr>
          <w:rFonts w:ascii="Calibri" w:cs="Calibri" w:eastAsia="Calibri" w:hAnsi="Calibri"/>
          <w:sz w:val="19"/>
          <w:szCs w:val="19"/>
        </w:rPr>
        <w:t xml:space="preserve">  —  CompTIA  ·  Issued: Jul 2025  ·  Expires: Jul 2028</w:t>
      </w:r>
    </w:p>
    <w:p>
      <w:pPr>
        <w:spacing w:after="30" w:before="0" w:line="240" w:lineRule="auto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Linux Essentials Certificate</w:t>
      </w:r>
      <w:r>
        <w:rPr>
          <w:rFonts w:ascii="Calibri" w:cs="Calibri" w:eastAsia="Calibri" w:hAnsi="Calibri"/>
          <w:sz w:val="19"/>
          <w:szCs w:val="19"/>
        </w:rPr>
        <w:t xml:space="preserve">  —  LPI  ·  Issued: May 2025</w:t>
      </w:r>
    </w:p>
    <w:p>
      <w:pPr>
        <w:spacing w:after="80" w:before="0" w:line="240" w:lineRule="auto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ITIL Foundation</w:t>
      </w:r>
      <w:r>
        <w:rPr>
          <w:rFonts w:ascii="Calibri" w:cs="Calibri" w:eastAsia="Calibri" w:hAnsi="Calibri"/>
          <w:sz w:val="19"/>
          <w:szCs w:val="19"/>
        </w:rPr>
        <w:t xml:space="preserve">  —  AXELOS</w:t>
      </w:r>
    </w:p>
    <w:p>
      <w:pPr>
        <w:pBdr>
          <w:bottom w:val="single" w:color="CCCCCC" w:sz="4"/>
        </w:pBdr>
        <w:spacing w:after="60" w:before="180" w:line="240" w:lineRule="auto"/>
      </w:pPr>
      <w:r>
        <w:rPr>
          <w:rFonts w:ascii="Calibri" w:cs="Calibri" w:eastAsia="Calibri" w:hAnsi="Calibri"/>
          <w:b/>
          <w:bCs/>
          <w:caps/>
          <w:color w:val="1F3864"/>
          <w:sz w:val="20"/>
          <w:szCs w:val="20"/>
        </w:rPr>
        <w:t xml:space="preserve">Experience</w:t>
      </w:r>
    </w:p>
    <w:p>
      <w:pPr>
        <w:spacing w:after="20" w:before="6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County College of Morris</w:t>
      </w:r>
    </w:p>
    <w:p>
      <w:pPr>
        <w:spacing w:after="60" w:before="0" w:line="240" w:lineRule="auto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HVAC &amp; Building Automation Systems Specialist  |  OT/ICS Operations  ·  November 2010 – Present  (15+ years)</w:t>
      </w:r>
    </w:p>
    <w:p>
      <w:pPr>
        <w:spacing w:after="60" w:before="0" w:line="240" w:lineRule="auto"/>
      </w:pPr>
      <w:r>
        <w:rPr>
          <w:rFonts w:ascii="Calibri" w:cs="Calibri" w:eastAsia="Calibri" w:hAnsi="Calibri"/>
          <w:sz w:val="19"/>
          <w:szCs w:val="19"/>
        </w:rPr>
        <w:t xml:space="preserve">Technical owner of critical building infrastructure across a network-connected, multi-building campus — operating and maintaining OT/ICS systems, SCADA-like controllers, BACnet-connected devices, and PLC-driven building automation across HVAC, boilers, and electrical infrastructure.</w:t>
      </w:r>
    </w:p>
    <w:p>
      <w:pPr>
        <w:spacing w:after="40" w:before="100" w:line="240" w:lineRule="auto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  PLC Scripting &amp; System Maintenance</w:t>
      </w:r>
    </w:p>
    <w:p>
      <w:pPr>
        <w:pStyle w:val="ListParagraph"/>
        <w:numPr>
          <w:ilvl w:val="0"/>
          <w:numId w:val="1"/>
        </w:numPr>
        <w:spacing w:after="40" w:before="40" w:line="240" w:lineRule="auto"/>
      </w:pPr>
      <w:r>
        <w:rPr>
          <w:rFonts w:ascii="Calibri" w:cs="Calibri" w:eastAsia="Calibri" w:hAnsi="Calibri"/>
          <w:sz w:val="19"/>
          <w:szCs w:val="19"/>
        </w:rPr>
        <w:t xml:space="preserve">Maintained, troubleshot, and repaired GCL+ PLC scripts across SCADA-like controllers and building automation systems — diagnosing and resolving logic errors and escalating out-of-scope issues to vendor/engineering teams.</w:t>
      </w:r>
    </w:p>
    <w:p>
      <w:pPr>
        <w:pStyle w:val="ListParagraph"/>
        <w:numPr>
          <w:ilvl w:val="0"/>
          <w:numId w:val="1"/>
        </w:numPr>
        <w:spacing w:after="40" w:before="40" w:line="240" w:lineRule="auto"/>
      </w:pPr>
      <w:r>
        <w:rPr>
          <w:rFonts w:ascii="Calibri" w:cs="Calibri" w:eastAsia="Calibri" w:hAnsi="Calibri"/>
          <w:sz w:val="19"/>
          <w:szCs w:val="19"/>
        </w:rPr>
        <w:t xml:space="preserve">Made configuration changes and system adjustments via BMS client terminal to maintain operational integrity across HVAC, boilers, and electrical infrastructure — minimizing downtime and unplanned outages.</w:t>
      </w:r>
    </w:p>
    <w:p>
      <w:pPr>
        <w:spacing w:after="40" w:before="100" w:line="240" w:lineRule="auto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  System Monitoring &amp; Incident Escalation</w:t>
      </w:r>
    </w:p>
    <w:p>
      <w:pPr>
        <w:pStyle w:val="ListParagraph"/>
        <w:numPr>
          <w:ilvl w:val="0"/>
          <w:numId w:val="1"/>
        </w:numPr>
        <w:spacing w:after="40" w:before="40" w:line="240" w:lineRule="auto"/>
      </w:pPr>
      <w:r>
        <w:rPr>
          <w:rFonts w:ascii="Calibri" w:cs="Calibri" w:eastAsia="Calibri" w:hAnsi="Calibri"/>
          <w:sz w:val="19"/>
          <w:szCs w:val="19"/>
        </w:rPr>
        <w:t xml:space="preserve">Monitored operational integrity of networked control systems across 15+ campus buildings, identifying anomalous behavior and system faults across BACnet-connected devices and electronic controls.</w:t>
      </w:r>
    </w:p>
    <w:p>
      <w:pPr>
        <w:pStyle w:val="ListParagraph"/>
        <w:numPr>
          <w:ilvl w:val="0"/>
          <w:numId w:val="1"/>
        </w:numPr>
        <w:spacing w:after="40" w:before="40" w:line="240" w:lineRule="auto"/>
      </w:pPr>
      <w:r>
        <w:rPr>
          <w:rFonts w:ascii="Calibri" w:cs="Calibri" w:eastAsia="Calibri" w:hAnsi="Calibri"/>
          <w:sz w:val="19"/>
          <w:szCs w:val="19"/>
        </w:rPr>
        <w:t xml:space="preserve">Identified and escalated potential risks and unresolvable issues to appropriate teams, supporting system reliability and continuity of campus operations.</w:t>
      </w:r>
    </w:p>
    <w:p>
      <w:pPr>
        <w:pStyle w:val="ListParagraph"/>
        <w:numPr>
          <w:ilvl w:val="0"/>
          <w:numId w:val="1"/>
        </w:numPr>
        <w:spacing w:after="40" w:before="40" w:line="240" w:lineRule="auto"/>
      </w:pPr>
      <w:r>
        <w:rPr>
          <w:rFonts w:ascii="Calibri" w:cs="Calibri" w:eastAsia="Calibri" w:hAnsi="Calibri"/>
          <w:sz w:val="19"/>
          <w:szCs w:val="19"/>
        </w:rPr>
        <w:t xml:space="preserve">Applied IT/OT convergence and network segmentation principles consistent with IEC 62443 and NIST 800-82 to isolate and protect building automation systems from the broader campus network.</w:t>
      </w:r>
    </w:p>
    <w:p>
      <w:pPr>
        <w:pStyle w:val="ListParagraph"/>
        <w:numPr>
          <w:ilvl w:val="0"/>
          <w:numId w:val="1"/>
        </w:numPr>
        <w:spacing w:after="40" w:before="40" w:line="240" w:lineRule="auto"/>
      </w:pPr>
      <w:r>
        <w:rPr>
          <w:rFonts w:ascii="Calibri" w:cs="Calibri" w:eastAsia="Calibri" w:hAnsi="Calibri"/>
          <w:sz w:val="19"/>
          <w:szCs w:val="19"/>
        </w:rPr>
        <w:t xml:space="preserve">Collaborated with leadership to align OT operations with organizational change management and security policies.</w:t>
      </w:r>
    </w:p>
    <w:p>
      <w:pPr>
        <w:spacing w:after="40" w:before="100" w:line="240" w:lineRule="auto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  Access Control &amp; Identity Management</w:t>
      </w:r>
    </w:p>
    <w:p>
      <w:pPr>
        <w:pStyle w:val="ListParagraph"/>
        <w:numPr>
          <w:ilvl w:val="0"/>
          <w:numId w:val="1"/>
        </w:numPr>
        <w:spacing w:after="40" w:before="40" w:line="240" w:lineRule="auto"/>
      </w:pPr>
      <w:r>
        <w:rPr>
          <w:rFonts w:ascii="Calibri" w:cs="Calibri" w:eastAsia="Calibri" w:hAnsi="Calibri"/>
          <w:sz w:val="19"/>
          <w:szCs w:val="19"/>
        </w:rPr>
        <w:t xml:space="preserve">Administered access control for building automation systems via BMS client terminal — provisioning, modifying, and revoking user permissions using least-privilege and privileged access management (PAM) principles.</w:t>
      </w:r>
    </w:p>
    <w:p>
      <w:pPr>
        <w:pStyle w:val="ListParagraph"/>
        <w:numPr>
          <w:ilvl w:val="0"/>
          <w:numId w:val="1"/>
        </w:numPr>
        <w:spacing w:after="40" w:before="40" w:line="240" w:lineRule="auto"/>
      </w:pPr>
      <w:r>
        <w:rPr>
          <w:rFonts w:ascii="Calibri" w:cs="Calibri" w:eastAsia="Calibri" w:hAnsi="Calibri"/>
          <w:sz w:val="19"/>
          <w:szCs w:val="19"/>
        </w:rPr>
        <w:t xml:space="preserve">Conducted periodic access reviews to ensure authorization aligned with current roles and responsibilities.</w:t>
      </w:r>
    </w:p>
    <w:p>
      <w:pPr>
        <w:spacing w:after="20" w:before="12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LOGN Pacific</w:t>
      </w:r>
    </w:p>
    <w:p>
      <w:pPr>
        <w:spacing w:after="60" w:before="0" w:line="240" w:lineRule="auto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Security Engineer I  ·  March 2026 – Present</w:t>
      </w:r>
    </w:p>
    <w:p>
      <w:pPr>
        <w:spacing w:after="60" w:before="0" w:line="240" w:lineRule="auto"/>
      </w:pPr>
      <w:r>
        <w:rPr>
          <w:rFonts w:ascii="Calibri" w:cs="Calibri" w:eastAsia="Calibri" w:hAnsi="Calibri"/>
          <w:sz w:val="19"/>
          <w:szCs w:val="19"/>
        </w:rPr>
        <w:t xml:space="preserve">Security engineering role applying an OT-informed operational lens to threat detection, vulnerability management, and incident investigation across Microsoft Azure, Microsoft Sentinel, Defender for Endpoint (EDR), and Tenable.</w:t>
      </w:r>
    </w:p>
    <w:p>
      <w:pPr>
        <w:spacing w:after="40" w:before="100" w:line="240" w:lineRule="auto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  Vulnerability Management Program  (Tenable)</w:t>
      </w:r>
    </w:p>
    <w:p>
      <w:pPr>
        <w:pStyle w:val="ListParagraph"/>
        <w:numPr>
          <w:ilvl w:val="0"/>
          <w:numId w:val="1"/>
        </w:numPr>
        <w:spacing w:after="40" w:before="40" w:line="240" w:lineRule="auto"/>
      </w:pPr>
      <w:r>
        <w:rPr>
          <w:rFonts w:ascii="Calibri" w:cs="Calibri" w:eastAsia="Calibri" w:hAnsi="Calibri"/>
          <w:sz w:val="19"/>
          <w:szCs w:val="19"/>
        </w:rPr>
        <w:t xml:space="preserve">Implemented a full VM lifecycle across ~200-server enterprise environment (Windows Server 2025 &amp; Linux) using Tenable — authenticated and unauthenticated scans with DISA STIG scan templates.</w:t>
      </w:r>
    </w:p>
    <w:p>
      <w:pPr>
        <w:pStyle w:val="ListParagraph"/>
        <w:numPr>
          <w:ilvl w:val="0"/>
          <w:numId w:val="1"/>
        </w:numPr>
        <w:spacing w:after="40" w:before="40" w:line="240" w:lineRule="auto"/>
      </w:pPr>
      <w:r>
        <w:rPr>
          <w:rFonts w:ascii="Calibri" w:cs="Calibri" w:eastAsia="Calibri" w:hAnsi="Calibri"/>
          <w:sz w:val="19"/>
          <w:szCs w:val="19"/>
        </w:rPr>
        <w:t xml:space="preserve">Prioritized findings by CVSS score, asset criticality, and exposure: NTLMv1 disable, SMB signing enforcement, TLS 1.0/1.1 deprecation, and weak cipher remediation.</w:t>
      </w:r>
    </w:p>
    <w:p>
      <w:pPr>
        <w:pStyle w:val="ListParagraph"/>
        <w:numPr>
          <w:ilvl w:val="0"/>
          <w:numId w:val="1"/>
        </w:numPr>
        <w:spacing w:after="40" w:before="40" w:line="240" w:lineRule="auto"/>
      </w:pPr>
      <w:r>
        <w:rPr>
          <w:rFonts w:ascii="Calibri" w:cs="Calibri" w:eastAsia="Calibri" w:hAnsi="Calibri"/>
          <w:sz w:val="19"/>
          <w:szCs w:val="19"/>
        </w:rPr>
        <w:t xml:space="preserve">Built PowerShell scripts for automated Windows server remediation and Bash scripts for Linux server remediation at scale.</w:t>
      </w:r>
    </w:p>
    <w:p>
      <w:pPr>
        <w:pStyle w:val="ListParagraph"/>
        <w:numPr>
          <w:ilvl w:val="0"/>
          <w:numId w:val="1"/>
        </w:numPr>
        <w:spacing w:after="40" w:before="40" w:line="240" w:lineRule="auto"/>
      </w:pPr>
      <w:r>
        <w:rPr>
          <w:rFonts w:ascii="Calibri" w:cs="Calibri" w:eastAsia="Calibri" w:hAnsi="Calibri"/>
          <w:sz w:val="19"/>
          <w:szCs w:val="19"/>
        </w:rPr>
        <w:t xml:space="preserve">Facilitated CAB meetings, drafted VM policy aligned to NIST CSF and NIST 800-53, and drove executive sign-off and server team buy-in.</w:t>
      </w:r>
    </w:p>
    <w:p>
      <w:pPr>
        <w:spacing w:after="40" w:before="100" w:line="240" w:lineRule="auto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  Signal After The Noise  —  Post-Intrusion Threat Hunt  (Microsoft Sentinel)</w:t>
      </w:r>
    </w:p>
    <w:p>
      <w:pPr>
        <w:pStyle w:val="ListParagraph"/>
        <w:numPr>
          <w:ilvl w:val="0"/>
          <w:numId w:val="1"/>
        </w:numPr>
        <w:spacing w:after="40" w:before="40" w:line="240" w:lineRule="auto"/>
      </w:pPr>
      <w:r>
        <w:rPr>
          <w:rFonts w:ascii="Calibri" w:cs="Calibri" w:eastAsia="Calibri" w:hAnsi="Calibri"/>
          <w:sz w:val="19"/>
          <w:szCs w:val="19"/>
        </w:rPr>
        <w:t xml:space="preserve">Reconstructed a full adversary attack chain in Microsoft Sentinel across a simulated enterprise environment using SOC threat hunting methodology.</w:t>
      </w:r>
    </w:p>
    <w:p>
      <w:pPr>
        <w:pStyle w:val="ListParagraph"/>
        <w:numPr>
          <w:ilvl w:val="0"/>
          <w:numId w:val="1"/>
        </w:numPr>
        <w:spacing w:after="40" w:before="40" w:line="240" w:lineRule="auto"/>
      </w:pPr>
      <w:r>
        <w:rPr>
          <w:rFonts w:ascii="Calibri" w:cs="Calibri" w:eastAsia="Calibri" w:hAnsi="Calibri"/>
          <w:sz w:val="19"/>
          <w:szCs w:val="19"/>
        </w:rPr>
        <w:t xml:space="preserve">Authored 20+ KQL queries across 6 MDE log tables: DeviceLogonEvents, DeviceProcessEvents, DeviceFileEvents, DeviceNetworkEvents, DeviceRegistryEvents, and DeviceEvents.</w:t>
      </w:r>
    </w:p>
    <w:p>
      <w:pPr>
        <w:pStyle w:val="ListParagraph"/>
        <w:numPr>
          <w:ilvl w:val="0"/>
          <w:numId w:val="1"/>
        </w:numPr>
        <w:spacing w:after="40" w:before="40" w:line="240" w:lineRule="auto"/>
      </w:pPr>
      <w:r>
        <w:rPr>
          <w:rFonts w:ascii="Calibri" w:cs="Calibri" w:eastAsia="Calibri" w:hAnsi="Calibri"/>
          <w:sz w:val="19"/>
          <w:szCs w:val="19"/>
        </w:rPr>
        <w:t xml:space="preserve">Mapped full kill chain: T1078 (credential reuse) → T1021 (RDP lateral movement) → T1547.001 (persistence) → T1071.001 (C2 beaconing) → T1562.001 (AMSI evasion) → T1036 (LOLBin masquerade) → T1003.001 (LSASS credential dump).</w:t>
      </w:r>
    </w:p>
    <w:p>
      <w:pPr>
        <w:pStyle w:val="ListParagraph"/>
        <w:numPr>
          <w:ilvl w:val="0"/>
          <w:numId w:val="1"/>
        </w:numPr>
        <w:spacing w:after="40" w:before="40" w:line="240" w:lineRule="auto"/>
      </w:pPr>
      <w:r>
        <w:rPr>
          <w:rFonts w:ascii="Calibri" w:cs="Calibri" w:eastAsia="Calibri" w:hAnsi="Calibri"/>
          <w:sz w:val="19"/>
          <w:szCs w:val="19"/>
        </w:rPr>
        <w:t xml:space="preserve">Decoded Base64-encoded PowerShell payloads using KQL's base64_decode_tostring() to expose Cloudflare-fronted C2 infrastructure.</w:t>
      </w:r>
    </w:p>
    <w:p>
      <w:pPr>
        <w:pStyle w:val="ListParagraph"/>
        <w:numPr>
          <w:ilvl w:val="0"/>
          <w:numId w:val="1"/>
        </w:numPr>
        <w:spacing w:after="40" w:before="40" w:line="240" w:lineRule="auto"/>
      </w:pPr>
      <w:r>
        <w:rPr>
          <w:rFonts w:ascii="Calibri" w:cs="Calibri" w:eastAsia="Calibri" w:hAnsi="Calibri"/>
          <w:sz w:val="19"/>
          <w:szCs w:val="19"/>
        </w:rPr>
        <w:t xml:space="preserve">Produced full IOC table and MITRE ATT&amp;CK-mapped incident report.</w:t>
      </w:r>
    </w:p>
    <w:p>
      <w:pPr>
        <w:spacing w:after="40" w:before="100" w:line="240" w:lineRule="auto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  TOR Network Detection  (Microsoft Defender for Endpoint / EDR)</w:t>
      </w:r>
    </w:p>
    <w:p>
      <w:pPr>
        <w:pStyle w:val="ListParagraph"/>
        <w:numPr>
          <w:ilvl w:val="0"/>
          <w:numId w:val="1"/>
        </w:numPr>
        <w:spacing w:after="40" w:before="40" w:line="240" w:lineRule="auto"/>
      </w:pPr>
      <w:r>
        <w:rPr>
          <w:rFonts w:ascii="Calibri" w:cs="Calibri" w:eastAsia="Calibri" w:hAnsi="Calibri"/>
          <w:sz w:val="19"/>
          <w:szCs w:val="19"/>
        </w:rPr>
        <w:t xml:space="preserve">Confirmed unauthorized TOR browser usage on a corporate Azure Windows 11 endpoint via KQL across DeviceFileEvents, DeviceProcessEvents, and DeviceNetworkEvents.</w:t>
      </w:r>
    </w:p>
    <w:p>
      <w:pPr>
        <w:pStyle w:val="ListParagraph"/>
        <w:numPr>
          <w:ilvl w:val="0"/>
          <w:numId w:val="1"/>
        </w:numPr>
        <w:spacing w:after="40" w:before="40" w:line="240" w:lineRule="auto"/>
      </w:pPr>
      <w:r>
        <w:rPr>
          <w:rFonts w:ascii="Calibri" w:cs="Calibri" w:eastAsia="Calibri" w:hAnsi="Calibri"/>
          <w:sz w:val="19"/>
          <w:szCs w:val="19"/>
        </w:rPr>
        <w:t xml:space="preserve">Detected full TOR circuit — tor.exe to external relay on port 9001, firefox.exe from non-standard Desktop path to evade registry traces, suspicious file created and deleted to conceal activity.</w:t>
      </w:r>
    </w:p>
    <w:p>
      <w:pPr>
        <w:pStyle w:val="ListParagraph"/>
        <w:numPr>
          <w:ilvl w:val="0"/>
          <w:numId w:val="1"/>
        </w:numPr>
        <w:spacing w:after="40" w:before="40" w:line="240" w:lineRule="auto"/>
      </w:pPr>
      <w:r>
        <w:rPr>
          <w:rFonts w:ascii="Calibri" w:cs="Calibri" w:eastAsia="Calibri" w:hAnsi="Calibri"/>
          <w:sz w:val="19"/>
          <w:szCs w:val="19"/>
        </w:rPr>
        <w:t xml:space="preserve">Mapped to MITRE T1090.003 (proxy), T1204 (user execution), T1036 (masquerading). Delivered incident report with device isolation, HR/legal escalation, and perimeter block of TOR ports 9001–9151.</w:t>
      </w:r>
    </w:p>
    <w:p>
      <w:pPr>
        <w:pBdr>
          <w:bottom w:val="single" w:color="CCCCCC" w:sz="4"/>
        </w:pBdr>
        <w:spacing w:after="60" w:before="180" w:line="240" w:lineRule="auto"/>
      </w:pPr>
      <w:r>
        <w:rPr>
          <w:rFonts w:ascii="Calibri" w:cs="Calibri" w:eastAsia="Calibri" w:hAnsi="Calibri"/>
          <w:b/>
          <w:bCs/>
          <w:caps/>
          <w:color w:val="1F3864"/>
          <w:sz w:val="20"/>
          <w:szCs w:val="20"/>
        </w:rPr>
        <w:t xml:space="preserve">Projects</w:t>
      </w:r>
    </w:p>
    <w:p>
      <w:pPr>
        <w:spacing w:after="60" w:before="60" w:line="240" w:lineRule="auto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Full documentation: github.com/Santi4g0RD</w:t>
      </w:r>
    </w:p>
    <w:p>
      <w:pPr>
        <w:spacing w:after="20" w:before="0" w:line="240" w:lineRule="auto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Vulnerability Management Program</w:t>
      </w:r>
    </w:p>
    <w:p>
      <w:pPr>
        <w:spacing w:after="60" w:before="0" w:line="240" w:lineRule="auto"/>
      </w:pPr>
      <w:r>
        <w:rPr>
          <w:rFonts w:ascii="Calibri" w:cs="Calibri" w:eastAsia="Calibri" w:hAnsi="Calibri"/>
          <w:sz w:val="19"/>
          <w:szCs w:val="19"/>
        </w:rPr>
        <w:t xml:space="preserve">Tools: Tenable, PowerShell, Bash  |  Full VM lifecycle across ~200-server enterprise — scanning, CVSS prioritization, remediation scripting on Windows and Linux, VM policy drafting, and stakeholder coordination.</w:t>
      </w:r>
    </w:p>
    <w:p>
      <w:pPr>
        <w:spacing w:after="20" w:before="0" w:line="240" w:lineRule="auto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Signal After The Noise  —  Post-Intrusion Threat Hunt</w:t>
      </w:r>
    </w:p>
    <w:p>
      <w:pPr>
        <w:spacing w:after="60" w:before="0" w:line="240" w:lineRule="auto"/>
      </w:pPr>
      <w:r>
        <w:rPr>
          <w:rFonts w:ascii="Calibri" w:cs="Calibri" w:eastAsia="Calibri" w:hAnsi="Calibri"/>
          <w:sz w:val="19"/>
          <w:szCs w:val="19"/>
        </w:rPr>
        <w:t xml:space="preserve">Tools: Microsoft Sentinel, KQL  |  Reconstructed full adversary kill chain across 6 MDE log tables using 20+ KQL queries; mapped to MITRE ATT&amp;CK framework end-to-end.</w:t>
      </w:r>
    </w:p>
    <w:p>
      <w:pPr>
        <w:spacing w:after="20" w:before="0" w:line="240" w:lineRule="auto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TOR Network Detection</w:t>
      </w:r>
    </w:p>
    <w:p>
      <w:pPr>
        <w:spacing w:after="80" w:before="0" w:line="240" w:lineRule="auto"/>
      </w:pPr>
      <w:r>
        <w:rPr>
          <w:rFonts w:ascii="Calibri" w:cs="Calibri" w:eastAsia="Calibri" w:hAnsi="Calibri"/>
          <w:sz w:val="19"/>
          <w:szCs w:val="19"/>
        </w:rPr>
        <w:t xml:space="preserve">Tools: Microsoft Defender for Endpoint (EDR), KQL  |  Detected and investigated unauthorized TOR usage on corporate endpoint; produced full IOC documentation and incident report with remediation recommendations.</w:t>
      </w:r>
    </w:p>
    <w:p>
      <w:pPr>
        <w:pBdr>
          <w:bottom w:val="single" w:color="CCCCCC" w:sz="4"/>
        </w:pBdr>
        <w:spacing w:after="60" w:before="180" w:line="240" w:lineRule="auto"/>
      </w:pPr>
      <w:r>
        <w:rPr>
          <w:rFonts w:ascii="Calibri" w:cs="Calibri" w:eastAsia="Calibri" w:hAnsi="Calibri"/>
          <w:b/>
          <w:bCs/>
          <w:caps/>
          <w:color w:val="1F3864"/>
          <w:sz w:val="20"/>
          <w:szCs w:val="20"/>
        </w:rPr>
        <w:t xml:space="preserve">Education</w:t>
      </w:r>
    </w:p>
    <w:p>
      <w:pPr>
        <w:spacing w:after="30" w:before="60" w:line="240" w:lineRule="auto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B.S. Cybersecurity &amp; Information Assurance (BSCSIA)</w:t>
      </w:r>
      <w:r>
        <w:rPr>
          <w:rFonts w:ascii="Calibri" w:cs="Calibri" w:eastAsia="Calibri" w:hAnsi="Calibri"/>
          <w:sz w:val="19"/>
          <w:szCs w:val="19"/>
        </w:rPr>
        <w:t xml:space="preserve">  —  Western Governors University  ·  Mar 2025 – Mar 2026</w:t>
      </w:r>
    </w:p>
    <w:p>
      <w:pPr>
        <w:spacing w:after="30" w:before="0" w:line="240" w:lineRule="auto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Master's Degree in Cybersecurity</w:t>
      </w:r>
      <w:r>
        <w:rPr>
          <w:rFonts w:ascii="Calibri" w:cs="Calibri" w:eastAsia="Calibri" w:hAnsi="Calibri"/>
          <w:sz w:val="19"/>
          <w:szCs w:val="19"/>
        </w:rPr>
        <w:t xml:space="preserve">  —  Enrollment target: July–August 2026</w:t>
      </w:r>
    </w:p>
    <w:p>
      <w:pPr>
        <w:spacing w:after="80" w:before="0" w:line="240" w:lineRule="auto"/>
      </w:pPr>
      <w:r>
        <w:rPr>
          <w:rFonts w:ascii="Calibri" w:cs="Calibri" w:eastAsia="Calibri" w:hAnsi="Calibri"/>
          <w:sz w:val="19"/>
          <w:szCs w:val="19"/>
        </w:rPr>
        <w:t xml:space="preserve">Coursework — Electronics &amp; Electrical Engineering Technology</w:t>
      </w:r>
      <w:r>
        <w:rPr>
          <w:rFonts w:ascii="Calibri" w:cs="Calibri" w:eastAsia="Calibri" w:hAnsi="Calibri"/>
          <w:sz w:val="19"/>
          <w:szCs w:val="19"/>
        </w:rPr>
        <w:t xml:space="preserve">  —  Thomas Edison State University  ·  2014–2017</w:t>
      </w:r>
    </w:p>
    <w:p>
      <w:pPr>
        <w:pBdr>
          <w:bottom w:val="single" w:color="CCCCCC" w:sz="4"/>
        </w:pBdr>
        <w:spacing w:after="60" w:before="180" w:line="240" w:lineRule="auto"/>
      </w:pPr>
      <w:r>
        <w:rPr>
          <w:rFonts w:ascii="Calibri" w:cs="Calibri" w:eastAsia="Calibri" w:hAnsi="Calibri"/>
          <w:b/>
          <w:bCs/>
          <w:caps/>
          <w:color w:val="1F3864"/>
          <w:sz w:val="20"/>
          <w:szCs w:val="20"/>
        </w:rPr>
        <w:t xml:space="preserve">Languages</w:t>
      </w:r>
    </w:p>
    <w:p>
      <w:pPr>
        <w:spacing w:after="60" w:before="60" w:line="240" w:lineRule="auto"/>
      </w:pPr>
      <w:r>
        <w:rPr>
          <w:rFonts w:ascii="Calibri" w:cs="Calibri" w:eastAsia="Calibri" w:hAnsi="Calibri"/>
          <w:sz w:val="19"/>
          <w:szCs w:val="19"/>
        </w:rPr>
        <w:t xml:space="preserve">English — Native / Bilingual  |  Spanish — Native / Bilingual</w:t>
      </w:r>
    </w:p>
    <w:sectPr>
      <w:pgSz w:w="11906" w:h="16838" w:orient="portrait"/>
      <w:pgMar w:top="1008" w:right="1224" w:bottom="1008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2026-07-17T12:21:42.892Z</dcterms:created>
  <dcterms:modified xsi:type="dcterms:W3CDTF">2026-07-17T12:21:42.892Z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