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 w:lineRule="auto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Santiago A. Ruiz Diaz</w:t>
      </w:r>
    </w:p>
    <w:p>
      <w:pPr>
        <w:spacing w:after="60" w:before="0" w:line="240" w:lineRule="auto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OT/ICS Systems Engineer  |  Building Automation &amp; Controls  |  Security+ · CySA+ · PenTest+  |  15+ Years Critical Infrastructure</w:t>
      </w:r>
    </w:p>
    <w:p>
      <w:pPr>
        <w:spacing w:after="80" w:before="0" w:line="240" w:lineRule="auto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s.abelrd@gmail.com  |  United States  |  English / Spanish (Bilingual)  |  linkedin.com/in/santiago-a-ruiz-diaz-4aa418b2  |  github.com/Santi4g0RD</w:t>
      </w:r>
    </w:p>
    <w:p>
      <w:pPr>
        <w:pBdr>
          <w:bottom w:val="single" w:color="AAAAAA" w:sz="6"/>
        </w:pBdr>
        <w:spacing w:after="30" w:before="30" w:line="240" w:lineRule="auto"/>
      </w:pPr>
    </w:p>
    <w:p>
      <w:pPr>
        <w:pBdr>
          <w:bottom w:val="single" w:color="CCCCCC" w:sz="4"/>
        </w:pBdr>
        <w:spacing w:after="40" w:before="110" w:line="240" w:lineRule="auto"/>
      </w:pPr>
      <w:r>
        <w:rPr>
          <w:rFonts w:ascii="Calibri" w:cs="Calibri" w:eastAsia="Calibri" w:hAnsi="Calibri"/>
          <w:b/>
          <w:bCs/>
          <w:caps/>
          <w:color w:val="1F3864"/>
          <w:sz w:val="20"/>
          <w:szCs w:val="20"/>
        </w:rPr>
        <w:t xml:space="preserve">Summary</w:t>
      </w:r>
    </w:p>
    <w:p>
      <w:pPr>
        <w:spacing w:after="80" w:before="6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OT/ICS professional with 15+ years of hands-on building automation experience — SCADA-like controllers, PLC (GCL+), BACnet, BMS — maintaining and troubleshooting critical infrastructure across a live, network-connected campus. Paired with a security engineering skill set (vulnerability management, threat hunting, EDR) as Security Engineer I at LOGN Pacific. Bilingual English/Spanish.</w:t>
      </w:r>
    </w:p>
    <w:p>
      <w:pPr>
        <w:pBdr>
          <w:bottom w:val="single" w:color="CCCCCC" w:sz="4"/>
        </w:pBdr>
        <w:spacing w:after="40" w:before="110" w:line="240" w:lineRule="auto"/>
      </w:pPr>
      <w:r>
        <w:rPr>
          <w:rFonts w:ascii="Calibri" w:cs="Calibri" w:eastAsia="Calibri" w:hAnsi="Calibri"/>
          <w:b/>
          <w:bCs/>
          <w:caps/>
          <w:color w:val="1F3864"/>
          <w:sz w:val="20"/>
          <w:szCs w:val="20"/>
        </w:rPr>
        <w:t xml:space="preserve">Technical Skills</w:t>
      </w:r>
    </w:p>
    <w:p>
      <w:pPr>
        <w:spacing w:after="40" w:before="6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OT/ICS: </w:t>
      </w:r>
      <w:r>
        <w:rPr>
          <w:rFonts w:ascii="Calibri" w:cs="Calibri" w:eastAsia="Calibri" w:hAnsi="Calibri"/>
          <w:sz w:val="19"/>
          <w:szCs w:val="19"/>
        </w:rPr>
        <w:t xml:space="preserve">SCADA · PLC Programming &amp; Troubleshooting · GCL+ · BACnet · BMS · HVAC &amp; Electrical Infrastructure · IEC 62443 · NIST 800-82 · IT/OT Convergence · Network Segmentation · Purdue Model</w:t>
      </w:r>
    </w:p>
    <w:p>
      <w:pPr>
        <w:spacing w:after="4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SIEM/Detection: </w:t>
      </w:r>
      <w:r>
        <w:rPr>
          <w:rFonts w:ascii="Calibri" w:cs="Calibri" w:eastAsia="Calibri" w:hAnsi="Calibri"/>
          <w:sz w:val="19"/>
          <w:szCs w:val="19"/>
        </w:rPr>
        <w:t xml:space="preserve">Microsoft Sentinel · Microsoft Defender for Endpoint (EDR) · Microsoft 365 Defender · KQL · Threat Hunting · Log Analysis · Alert Triage · MITRE ATT&amp;CK</w:t>
      </w:r>
    </w:p>
    <w:p>
      <w:pPr>
        <w:spacing w:after="4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Vulnerability Management: </w:t>
      </w:r>
      <w:r>
        <w:rPr>
          <w:rFonts w:ascii="Calibri" w:cs="Calibri" w:eastAsia="Calibri" w:hAnsi="Calibri"/>
          <w:sz w:val="19"/>
          <w:szCs w:val="19"/>
        </w:rPr>
        <w:t xml:space="preserve">Tenable / Nessus · DISA STIG · CVSS · NIST CSF · NIST 800-53 · System Hardening</w:t>
      </w:r>
    </w:p>
    <w:p>
      <w:pPr>
        <w:spacing w:after="4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Scripting: </w:t>
      </w:r>
      <w:r>
        <w:rPr>
          <w:rFonts w:ascii="Calibri" w:cs="Calibri" w:eastAsia="Calibri" w:hAnsi="Calibri"/>
          <w:sz w:val="19"/>
          <w:szCs w:val="19"/>
        </w:rPr>
        <w:t xml:space="preserve">PowerShell · Bash · Python</w:t>
      </w:r>
    </w:p>
    <w:p>
      <w:pPr>
        <w:spacing w:after="4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Cloud: </w:t>
      </w:r>
      <w:r>
        <w:rPr>
          <w:rFonts w:ascii="Calibri" w:cs="Calibri" w:eastAsia="Calibri" w:hAnsi="Calibri"/>
          <w:sz w:val="19"/>
          <w:szCs w:val="19"/>
        </w:rPr>
        <w:t xml:space="preserve">Microsoft Azure · Azure Security Center</w:t>
      </w:r>
    </w:p>
    <w:p>
      <w:pPr>
        <w:spacing w:after="8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Other: </w:t>
      </w:r>
      <w:r>
        <w:rPr>
          <w:rFonts w:ascii="Calibri" w:cs="Calibri" w:eastAsia="Calibri" w:hAnsi="Calibri"/>
          <w:sz w:val="19"/>
          <w:szCs w:val="19"/>
        </w:rPr>
        <w:t xml:space="preserve">Incident Response · Access Control · Privileged Access Management · Zero Trust · Change Management</w:t>
      </w:r>
    </w:p>
    <w:p>
      <w:pPr>
        <w:pBdr>
          <w:bottom w:val="single" w:color="CCCCCC" w:sz="4"/>
        </w:pBdr>
        <w:spacing w:after="40" w:before="110" w:line="240" w:lineRule="auto"/>
      </w:pPr>
      <w:r>
        <w:rPr>
          <w:rFonts w:ascii="Calibri" w:cs="Calibri" w:eastAsia="Calibri" w:hAnsi="Calibri"/>
          <w:b/>
          <w:bCs/>
          <w:caps/>
          <w:color w:val="1F3864"/>
          <w:sz w:val="20"/>
          <w:szCs w:val="20"/>
        </w:rPr>
        <w:t xml:space="preserve">Certifications</w:t>
      </w:r>
    </w:p>
    <w:p>
      <w:pPr>
        <w:spacing w:after="80" w:before="6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CompTIA Security+ (ce)  ·  CySA+ (ce)  ·  PenTest+  ·  Network+ (ce)  ·  A+ (ce)  ·  CSIS  ·  CIOS  ·  Linux Essentials (LPI)  ·  ITIL Foundation</w:t>
      </w:r>
    </w:p>
    <w:p>
      <w:pPr>
        <w:pBdr>
          <w:bottom w:val="single" w:color="CCCCCC" w:sz="4"/>
        </w:pBdr>
        <w:spacing w:after="40" w:before="110" w:line="240" w:lineRule="auto"/>
      </w:pPr>
      <w:r>
        <w:rPr>
          <w:rFonts w:ascii="Calibri" w:cs="Calibri" w:eastAsia="Calibri" w:hAnsi="Calibri"/>
          <w:b/>
          <w:bCs/>
          <w:caps/>
          <w:color w:val="1F3864"/>
          <w:sz w:val="20"/>
          <w:szCs w:val="20"/>
        </w:rPr>
        <w:t xml:space="preserve">Experience</w:t>
      </w:r>
    </w:p>
    <w:p>
      <w:pPr>
        <w:spacing w:after="40" w:before="60" w:line="240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HVAC &amp; Building Automation Systems Specialist  |  OT/ICS Operations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  ·  County College of Morris  ·  Nov 2010 – Present</w:t>
      </w:r>
    </w:p>
    <w:p>
      <w:pPr>
        <w:pStyle w:val="ListParagraph"/>
        <w:numPr>
          <w:ilvl w:val="0"/>
          <w:numId w:val="1"/>
        </w:numPr>
        <w:spacing w:after="15" w:before="15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15+ years as technical owner of OT/ICS environments across a multi-building campus — maintained and troubleshot GCL+ PLC scripts across SCADA-like controllers and BACnet-connected building systems, resolving logic errors across HVAC, boiler, and electrical infrastructure.</w:t>
      </w:r>
    </w:p>
    <w:p>
      <w:pPr>
        <w:pStyle w:val="ListParagraph"/>
        <w:numPr>
          <w:ilvl w:val="0"/>
          <w:numId w:val="1"/>
        </w:numPr>
        <w:spacing w:after="15" w:before="15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Monitored system integrity across 15+ networked buildings, identified anomalous behavior, and executed configuration changes via BMS client terminal — minimizing operational downtime and unplanned outages.</w:t>
      </w:r>
    </w:p>
    <w:p>
      <w:pPr>
        <w:pStyle w:val="ListParagraph"/>
        <w:numPr>
          <w:ilvl w:val="0"/>
          <w:numId w:val="1"/>
        </w:numPr>
        <w:spacing w:after="15" w:before="15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Applied IEC 62443 and NIST 800-82 principles to IT/OT convergence and network segmentation of campus control systems; administered access control via BMS client terminal using least-privilege and PAM principles.</w:t>
      </w:r>
    </w:p>
    <w:p>
      <w:pPr>
        <w:spacing w:after="40" w:before="120" w:line="240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Engineer I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  ·  LOGN Pacific  ·  March 2026 – Present</w:t>
      </w:r>
    </w:p>
    <w:p>
      <w:pPr>
        <w:pStyle w:val="ListParagraph"/>
        <w:numPr>
          <w:ilvl w:val="0"/>
          <w:numId w:val="1"/>
        </w:numPr>
        <w:spacing w:after="15" w:before="15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Implemented full vulnerability management lifecycle across ~200-server enterprise (Windows Server 2025 &amp; Linux) using Tenable — authenticated/unauthenticated scans, DISA STIG templates, CVSS-based prioritization; reduced critical exposure surface through NTLMv1, SMB signing, and TLS 1.0/1.1 remediation.</w:t>
      </w:r>
    </w:p>
    <w:p>
      <w:pPr>
        <w:pStyle w:val="ListParagraph"/>
        <w:numPr>
          <w:ilvl w:val="0"/>
          <w:numId w:val="1"/>
        </w:numPr>
        <w:spacing w:after="15" w:before="15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Conducted post-intrusion threat hunt (Signal After The Noise) in Microsoft Sentinel — authored 20+ KQL queries across 6 MDE tables; mapped full adversary kill chain: T1078 → T1021 → T1547.001 → T1071.001 → T1562.001 → T1036 → T1003.001.</w:t>
      </w:r>
    </w:p>
    <w:p>
      <w:pPr>
        <w:pStyle w:val="ListParagraph"/>
        <w:numPr>
          <w:ilvl w:val="0"/>
          <w:numId w:val="1"/>
        </w:numPr>
        <w:spacing w:after="15" w:before="15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Detected unauthorized TOR browser usage on corporate Azure endpoint via MDE/EDR and KQL — confirmed full TOR circuit, mapped to T1090.003/T1204/T1036, delivered incident report with device isolation and port-block recommendations.</w:t>
      </w:r>
    </w:p>
    <w:p>
      <w:pPr>
        <w:pStyle w:val="ListParagraph"/>
        <w:numPr>
          <w:ilvl w:val="0"/>
          <w:numId w:val="1"/>
        </w:numPr>
        <w:spacing w:after="15" w:before="15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Facilitated CAB meetings, drafted VM policy, and drove executive sign-off across stakeholder teams.</w:t>
      </w:r>
    </w:p>
    <w:p>
      <w:pPr>
        <w:pBdr>
          <w:bottom w:val="single" w:color="CCCCCC" w:sz="4"/>
        </w:pBdr>
        <w:spacing w:after="40" w:before="110" w:line="240" w:lineRule="auto"/>
      </w:pPr>
      <w:r>
        <w:rPr>
          <w:rFonts w:ascii="Calibri" w:cs="Calibri" w:eastAsia="Calibri" w:hAnsi="Calibri"/>
          <w:b/>
          <w:bCs/>
          <w:caps/>
          <w:color w:val="1F3864"/>
          <w:sz w:val="20"/>
          <w:szCs w:val="20"/>
        </w:rPr>
        <w:t xml:space="preserve">Education</w:t>
      </w:r>
    </w:p>
    <w:p>
      <w:pPr>
        <w:spacing w:after="40" w:before="6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B.S. Cybersecurity &amp; Information Assurance (BSCSIA)</w:t>
      </w:r>
      <w:r>
        <w:rPr>
          <w:rFonts w:ascii="Calibri" w:cs="Calibri" w:eastAsia="Calibri" w:hAnsi="Calibri"/>
          <w:sz w:val="19"/>
          <w:szCs w:val="19"/>
        </w:rPr>
        <w:t xml:space="preserve">  —  Western Governors University  ·  Mar 2025 – Mar 2026</w:t>
      </w:r>
    </w:p>
    <w:p>
      <w:pPr>
        <w:spacing w:after="8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Master's in Cybersecurity</w:t>
      </w:r>
      <w:r>
        <w:rPr>
          <w:rFonts w:ascii="Calibri" w:cs="Calibri" w:eastAsia="Calibri" w:hAnsi="Calibri"/>
          <w:sz w:val="19"/>
          <w:szCs w:val="19"/>
        </w:rPr>
        <w:t xml:space="preserve">  —  Enrollment target: July–August 2026</w:t>
      </w:r>
    </w:p>
    <w:sectPr>
      <w:pgSz w:w="11906" w:h="16838" w:orient="portrait"/>
      <w:pgMar w:top="504" w:right="1080" w:bottom="50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2026-07-17T12:24:21.325Z</dcterms:created>
  <dcterms:modified xsi:type="dcterms:W3CDTF">2026-07-17T12:24:21.325Z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