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9ca3af" w:sz="6" w:space="15"/>
        </w:pBdr>
        <w:spacing w:after="300" w:before="0"/>
        <w:jc w:val="center"/>
      </w:pPr>
      <w:r>
        <w:rPr>
          <w:rFonts w:ascii="Calibri" w:cs="Calibri" w:eastAsia="Calibri" w:hAnsi="Calibri"/>
          <w:b/>
          <w:bCs/>
          <w:color w:val="00B0F0"/>
          <w:sz w:val="36"/>
          <w:szCs w:val="36"/>
        </w:rPr>
        <w:t xml:space="preserve">RELEVAMIENTO PLANIALTIMÉTRICO, REPLANTEO DE LÍNEA DE ALTA TENSIÓN Y ESTUDIOS DE RIESGO HÍDRICO</w:t>
      </w:r>
    </w:p>
    <w:p>
      <w:pPr>
        <w:spacing w:after="400" w:before="100"/>
        <w:jc w:val="center"/>
      </w:pPr>
      <w:r>
        <w:rPr>
          <w:rFonts w:ascii="Calibri" w:cs="Calibri" w:eastAsia="Calibri" w:hAnsi="Calibri"/>
          <w:b/>
          <w:bCs/>
          <w:color w:val="00B0F0"/>
          <w:sz w:val="20"/>
          <w:szCs w:val="20"/>
        </w:rPr>
        <w:t xml:space="preserve">Ubicación: Departamento de Las Heras, Provincia de Mendoza</w:t>
      </w:r>
      <w:r>
        <w:rPr>
          <w:rFonts w:ascii="Calibri" w:cs="Calibri" w:eastAsia="Calibri" w:hAnsi="Calibri"/>
          <w:color w:val="00B0F0"/>
          <w:sz w:val="20"/>
          <w:szCs w:val="20"/>
        </w:rPr>
        <w:t xml:space="preserve">   |   </w:t>
      </w:r>
      <w:r>
        <w:rPr>
          <w:rFonts w:ascii="Calibri" w:cs="Calibri" w:eastAsia="Calibri" w:hAnsi="Calibri"/>
          <w:b/>
          <w:bCs/>
          <w:color w:val="00B0F0"/>
          <w:sz w:val="20"/>
          <w:szCs w:val="20"/>
        </w:rPr>
        <w:t xml:space="preserve">Fecha: 03/06/2026</w:t>
      </w:r>
    </w:p>
    <w:p>
      <w:pPr>
        <w:spacing w:after="160" w:line="276" w:lineRule="auto"/>
        <w:ind w:firstLine="720"/>
        <w:jc w:val="both"/>
      </w:pPr>
      <w:r>
        <w:rPr>
          <w:rFonts w:ascii="Calibri" w:cs="Calibri" w:eastAsia="Calibri" w:hAnsi="Calibri"/>
          <w:color w:val="000000"/>
          <w:sz w:val="24"/>
          <w:szCs w:val="24"/>
        </w:rPr>
        <w:t xml:space="preserve">Se remite la presente propuesta técnico-económica para la prestación de servicios de ingeniería en el marco del proyecto de construcción de la Línea de Alta Tensión 132 kV doble terna (LAT DT 132 kV) que vincula la Estación Transformadora Mendoza Norte 220/132 kV con la Estación Transformadora Las Heras 132/66 kV, en el Departamento de Las Heras, Provincia de Mendoza. La obra forma parte de las Obras de Interconexión 132 kV del Anillo Norte Mendoza, promovidas por el Gobierno de la Provincia de Mendoza a través de FOPIATZAD, e implica la construcción de una línea de aproximadamente 14 km de extensión, con 67 estructuras de hormigón de doble terna vertical, atravesando zonas rurales, áreas de cultivo, cruces de canales de riego y cruces viales de diversa jerarquía.</w:t>
      </w:r>
    </w:p>
    <w:p>
      <w:pPr>
        <w:spacing w:after="160" w:line="276" w:lineRule="auto"/>
        <w:ind w:firstLine="720"/>
        <w:jc w:val="both"/>
      </w:pPr>
      <w:r>
        <w:rPr>
          <w:rFonts w:ascii="Calibri" w:cs="Calibri" w:eastAsia="Calibri" w:hAnsi="Calibri"/>
          <w:color w:val="000000"/>
          <w:sz w:val="24"/>
          <w:szCs w:val="24"/>
        </w:rPr>
        <w:t xml:space="preserve">El alcance de esta propuesta comprende dos módulos de servicios técnicos complementarios e independientes entre sí. El primero abarca el relevamiento planialtimétrico del perfil completo de la línea y el replanteo de la totalidad de los piquetes en campo, conforme a las especificaciones del Pliego de Bases y Condiciones de la obra (Sección G, Tomo V, ID: MZA-ETLH-PBCC-V, emisión 12/03/2026). El segundo comprende la elaboración del Estudio de Riesgo Hídrico para las dos estaciones transformadoras que constituyen los extremos del proyecto: la ET Mendoza Norte 220/132 kV y la ET Las Heras 132/66 kV, ambas emplazadas en el Departamento de Las Heras, zona con influencia directa de la cuenca del Río Mendoza y sus escurrimientos tributarios.</w:t>
      </w:r>
    </w:p>
    <w:p>
      <w:pPr>
        <w:spacing w:after="160" w:line="276" w:lineRule="auto"/>
        <w:ind w:firstLine="720"/>
        <w:jc w:val="both"/>
      </w:pPr>
      <w:r>
        <w:rPr>
          <w:rFonts w:ascii="Calibri" w:cs="Calibri" w:eastAsia="Calibri" w:hAnsi="Calibri"/>
          <w:color w:val="000000"/>
          <w:sz w:val="24"/>
          <w:szCs w:val="24"/>
        </w:rPr>
        <w:t xml:space="preserve">La correcta ejecución de ambos módulos es condición necesaria para el avance del proyecto en sus etapas de montaje y habilitación. El replanteo topográfico garantiza que las estructuras sean implantadas en las posiciones precisas definidas en la ingeniería de detalle, evitando correcciones costosas durante la construcción. El estudio de riesgo hídrico aporta la información técnica que permite dimensionar y validar las obras de protección de las instalaciones frente a crecidas, erosión e inundación, condición indispensable en una zona árida con escurrimientos aluvionales de alta energía como la que caracteriza al piedemonte mendocino.</w:t>
      </w:r>
    </w:p>
    <w:p>
      <w:pPr>
        <w:pStyle w:val="Heading2"/>
        <w:spacing w:after="80" w:before="240" w:line="360" w:lineRule="auto"/>
      </w:pPr>
      <w:r>
        <w:rPr>
          <w:rFonts w:ascii="Calibri" w:cs="Calibri" w:eastAsia="Calibri" w:hAnsi="Calibri"/>
          <w:b/>
          <w:bCs/>
          <w:color w:val="00B0F0"/>
          <w:sz w:val="32"/>
          <w:szCs w:val="32"/>
        </w:rPr>
        <w:t xml:space="preserve">Módulo 1 — relevamiento planialtimétrico y replanteo de la línea de alta tensión</w:t>
      </w:r>
    </w:p>
    <w:p>
      <w:pPr>
        <w:spacing w:after="160" w:line="276" w:lineRule="auto"/>
        <w:ind w:firstLine="720"/>
        <w:jc w:val="both"/>
      </w:pPr>
      <w:r>
        <w:rPr>
          <w:rFonts w:ascii="Calibri" w:cs="Calibri" w:eastAsia="Calibri" w:hAnsi="Calibri"/>
          <w:color w:val="000000"/>
          <w:sz w:val="24"/>
          <w:szCs w:val="24"/>
        </w:rPr>
        <w:t xml:space="preserve">La traza proyectada se desarrolla a lo largo de aproximadamente 14 km, con 16 vértices de quiebre (V1 a V16) entre las coordenadas 32°48'35.1"S / 68°42'28.5"O (cabecera ET Las Heras) y 32°51'46.8"S / 68°47'58.8"O (cabecera ET Mendoza Norte), definiendo una traza con orientación general noroeste-sudeste. La línea cuenta con 67 estructuras distribuidas a lo largo del corredor, con un ancho de servidumbre de 17,46 m, vano medio de 200 m y vano máximo de 224,7 m. El conductor es del tipo Al/Ac 300/50 mm², con aisladores de porcelana clase U120BL, cadenas simples en suspensión y dobles en retención.</w:t>
      </w:r>
    </w:p>
    <w:p>
      <w:pPr>
        <w:spacing w:after="160" w:line="276" w:lineRule="auto"/>
        <w:ind w:firstLine="720"/>
        <w:jc w:val="both"/>
      </w:pPr>
      <w:r>
        <w:rPr>
          <w:rFonts w:ascii="Calibri" w:cs="Calibri" w:eastAsia="Calibri" w:hAnsi="Calibri"/>
          <w:color w:val="000000"/>
          <w:sz w:val="24"/>
          <w:szCs w:val="24"/>
        </w:rPr>
        <w:t xml:space="preserve">La traza atraviesa terrenos con usos de suelo heterogéneos: zonas de cultivo intensivo, campo inculto, sectores de barrio y múltiples cruces del Canal Cacique Güillén, constituyendo un corredor topográficamente variable que requiere una documentación planialtimétrica de precisión para garantizar la correcta distribución y montaje de estructuras.</w:t>
      </w:r>
    </w:p>
    <w:p>
      <w:pPr>
        <w:spacing w:after="160" w:line="276" w:lineRule="auto"/>
        <w:ind w:firstLine="720"/>
        <w:jc w:val="both"/>
      </w:pPr>
      <w:r>
        <w:rPr>
          <w:rFonts w:ascii="Calibri" w:cs="Calibri" w:eastAsia="Calibri" w:hAnsi="Calibri"/>
          <w:color w:val="000000"/>
          <w:sz w:val="24"/>
          <w:szCs w:val="24"/>
        </w:rPr>
        <w:t xml:space="preserve">El objetivo de este módulo es proveer al comitente la documentación topográfica que permita verificar y ajustar la distribución de estructuras, ejecutar el replanteo físico de cada piquete en campo, y generar los planos de detalle requeridos para la gestión de aprobaciones ante los organismos competentes. Las tolerancias admisibles conforme al pliego son: ±0,50 m en longitud planimétrica, ±0,10 m en alineación y ±0,10 m en altimetría.</w:t>
      </w:r>
    </w:p>
    <w:p>
      <w:pPr>
        <w:pStyle w:val="Heading2"/>
        <w:spacing w:after="80" w:before="240" w:line="360" w:lineRule="auto"/>
      </w:pPr>
      <w:r>
        <w:rPr>
          <w:rFonts w:ascii="Calibri" w:cs="Calibri" w:eastAsia="Calibri" w:hAnsi="Calibri"/>
          <w:b/>
          <w:bCs/>
          <w:color w:val="00B0F0"/>
          <w:sz w:val="32"/>
          <w:szCs w:val="32"/>
        </w:rPr>
        <w:t xml:space="preserve">Tareas a desarrollar — módulo 1</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Revisión y ajuste del trazado propuesto: análisis crítico de los vértices y tabla de piquetes provistos por el comitente, verificación de coherencia geométrica entre piquetes y vértices, y reconocimiento de campo previo al inicio de los trabajos de replanteo. Se identificarán situaciones que pudieran requerir modificación de traza por obstáculos no detectados, accesibilidad restringida o discrepancias con la cartografía base.</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Relevamiento planialtimétrico del perfil completo: medición planialtimétrica del eje de la traza mediante equipos GNSS RTK y/o Estación Total, determinando cotas de terreno natural en cada piquete y en todos los puntos singulares de la traza: cambios de pendiente, cruces de rutas y caminos, cruces de canales, zonas de edificación próxima y cualquier elemento que condicione el diseño o montaje de la línea. El relevamiento comprenderá asimismo una franja suficiente a ambos lados del eje para documentar los obstáculos dentro de la servidumbre y en las inmediaciones de los cruces.</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Replanteo de los 67 piquetes: materialización física en campo de la posición de cada estructura, conforme a los planos de distribución aprobados por la Inspección del comitente. Cada piquete se marcará con el sistema de estacas establecido en el pliego: una estaca roja central indicando el eje del piquete y cuatro estacas blancas ubicadas a 5 metros por delante y detrás de la estaca central sobre el eje de la traza. En las estacas centrales se grabará el número de piquete correspondiente. Para estructuras en ángulo, la estaca central se ubicará sobre la bisectriz del ángulo de desvío. En terrenos con dureza superficial que impida la hinca de madera, se utilizarán estacas de hierro de 16 mm de diámetro; en casos extremos de roca superficial, se señalizarán los puntos con cruces pintadas.</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Relevamiento de obstáculos y cruces: identificación, medición y documentación de todos los obstáculos notables dentro de la franja de servidumbre (casas, molinos, columnas de alumbrado público, infraestructura de riego, etc.) y de la totalidad de los cruces con rutas, caminos rurales, canales, líneas eléctricas y líneas telefónicas.</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Elaboración de planos de detalle: confección de planos planialtimétricos con distribución de estructuras, perfil longitudinal de la traza, distribución de vanos, documentación gráfica de cada cruce y toda la documentación complementaria necesaria para la tramitación de autorizaciones ante vialidades, organismos hídricos y otras instituciones competentes. Todos los productos se entregarán en sistema de coordenadas Gauss-Krüger / POSGAR 2007.</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Control de tolerancias y corrección de desvíos: verificación de distancias y alineaciones en cada vano, con control de la posición de cada piquete respecto a la línea de mojones vértice. Cualquier desvío que supere los límites admisibles será corregido antes de la entrega de la documentación final.</w:t>
      </w:r>
    </w:p>
    <w:p>
      <w:pPr>
        <w:pStyle w:val="Heading2"/>
        <w:spacing w:after="80" w:before="240" w:line="360" w:lineRule="auto"/>
      </w:pPr>
      <w:r>
        <w:rPr>
          <w:rFonts w:ascii="Calibri" w:cs="Calibri" w:eastAsia="Calibri" w:hAnsi="Calibri"/>
          <w:b/>
          <w:bCs/>
          <w:color w:val="00B0F0"/>
          <w:sz w:val="32"/>
          <w:szCs w:val="32"/>
        </w:rPr>
        <w:t xml:space="preserve">Entregables — módulo 1</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Plano planialtimétrico completo de la traza (DWG y PDF), con perfil longitudinal, distribución de estructuras, cruces y obstáculos, en sistema Gauss-Krüger / POSGAR 2007</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Tabla de piquetes actualizada con coordenadas relevadas en campo</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Planos de detalle de cruces (rutas, canales, líneas existentes)</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Memoria técnica del relevamiento y replanteo</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Archivo de coordenadas de cada piquete en formato compatible con la ingeniería de detalle</w:t>
      </w:r>
    </w:p>
    <w:p>
      <w:pPr>
        <w:pStyle w:val="Heading2"/>
        <w:spacing w:after="80" w:before="240" w:line="360" w:lineRule="auto"/>
      </w:pPr>
      <w:r>
        <w:rPr>
          <w:rFonts w:ascii="Calibri" w:cs="Calibri" w:eastAsia="Calibri" w:hAnsi="Calibri"/>
          <w:b/>
          <w:bCs/>
          <w:color w:val="00B0F0"/>
          <w:sz w:val="32"/>
          <w:szCs w:val="32"/>
        </w:rPr>
        <w:t xml:space="preserve">Criterio de trabajo y equipamiento a utilizar — módulo 1</w:t>
      </w:r>
    </w:p>
    <w:p>
      <w:pPr>
        <w:spacing w:after="160" w:line="276" w:lineRule="auto"/>
        <w:ind w:firstLine="720"/>
        <w:jc w:val="both"/>
      </w:pPr>
      <w:r>
        <w:rPr>
          <w:rFonts w:ascii="Calibri" w:cs="Calibri" w:eastAsia="Calibri" w:hAnsi="Calibri"/>
          <w:color w:val="000000"/>
          <w:sz w:val="24"/>
          <w:szCs w:val="24"/>
        </w:rPr>
        <w:t xml:space="preserve">Se empleará equipamiento GNSS diferencial (base + rover) con corrección en tiempo real (RTK), garantizando precisión posicional subcentimétrica. En zonas con obstrucción satelital (sectores bajo infraestructura, arbolado denso, inmediaciones de cruces) se complementará con Estación Total referenciada a la red geodésica. Todos los trabajos quedan referenciados a la Red Geodésica Nacional (POSGAR 2007), lo que asegura su integración directa con la ingeniería de detalle y con la documentación dominial y catastral de la franja de servidumbre. El procesamiento de datos se realizará con software AutoCAD Civil 3D y QGIS.</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Módulo 1 — Relevamiento Planialtimétrico y Replanteo LAT DT 132 kV | 10.125.000 pesos argentinos</w:t>
      </w:r>
    </w:p>
    <w:p>
      <w:pPr>
        <w:pStyle w:val="Heading2"/>
        <w:spacing w:after="80" w:before="240" w:line="360" w:lineRule="auto"/>
      </w:pPr>
      <w:r>
        <w:rPr>
          <w:rFonts w:ascii="Calibri" w:cs="Calibri" w:eastAsia="Calibri" w:hAnsi="Calibri"/>
          <w:b/>
          <w:bCs/>
          <w:color w:val="00B0F0"/>
          <w:sz w:val="32"/>
          <w:szCs w:val="32"/>
        </w:rPr>
        <w:t xml:space="preserve">Formas de pago — módulo 1</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20% de adelanto al momento de la confirmación del servicio.</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80% restante a la aprobación y entrega de los productos finales.</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Quedamos a disposición por otra propuesta en la forma de pago</w:t>
      </w:r>
    </w:p>
    <w:p>
      <w:pPr>
        <w:pStyle w:val="Heading2"/>
        <w:spacing w:after="80" w:before="240" w:line="360" w:lineRule="auto"/>
      </w:pPr>
      <w:r>
        <w:rPr>
          <w:rFonts w:ascii="Calibri" w:cs="Calibri" w:eastAsia="Calibri" w:hAnsi="Calibri"/>
          <w:b/>
          <w:bCs/>
          <w:color w:val="00B0F0"/>
          <w:sz w:val="32"/>
          <w:szCs w:val="32"/>
        </w:rPr>
        <w:t xml:space="preserve">Módulo 2 - estudios de riesgo hídrico - et mendoza norte 220/132 kv y et las heras 132/66 kv</w:t>
      </w:r>
    </w:p>
    <w:p>
      <w:pPr>
        <w:spacing w:after="160" w:line="276" w:lineRule="auto"/>
        <w:ind w:firstLine="720"/>
        <w:jc w:val="both"/>
      </w:pPr>
      <w:r>
        <w:rPr>
          <w:rFonts w:ascii="Calibri" w:cs="Calibri" w:eastAsia="Calibri" w:hAnsi="Calibri"/>
          <w:color w:val="000000"/>
          <w:sz w:val="24"/>
          <w:szCs w:val="24"/>
        </w:rPr>
        <w:t xml:space="preserve">Las estaciones transformadoras que conforman los extremos del proyecto se emplazan en el Departamento de Las Heras, sobre el piedemonte árido que caracteriza el corredor entre la ciudad de Mendoza y las primeras estribaciones precordilleranas. Esta posición geomorfológica implica una exposición significativa a fenómenos hídricos propios del ambiente árido. El objetivo central es cuantificar el riesgo hidrológico e hidráulico al que están expuestas las instalaciones, determinar la viabilidad y dimensionamiento de las obras de protección (explanación del terreno en primera instancia), y proveer al comitente un instrumento técnico que respalde las decisiones de diseño y la tramitación de permisos ante los organismos hídricos provinciales.</w:t>
      </w:r>
    </w:p>
    <w:p>
      <w:pPr>
        <w:pStyle w:val="Heading2"/>
        <w:spacing w:after="80" w:before="240" w:line="360" w:lineRule="auto"/>
      </w:pPr>
      <w:r>
        <w:rPr>
          <w:rFonts w:ascii="Calibri" w:cs="Calibri" w:eastAsia="Calibri" w:hAnsi="Calibri"/>
          <w:b/>
          <w:bCs/>
          <w:color w:val="00B0F0"/>
          <w:sz w:val="32"/>
          <w:szCs w:val="32"/>
        </w:rPr>
        <w:t xml:space="preserve">Tareas a desarrollar — módulo 2 (por cada estación transformadora)</w:t>
      </w:r>
    </w:p>
    <w:p>
      <w:pPr>
        <w:spacing w:after="80" w:before="160" w:line="360" w:lineRule="auto"/>
        <w:ind w:left="360"/>
      </w:pPr>
      <w:r>
        <w:rPr>
          <w:rFonts w:ascii="Calibri" w:cs="Calibri" w:eastAsia="Calibri" w:hAnsi="Calibri"/>
          <w:b/>
          <w:bCs/>
          <w:color w:val="00B0F0"/>
          <w:sz w:val="28"/>
          <w:szCs w:val="28"/>
        </w:rPr>
        <w:t xml:space="preserve">1. información de partida y caracterización del medio físico</w:t>
      </w:r>
    </w:p>
    <w:p>
      <w:pPr>
        <w:spacing w:after="160" w:line="276" w:lineRule="auto"/>
        <w:ind w:firstLine="720"/>
        <w:jc w:val="both"/>
      </w:pPr>
      <w:r>
        <w:rPr>
          <w:rFonts w:ascii="Calibri" w:cs="Calibri" w:eastAsia="Calibri" w:hAnsi="Calibri"/>
          <w:color w:val="000000"/>
          <w:sz w:val="24"/>
          <w:szCs w:val="24"/>
        </w:rPr>
        <w:t xml:space="preserve">El punto de partida es la recopilación y análisis sistemático de la información disponible sobre el medio físico en el entorno de cada predio. Se caracterizarán las condiciones climáticas de la zona (régimen de precipitaciones, curvas IDF de la estación Mendoza, temperaturas y evapotranspiración), la vegetación y cobertura del suelo (determinante para la estimación del número de curva CN), la clasificación y caracterización de suelos (textura, permeabilidad, grupo hidrológico), la geología y geomorfología del piedemonte (identificación de abanicos aluviales, terrazas fluviales, cauces activos y canales de riego existentes), y el sistema fluvial regional con especial énfasis en la cuenca del Río Mendoza y los colectores que drenan hacia los predios. Se obtendrá la topografía detallada de cada predio y su entorno mediante vuelo aerofotogramétrico con drone, procesado para la generación de un Modelo Digital de Elevaciones (MDE) de alta resolución, que constituye la base geomorfológica de toda la modelación posterior.</w:t>
      </w:r>
    </w:p>
    <w:p>
      <w:pPr>
        <w:spacing w:after="80" w:before="160" w:line="360" w:lineRule="auto"/>
        <w:ind w:left="360"/>
      </w:pPr>
      <w:r>
        <w:rPr>
          <w:rFonts w:ascii="Calibri" w:cs="Calibri" w:eastAsia="Calibri" w:hAnsi="Calibri"/>
          <w:b/>
          <w:bCs/>
          <w:color w:val="00B0F0"/>
          <w:sz w:val="28"/>
          <w:szCs w:val="28"/>
        </w:rPr>
        <w:t xml:space="preserve">2. modelación hidrológica</w:t>
      </w:r>
    </w:p>
    <w:p>
      <w:pPr>
        <w:spacing w:after="160" w:line="276" w:lineRule="auto"/>
        <w:ind w:firstLine="720"/>
        <w:jc w:val="both"/>
      </w:pPr>
      <w:r>
        <w:rPr>
          <w:rFonts w:ascii="Calibri" w:cs="Calibri" w:eastAsia="Calibri" w:hAnsi="Calibri"/>
          <w:color w:val="000000"/>
          <w:sz w:val="24"/>
          <w:szCs w:val="24"/>
        </w:rPr>
        <w:t xml:space="preserve">A partir de la información de partida se construirá el modelo hidrológico de las cuencas de aporte a cada estación. Se delimitarán las cuencas contribuyentes mediante el MDE y se determinarán sus parámetros hidrológicos fundamentales: área de captación, longitud y pendiente del cauce principal, cobertura vegetal, uso del suelo y número de curva CN. Se elaborarán las tormentas de diseño para períodos de retorno de 10, 25, 50 y 100 años a partir de las curvas IDF vigentes para la zona de Mendoza, con generación de hietogramas de diseño mediante el método del bloque alterno u equivalente. Las pérdidas por infiltración se calcularán mediante el método CN del SCS. El modelo hidrológico se implementará en HEC-HMS, que permitirá simular la transformación lluvia-escorrentía y obtener los hidrogramas de caudales máximos para cada período de retorno en los puntos de interés.</w:t>
      </w:r>
    </w:p>
    <w:p>
      <w:pPr>
        <w:spacing w:after="80" w:before="160" w:line="360" w:lineRule="auto"/>
        <w:ind w:left="360"/>
      </w:pPr>
      <w:r>
        <w:rPr>
          <w:rFonts w:ascii="Calibri" w:cs="Calibri" w:eastAsia="Calibri" w:hAnsi="Calibri"/>
          <w:b/>
          <w:bCs/>
          <w:color w:val="00B0F0"/>
          <w:sz w:val="28"/>
          <w:szCs w:val="28"/>
        </w:rPr>
        <w:t xml:space="preserve">3. evaluación del riesgo hidrológico y modelación hidráulica</w:t>
      </w:r>
    </w:p>
    <w:p>
      <w:pPr>
        <w:spacing w:after="160" w:line="276" w:lineRule="auto"/>
        <w:ind w:firstLine="720"/>
        <w:jc w:val="both"/>
      </w:pPr>
      <w:r>
        <w:rPr>
          <w:rFonts w:ascii="Calibri" w:cs="Calibri" w:eastAsia="Calibri" w:hAnsi="Calibri"/>
          <w:color w:val="000000"/>
          <w:sz w:val="24"/>
          <w:szCs w:val="24"/>
        </w:rPr>
        <w:t xml:space="preserve">La evaluación del riesgo hidrológico se realizará conforme a la metodología de clasificación de instalaciones establecida por el comitente, que pondera la consecuencia del evento (daño a infraestructura crítica de alta tensión) frente a la frecuencia de ocurrencia para los distintos períodos de retorno. Esta clasificación determina el nivel de protección requerido y la tormenta de diseño que rige el dimensionamiento de las obras.
Sobre la base de los caudales obtenidos en la modelación hidrológica, se implementará un modelo hidráulico bidimensional en HEC-RAS 2D, alimentado por el MDE de alta resolución y los coeficientes de rugosidad Manning calibrados según la cobertura del suelo. El modelo simulará dos escenarios: el escenario actual (sin explanación), determinando la mancha de inundación, las profundidades y las velocidades de escurrimiento sobre y en torno a los predios; y el escenario con obra de protección (con explanación del terreno a la cota de diseño), evaluando la efectividad de la medida y verificando que las velocidades residuales en el perímetro de las instalaciones no superen los umbrales admisibles para estabilidad de taludes. Los resultados se presentarán en forma de mapas de inundación, perfiles de profundidades y velocidades, y comparación cuantitativa entre ambos escenarios.</w:t>
      </w:r>
    </w:p>
    <w:p>
      <w:pPr>
        <w:spacing w:after="80" w:before="160" w:line="360" w:lineRule="auto"/>
        <w:ind w:left="360"/>
      </w:pPr>
      <w:r>
        <w:rPr>
          <w:rFonts w:ascii="Calibri" w:cs="Calibri" w:eastAsia="Calibri" w:hAnsi="Calibri"/>
          <w:b/>
          <w:bCs/>
          <w:color w:val="00B0F0"/>
          <w:sz w:val="28"/>
          <w:szCs w:val="28"/>
        </w:rPr>
        <w:t xml:space="preserve">4. análisis granulométrico</w:t>
      </w:r>
    </w:p>
    <w:p>
      <w:pPr>
        <w:spacing w:after="160" w:line="276" w:lineRule="auto"/>
        <w:ind w:firstLine="720"/>
        <w:jc w:val="both"/>
      </w:pPr>
      <w:r>
        <w:rPr>
          <w:rFonts w:ascii="Calibri" w:cs="Calibri" w:eastAsia="Calibri" w:hAnsi="Calibri"/>
          <w:color w:val="000000"/>
          <w:sz w:val="24"/>
          <w:szCs w:val="24"/>
        </w:rPr>
        <w:t xml:space="preserve">Se definirán los puntos de sondeo en el entorno de cada predio en función de la geomorfología identificada y los resultados del modelo hidráulico. En cada punto se extraerán muestras de material de fondo mediante calicatas o muestras superficiales, según las características del terreno, y se realizarán ensayos granulométricos por tamizado y sedimentación. Los resultados permitirán caracterizar el material disponible para el transporte sólido durante crecidas, insumo fundamental para la estimación de la erosión.</w:t>
      </w:r>
    </w:p>
    <w:p>
      <w:pPr>
        <w:pStyle w:val="Heading2"/>
        <w:spacing w:after="80" w:before="240" w:line="360" w:lineRule="auto"/>
      </w:pPr>
      <w:r>
        <w:rPr>
          <w:rFonts w:ascii="Calibri" w:cs="Calibri" w:eastAsia="Calibri" w:hAnsi="Calibri"/>
          <w:b/>
          <w:bCs/>
          <w:color w:val="00B0F0"/>
          <w:sz w:val="32"/>
          <w:szCs w:val="32"/>
        </w:rPr>
        <w:t xml:space="preserve">Entregables — módulo 2 (por cada estación transformadora)</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Informe técnico integral con memoria descriptiva, metodología detallada, resultados de la modelación y conclusiones con recomendaciones de diseño</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Mapas varios del estudio</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Modelo digital de elevaciones (GeoTIFF georreferenciado) generado con drone</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Archivos del modelo hidrológico HEC-HMS y del modelo hidráulico HEC-RAS 2D</w:t>
      </w:r>
    </w:p>
    <w:p>
      <w:pPr>
        <w:pStyle w:val="Heading2"/>
        <w:spacing w:after="80" w:before="240" w:line="360" w:lineRule="auto"/>
      </w:pPr>
      <w:r>
        <w:rPr>
          <w:rFonts w:ascii="Calibri" w:cs="Calibri" w:eastAsia="Calibri" w:hAnsi="Calibri"/>
          <w:b/>
          <w:bCs/>
          <w:color w:val="00B0F0"/>
          <w:sz w:val="32"/>
          <w:szCs w:val="32"/>
        </w:rPr>
        <w:t xml:space="preserve">Criterio de trabajo y equipamiento a utilizar — módulo 2</w:t>
      </w:r>
    </w:p>
    <w:p>
      <w:pPr>
        <w:spacing w:after="160" w:line="276" w:lineRule="auto"/>
        <w:ind w:firstLine="720"/>
        <w:jc w:val="both"/>
      </w:pPr>
      <w:r>
        <w:rPr>
          <w:rFonts w:ascii="Calibri" w:cs="Calibri" w:eastAsia="Calibri" w:hAnsi="Calibri"/>
          <w:color w:val="000000"/>
          <w:sz w:val="24"/>
          <w:szCs w:val="24"/>
        </w:rPr>
        <w:t xml:space="preserve">La modelación bidimensional HEC-RAS 2D sobre MDE de alta resolución generado con drone es la metodología de mayor precisión actualmente disponible para la evaluación de riesgo hídrico en predios industriales y de infraestructura crítica en ambientes áridos. La combinación de modelación hidrológica HEC-HMS con hidráulica 2D permite no solo determinar el nivel de riesgo sino también optimizar el diseño de las obras de protección, reduciendo sobredimensionamientos innecesarios y garantizando la seguridad frente al período de retorno de diseño. Este enfoque es el mismo empleado en el Estudio de Riesgo Hídrico ya elaborado para la ET Mendoza Norte 220 kV, lo que asegura coherencia metodológica con la documentación técnica existente del proyecto.</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Módulo 2 — Estudio de Riesgo Hídrico ET Mendoza Norte 220/132 kV y ET Las Heras 132/66 kV (ambas estaciones) | 11.985.000 pesos argentinos</w:t>
      </w:r>
    </w:p>
    <w:p>
      <w:pPr>
        <w:pStyle w:val="Heading2"/>
        <w:spacing w:after="80" w:before="240" w:line="360" w:lineRule="auto"/>
      </w:pPr>
      <w:r>
        <w:rPr>
          <w:rFonts w:ascii="Calibri" w:cs="Calibri" w:eastAsia="Calibri" w:hAnsi="Calibri"/>
          <w:b/>
          <w:bCs/>
          <w:color w:val="00B0F0"/>
          <w:sz w:val="32"/>
          <w:szCs w:val="32"/>
        </w:rPr>
        <w:t xml:space="preserve">Formas de pago — módulo 2</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20% de adelanto al momento de la confirmación del servicio.</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80% restante a la aprobación y entrega de los productos finales.</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Quedamos a disposición por otra propuesta en la forma de pago</w:t>
      </w:r>
    </w:p>
    <w:p>
      <w:pPr>
        <w:pStyle w:val="Heading2"/>
        <w:spacing w:after="80" w:before="240" w:line="360" w:lineRule="auto"/>
      </w:pPr>
      <w:r>
        <w:rPr>
          <w:rFonts w:ascii="Calibri" w:cs="Calibri" w:eastAsia="Calibri" w:hAnsi="Calibri"/>
          <w:b/>
          <w:bCs/>
          <w:color w:val="00B0F0"/>
          <w:sz w:val="32"/>
          <w:szCs w:val="32"/>
        </w:rPr>
        <w:t xml:space="preserve">Presupuesto total</w:t>
      </w:r>
    </w:p>
    <w:p>
      <w:pPr>
        <w:spacing w:after="160" w:line="276" w:lineRule="auto"/>
        <w:ind w:firstLine="720"/>
        <w:jc w:val="both"/>
      </w:pPr>
      <w:r>
        <w:rPr>
          <w:rFonts w:ascii="Calibri" w:cs="Calibri" w:eastAsia="Calibri" w:hAnsi="Calibri"/>
          <w:color w:val="000000"/>
          <w:sz w:val="24"/>
          <w:szCs w:val="24"/>
        </w:rPr>
        <w:t xml:space="preserve">22.110.000 (veintidós millones ciento diez mil pesos argentinos)</w:t>
      </w:r>
    </w:p>
    <w:p>
      <w:pPr>
        <w:pStyle w:val="Heading2"/>
        <w:spacing w:after="80" w:before="240" w:line="360" w:lineRule="auto"/>
      </w:pPr>
      <w:r>
        <w:rPr>
          <w:rFonts w:ascii="Calibri" w:cs="Calibri" w:eastAsia="Calibri" w:hAnsi="Calibri"/>
          <w:b/>
          <w:bCs/>
          <w:color w:val="00B0F0"/>
          <w:sz w:val="32"/>
          <w:szCs w:val="32"/>
        </w:rPr>
        <w:t xml:space="preserve">Condiciones generales</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La presente cotización tiene una validez de 30 días corridos a partir de la fecha de emisión. Transcurrido dicho plazo, el monto podrá ser actualizado conforme al Índice de Precios al Consumidor (IPC) publicado por el INDEC.</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Cualquier modificación en el alcance de los trabajos o las especificaciones técnicas requerirá una reevaluación de la cotización y los plazos.</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El acceso al predio deberá ser garantizado por el comitente, incluyendo permisos necesarios y seguridad en la zona de operaciones.</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Los plazos de ejecución pueden verse afectados por condiciones meteorológicas adversas o restricciones de espacio aéreo no previstas.</w:t>
      </w:r>
    </w:p>
    <w:p>
      <w:pPr>
        <w:pStyle w:val="Heading2"/>
        <w:spacing w:after="80" w:before="240" w:line="360" w:lineRule="auto"/>
      </w:pPr>
      <w:r>
        <w:rPr>
          <w:rFonts w:ascii="Calibri" w:cs="Calibri" w:eastAsia="Calibri" w:hAnsi="Calibri"/>
          <w:b/>
          <w:bCs/>
          <w:color w:val="00B0F0"/>
          <w:sz w:val="32"/>
          <w:szCs w:val="32"/>
        </w:rPr>
        <w:t xml:space="preserve">Servicios adicionales</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Evaluación Profesional Especializada: todos los trabajos topográficos, hidrológicos e hidráulicos son ejecutados por profesionales con matrícula habilitante y experiencia específica en proyectos de infraestructura eléctrica de alta tensión en ambientes áridos y semiáridos. Los modelos HEC-HMS y HEC-RAS 2D son construidos, calibrados y validados por ingenieros en recursos hídricos con trayectoria en estudios de riesgo para infraestructura crítica.</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Revisión Post-Entrega: se incluye una instancia de revisión post-entrega con ajustes menores sin costo adicional, en respuesta a observaciones técnicas de la Inspección del comitente o del organismo hídrico competente.</w:t>
      </w:r>
    </w:p>
    <w:p>
      <w:pPr>
        <w:spacing w:after="80" w:before="80" w:line="276" w:lineRule="auto"/>
        <w:ind w:left="360" w:hanging="260"/>
      </w:pPr>
      <w:r>
        <w:rPr>
          <w:rFonts w:ascii="Calibri" w:cs="Calibri" w:eastAsia="Calibri" w:hAnsi="Calibri"/>
          <w:color w:val="00B0F0"/>
          <w:sz w:val="24"/>
          <w:szCs w:val="24"/>
        </w:rPr>
        <w:t xml:space="preserve">●  </w:t>
      </w:r>
      <w:r>
        <w:rPr>
          <w:rFonts w:ascii="Calibri" w:cs="Calibri" w:eastAsia="Calibri" w:hAnsi="Calibri"/>
          <w:color w:val="000000"/>
          <w:sz w:val="24"/>
          <w:szCs w:val="24"/>
        </w:rPr>
        <w:t xml:space="preserve">Asistencia Técnica: disponibilidad de consulta técnica durante 30 días posteriores a la entrega de los informes y planos finales, que incluye soporte para la interpretación de resultados, respuesta a consultas de organismos públicos y asistencia en la implementación de las recomendaciones del estudio.</w:t>
      </w:r>
    </w:p>
    <w:p>
      <w:pPr>
        <w:spacing w:after="160" w:line="276" w:lineRule="auto"/>
        <w:ind w:firstLine="720"/>
        <w:jc w:val="both"/>
      </w:pPr>
      <w:r>
        <w:rPr>
          <w:rFonts w:ascii="Calibri" w:cs="Calibri" w:eastAsia="Calibri" w:hAnsi="Calibri"/>
          <w:color w:val="000000"/>
          <w:sz w:val="24"/>
          <w:szCs w:val="24"/>
        </w:rPr>
        <w:t xml:space="preserve">Sin otro particular, saludo atentamente.</w:t>
      </w:r>
    </w:p>
    <w:p>
      <w:pPr>
        <w:pBdr>
          <w:top w:val="single" w:color="e5e7eb" w:sz="6" w:space="15"/>
        </w:pBdr>
        <w:spacing w:before="400"/>
        <w:jc w:val="right"/>
      </w:pPr>
      <w:r>
        <w:rPr>
          <w:rFonts w:ascii="Calibri" w:cs="Calibri" w:eastAsia="Calibri" w:hAnsi="Calibri"/>
          <w:color w:val="666666"/>
          <w:sz w:val="24"/>
          <w:szCs w:val="24"/>
        </w:rPr>
        <w:t xml:space="preserve">Cotización Total Estimada</w:t>
      </w:r>
    </w:p>
    <w:p>
      <w:pPr>
        <w:spacing w:before="60"/>
        <w:jc w:val="right"/>
      </w:pPr>
      <w:r>
        <w:rPr>
          <w:rFonts w:ascii="Calibri" w:cs="Calibri" w:eastAsia="Calibri" w:hAnsi="Calibri"/>
          <w:b/>
          <w:bCs/>
          <w:color w:val="003366"/>
          <w:sz w:val="36"/>
          <w:szCs w:val="36"/>
        </w:rPr>
        <w:t xml:space="preserve">$22.110.000,00 ARS</w:t>
      </w:r>
    </w:p>
    <w:p>
      <w:pPr>
        <w:spacing w:after="0" w:before="0" w:line="1" w:lineRule="exact"/>
      </w:pPr>
      <w:r>
        <w:drawing>
          <wp:anchor distT="0" distB="0" distL="0" distR="0" simplePos="0" allowOverlap="1" behindDoc="1" locked="0" layoutInCell="1" relativeHeight="2619375">
            <wp:simplePos x="0" y="0"/>
            <wp:positionH relativeFrom="page">
              <wp:align>center</wp:align>
            </wp:positionH>
            <wp:positionV relativeFrom="page">
              <wp:align>bottom</wp:align>
            </wp:positionV>
            <wp:extent cx="7562850" cy="2619375"/>
            <wp:effectExtent t="0" r="0" b="0" l="0"/>
            <wp:wrapNone/>
            <wp:docPr id="1" name="Clientes ITZA" descr="Franja inferior — logos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562850" cy="2619375"/>
                    </a:xfrm>
                    <a:prstGeom prst="rect">
                      <a:avLst/>
                    </a:prstGeom>
                  </pic:spPr>
                </pic:pic>
              </a:graphicData>
            </a:graphic>
          </wp:anchor>
        </w:drawing>
      </w:r>
    </w:p>
    <w:sectPr>
      <w:headerReference w:type="default" r:id="rId7"/>
      <w:pgSz w:w="11906" w:h="16838" w:orient="portrait"/>
      <w:pgMar w:top="1900" w:right="1134" w:bottom="15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Fondo ITZA" descr="Plantilla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eb672cdb00aa8a176fc13d0dbada754f3ad0096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3a000bd3cda17c8714e8c626e5a144f42a5e4f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2026-06-03T19:17:53.724Z</dcterms:created>
  <dcterms:modified xsi:type="dcterms:W3CDTF">2026-06-03T19:17:53.724Z</dcterms:modified>
</cp:coreProperties>
</file>

<file path=docProps/custom.xml><?xml version="1.0" encoding="utf-8"?>
<Properties xmlns="http://schemas.openxmlformats.org/officeDocument/2006/custom-properties" xmlns:vt="http://schemas.openxmlformats.org/officeDocument/2006/docPropsVTypes"/>
</file>