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61B84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0D6DFE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10795</wp:posOffset>
            </wp:positionV>
            <wp:extent cx="3313430" cy="2990850"/>
            <wp:effectExtent l="19050" t="19050" r="20320" b="19050"/>
            <wp:wrapTight wrapText="bothSides">
              <wp:wrapPolygon edited="0">
                <wp:start x="-124" y="-138"/>
                <wp:lineTo x="-124" y="21738"/>
                <wp:lineTo x="21732" y="21738"/>
                <wp:lineTo x="21732" y="-138"/>
                <wp:lineTo x="-124" y="-138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990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716D"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Subdividir toda la </w:t>
      </w:r>
      <w:r w:rsidR="00FC7609">
        <w:rPr>
          <w:rFonts w:ascii="Times New Roman" w:hAnsi="Times New Roman" w:cs="Times New Roman"/>
          <w:sz w:val="28"/>
          <w:szCs w:val="28"/>
          <w:lang w:val="es-ES_tradnl"/>
        </w:rPr>
        <w:t>topología, a partir de la 10.1.0</w:t>
      </w:r>
      <w:r w:rsidR="007B74C2">
        <w:rPr>
          <w:rFonts w:ascii="Times New Roman" w:hAnsi="Times New Roman" w:cs="Times New Roman"/>
          <w:sz w:val="28"/>
          <w:szCs w:val="28"/>
          <w:lang w:val="es-ES_tradnl"/>
        </w:rPr>
        <w:t>.0/</w:t>
      </w:r>
      <w:r w:rsidR="00FC7609">
        <w:rPr>
          <w:rFonts w:ascii="Times New Roman" w:hAnsi="Times New Roman" w:cs="Times New Roman"/>
          <w:sz w:val="28"/>
          <w:szCs w:val="28"/>
          <w:lang w:val="es-ES_tradnl"/>
        </w:rPr>
        <w:t>16</w:t>
      </w:r>
      <w:r w:rsidR="007B74C2">
        <w:rPr>
          <w:rFonts w:ascii="Times New Roman" w:hAnsi="Times New Roman" w:cs="Times New Roman"/>
          <w:sz w:val="28"/>
          <w:szCs w:val="28"/>
          <w:lang w:val="es-ES_tradnl"/>
        </w:rPr>
        <w:t xml:space="preserve">, aplicando VLSM y </w:t>
      </w:r>
      <w:r>
        <w:rPr>
          <w:rFonts w:ascii="Times New Roman" w:hAnsi="Times New Roman" w:cs="Times New Roman"/>
          <w:sz w:val="28"/>
          <w:szCs w:val="28"/>
          <w:lang w:val="es-ES_tradnl"/>
        </w:rPr>
        <w:t>evitando el solapamiento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OSPF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ES_tradnl"/>
        </w:rPr>
        <w:t>Realizar solo ruteo OSPF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>, donde está signado</w:t>
      </w:r>
      <w:r>
        <w:rPr>
          <w:rFonts w:ascii="Times New Roman" w:hAnsi="Times New Roman" w:cs="Times New Roman"/>
          <w:sz w:val="28"/>
          <w:szCs w:val="28"/>
          <w:lang w:val="es-ES_tradnl"/>
        </w:rPr>
        <w:t>. Utilizar como Wildcard, la inversa de la máscara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, de cada segmento</w:t>
      </w:r>
      <w:r w:rsidR="00D4716D">
        <w:rPr>
          <w:rFonts w:ascii="Times New Roman" w:hAnsi="Times New Roman" w:cs="Times New Roman"/>
          <w:sz w:val="28"/>
          <w:szCs w:val="28"/>
          <w:lang w:val="es-ES_tradnl"/>
        </w:rPr>
        <w:t>. Verificar la conectividad interna</w:t>
      </w:r>
    </w:p>
    <w:p w:rsidR="001B0330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>Ruteo RIP: Realizar solo ruteo RIP, donde está señalado</w:t>
      </w:r>
      <w:r w:rsidR="00D4716D">
        <w:rPr>
          <w:rFonts w:ascii="Times New Roman" w:hAnsi="Times New Roman" w:cs="Times New Roman"/>
          <w:sz w:val="28"/>
          <w:szCs w:val="28"/>
          <w:lang w:val="es-ES_tradnl"/>
        </w:rPr>
        <w:t>. Verificar la conectividad interna</w:t>
      </w:r>
    </w:p>
    <w:p w:rsidR="001B0330" w:rsidRDefault="00176EC7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>Ruteo ESTÁTICO: Realiza</w:t>
      </w:r>
      <w:r w:rsidR="00D4716D">
        <w:rPr>
          <w:rFonts w:ascii="Times New Roman" w:hAnsi="Times New Roman" w:cs="Times New Roman"/>
          <w:sz w:val="28"/>
          <w:szCs w:val="28"/>
          <w:lang w:val="es-ES_tradnl"/>
        </w:rPr>
        <w:t>r solo ruteo estático donde está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 xml:space="preserve"> marcado</w:t>
      </w:r>
      <w:r w:rsidR="00D4716D">
        <w:rPr>
          <w:rFonts w:ascii="Times New Roman" w:hAnsi="Times New Roman" w:cs="Times New Roman"/>
          <w:sz w:val="28"/>
          <w:szCs w:val="28"/>
          <w:lang w:val="es-ES_tradnl"/>
        </w:rPr>
        <w:t>. Verificar la conectividad interna</w:t>
      </w:r>
    </w:p>
    <w:p w:rsidR="001B0330" w:rsidRDefault="001B0330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Conseguir conectividad total (todos contra todos)</w:t>
      </w:r>
    </w:p>
    <w:p w:rsidR="005E2746" w:rsidRDefault="001B0330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6) 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Para la realización de la topología con el PT, respetar los tipos de cables, es decir, diagramar los seriales, fibra e ethernet, que corresponda</w:t>
      </w:r>
    </w:p>
    <w:p w:rsidR="007D57E9" w:rsidRDefault="007D57E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7D57E9" w:rsidRDefault="007D57E9" w:rsidP="007D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7D57E9" w:rsidRDefault="007D57E9" w:rsidP="007D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7D57E9" w:rsidRDefault="007D57E9" w:rsidP="007D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7D57E9" w:rsidRDefault="007D57E9" w:rsidP="007D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7D57E9" w:rsidRDefault="007D57E9" w:rsidP="007D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7D57E9" w:rsidRDefault="007D57E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7D57E9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4ED9" w:rsidRDefault="00AB4ED9">
      <w:pPr>
        <w:spacing w:after="0" w:line="240" w:lineRule="auto"/>
      </w:pPr>
      <w:r>
        <w:separator/>
      </w:r>
    </w:p>
  </w:endnote>
  <w:endnote w:type="continuationSeparator" w:id="1">
    <w:p w:rsidR="00AB4ED9" w:rsidRDefault="00AB4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7D57E9">
        <w:rPr>
          <w:noProof/>
        </w:rPr>
        <w:t>1</w:t>
      </w:r>
    </w:fldSimple>
    <w:r>
      <w:t xml:space="preserve"> de </w:t>
    </w:r>
    <w:fldSimple w:instr=" NUMPAGES   \* MERGEFORMAT ">
      <w:r w:rsidR="007D57E9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4ED9" w:rsidRDefault="00AB4ED9">
      <w:pPr>
        <w:spacing w:after="0" w:line="240" w:lineRule="auto"/>
      </w:pPr>
      <w:r>
        <w:separator/>
      </w:r>
    </w:p>
  </w:footnote>
  <w:footnote w:type="continuationSeparator" w:id="1">
    <w:p w:rsidR="00AB4ED9" w:rsidRDefault="00AB4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FC7609">
      <w:rPr>
        <w:b/>
        <w:bCs/>
      </w:rPr>
      <w:t>9</w:t>
    </w:r>
    <w:r w:rsidR="00F320E0">
      <w:rPr>
        <w:b/>
        <w:bCs/>
      </w:rPr>
      <w:t xml:space="preserve">  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D6DFE"/>
    <w:rsid w:val="000F41FF"/>
    <w:rsid w:val="001024AB"/>
    <w:rsid w:val="00106A93"/>
    <w:rsid w:val="00107AAF"/>
    <w:rsid w:val="001129F1"/>
    <w:rsid w:val="00113140"/>
    <w:rsid w:val="00125F8F"/>
    <w:rsid w:val="001424AD"/>
    <w:rsid w:val="001508C5"/>
    <w:rsid w:val="001632FB"/>
    <w:rsid w:val="00176EC7"/>
    <w:rsid w:val="001B0330"/>
    <w:rsid w:val="001E7FEF"/>
    <w:rsid w:val="002108DF"/>
    <w:rsid w:val="00215454"/>
    <w:rsid w:val="0024555D"/>
    <w:rsid w:val="00247BCD"/>
    <w:rsid w:val="002517E8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423C62"/>
    <w:rsid w:val="00427EDF"/>
    <w:rsid w:val="00435F72"/>
    <w:rsid w:val="004606F1"/>
    <w:rsid w:val="00484D12"/>
    <w:rsid w:val="00493638"/>
    <w:rsid w:val="004B45E8"/>
    <w:rsid w:val="004B53DB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90068"/>
    <w:rsid w:val="007A2058"/>
    <w:rsid w:val="007B4043"/>
    <w:rsid w:val="007B534D"/>
    <w:rsid w:val="007B6815"/>
    <w:rsid w:val="007B74C2"/>
    <w:rsid w:val="007D350F"/>
    <w:rsid w:val="007D57E9"/>
    <w:rsid w:val="007E708B"/>
    <w:rsid w:val="007F525E"/>
    <w:rsid w:val="0080152F"/>
    <w:rsid w:val="00815E87"/>
    <w:rsid w:val="008171C0"/>
    <w:rsid w:val="00844430"/>
    <w:rsid w:val="00853B1C"/>
    <w:rsid w:val="00894994"/>
    <w:rsid w:val="008C018F"/>
    <w:rsid w:val="008C654C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97ED5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4ED9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C798C"/>
    <w:rsid w:val="00BD5563"/>
    <w:rsid w:val="00BF0121"/>
    <w:rsid w:val="00BF384F"/>
    <w:rsid w:val="00BF5806"/>
    <w:rsid w:val="00C07AC6"/>
    <w:rsid w:val="00C2134E"/>
    <w:rsid w:val="00C34418"/>
    <w:rsid w:val="00C53796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43296"/>
    <w:rsid w:val="00D45C96"/>
    <w:rsid w:val="00D4716D"/>
    <w:rsid w:val="00D5226E"/>
    <w:rsid w:val="00D54DA7"/>
    <w:rsid w:val="00D554E0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5</cp:revision>
  <dcterms:created xsi:type="dcterms:W3CDTF">2020-05-12T23:13:00Z</dcterms:created>
  <dcterms:modified xsi:type="dcterms:W3CDTF">2020-05-16T11:10:00Z</dcterms:modified>
</cp:coreProperties>
</file>