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7AFC" w:rsidRDefault="005B4C8B" w:rsidP="003E6D08">
      <w:pPr>
        <w:jc w:val="both"/>
        <w:rPr>
          <w:b/>
        </w:rPr>
      </w:pPr>
      <w:r>
        <w:rPr>
          <w:b/>
        </w:rPr>
        <w:t>REFER</w:t>
      </w:r>
      <w:r w:rsidR="00033D72">
        <w:rPr>
          <w:b/>
        </w:rPr>
        <w:t>ENCES</w:t>
      </w:r>
      <w:r w:rsidR="00F67AFC">
        <w:rPr>
          <w:b/>
        </w:rPr>
        <w:t>:</w:t>
      </w:r>
    </w:p>
    <w:p w:rsidR="003E6D08" w:rsidRPr="003E6D08" w:rsidRDefault="005B4C8B" w:rsidP="005B4C8B">
      <w:pPr>
        <w:pBdr>
          <w:top w:val="single" w:sz="4" w:space="1" w:color="auto"/>
          <w:left w:val="single" w:sz="4" w:space="4" w:color="auto"/>
          <w:bottom w:val="single" w:sz="4" w:space="1" w:color="auto"/>
          <w:right w:val="single" w:sz="4" w:space="4" w:color="auto"/>
        </w:pBdr>
        <w:jc w:val="both"/>
        <w:rPr>
          <w:b/>
        </w:rPr>
      </w:pPr>
      <w:r>
        <w:rPr>
          <w:b/>
        </w:rPr>
        <w:t xml:space="preserve">Ref1 - </w:t>
      </w:r>
      <w:r w:rsidR="003E6D08">
        <w:rPr>
          <w:b/>
        </w:rPr>
        <w:t>5G Americas White Paper, “</w:t>
      </w:r>
      <w:r w:rsidR="003E6D08" w:rsidRPr="003E6D08">
        <w:rPr>
          <w:b/>
        </w:rPr>
        <w:t>5G services and use cases</w:t>
      </w:r>
      <w:r w:rsidR="003E6D08">
        <w:rPr>
          <w:b/>
        </w:rPr>
        <w:t>”</w:t>
      </w:r>
      <w:r w:rsidR="003E6D08" w:rsidRPr="003E6D08">
        <w:rPr>
          <w:b/>
        </w:rPr>
        <w:t xml:space="preserve">, </w:t>
      </w:r>
      <w:r w:rsidR="003E6D08">
        <w:rPr>
          <w:b/>
        </w:rPr>
        <w:t>November 2017</w:t>
      </w:r>
    </w:p>
    <w:p w:rsidR="003E6D08" w:rsidRDefault="003E6D08" w:rsidP="003E6D08">
      <w:pPr>
        <w:jc w:val="both"/>
      </w:pPr>
      <w:r>
        <w:t>This white paper describes and categorizes a growing list of use cases, services and applications that will be enabled by 5G technologies and provides the requirements and performance indicators for the implementation of these use cases. The white paper also provides an overview of the various 5G technology enablers and the network architecture and topology that will support the wide range of use cases with diverse performance requirements.</w:t>
      </w:r>
    </w:p>
    <w:p w:rsidR="00033D72" w:rsidRPr="003E6D08" w:rsidRDefault="00033D72" w:rsidP="00033D72">
      <w:pPr>
        <w:pBdr>
          <w:top w:val="single" w:sz="4" w:space="1" w:color="auto"/>
          <w:left w:val="single" w:sz="4" w:space="4" w:color="auto"/>
          <w:bottom w:val="single" w:sz="4" w:space="1" w:color="auto"/>
          <w:right w:val="single" w:sz="4" w:space="4" w:color="auto"/>
        </w:pBdr>
        <w:jc w:val="both"/>
        <w:rPr>
          <w:b/>
        </w:rPr>
      </w:pPr>
      <w:r>
        <w:rPr>
          <w:b/>
        </w:rPr>
        <w:t>Ref2 - NGMN Alliance, "5G White Paper 2”</w:t>
      </w:r>
      <w:r w:rsidRPr="003E6D08">
        <w:rPr>
          <w:b/>
        </w:rPr>
        <w:t xml:space="preserve">, </w:t>
      </w:r>
      <w:r>
        <w:rPr>
          <w:b/>
        </w:rPr>
        <w:t>July, 2020</w:t>
      </w:r>
    </w:p>
    <w:p w:rsidR="00033D72" w:rsidRDefault="00033D72" w:rsidP="00033D72">
      <w:pPr>
        <w:jc w:val="both"/>
      </w:pPr>
      <w:r>
        <w:t>This white paper presents the vision of the mobile network operators in the Next Generation Mobile Network Alliance in relation to the user and application scenarios of 5G, including the identification of a number of vertical industry examples that can exploit 5G technology. It also discusses the main technology enablers.</w:t>
      </w:r>
    </w:p>
    <w:p w:rsidR="00A009A8" w:rsidRPr="00A009A8" w:rsidRDefault="00033D72" w:rsidP="005B4C8B">
      <w:pPr>
        <w:pBdr>
          <w:top w:val="single" w:sz="4" w:space="1" w:color="auto"/>
          <w:left w:val="single" w:sz="4" w:space="4" w:color="auto"/>
          <w:bottom w:val="single" w:sz="4" w:space="1" w:color="auto"/>
          <w:right w:val="single" w:sz="4" w:space="4" w:color="auto"/>
        </w:pBdr>
        <w:jc w:val="both"/>
        <w:rPr>
          <w:b/>
        </w:rPr>
      </w:pPr>
      <w:r>
        <w:rPr>
          <w:b/>
        </w:rPr>
        <w:t>Ref3</w:t>
      </w:r>
      <w:r w:rsidR="00433A25">
        <w:rPr>
          <w:b/>
        </w:rPr>
        <w:t xml:space="preserve"> - </w:t>
      </w:r>
      <w:r w:rsidR="00A009A8" w:rsidRPr="00A009A8">
        <w:rPr>
          <w:b/>
        </w:rPr>
        <w:t>Nokia white paper, “Translating 5G use cases into viable business cases”, 2017</w:t>
      </w:r>
    </w:p>
    <w:p w:rsidR="00A009A8" w:rsidRDefault="00A009A8" w:rsidP="00A009A8">
      <w:pPr>
        <w:jc w:val="both"/>
      </w:pPr>
      <w:r>
        <w:t>The white paper describes and provides a financial analysis of six 5G business cases which, according to Nokia, are likely to be to be among the first applica</w:t>
      </w:r>
      <w:r w:rsidR="00433A25">
        <w:t>tions running over 5G networks.</w:t>
      </w:r>
      <w:r>
        <w:t xml:space="preserve"> The analysed use cases are: “5G-to-the-home”, “5G for in-vehicle infotainment”, “5G for hot spots”, “5G for truck platooning”, “5G for connected healthcare” and “5G for Industry 4.0”.</w:t>
      </w:r>
    </w:p>
    <w:p w:rsidR="008C6D31" w:rsidRPr="008C6D31" w:rsidRDefault="00433A25" w:rsidP="005D09FC">
      <w:pPr>
        <w:pBdr>
          <w:top w:val="single" w:sz="4" w:space="1" w:color="auto"/>
          <w:left w:val="single" w:sz="4" w:space="4" w:color="auto"/>
          <w:bottom w:val="single" w:sz="4" w:space="1" w:color="auto"/>
          <w:right w:val="single" w:sz="4" w:space="4" w:color="auto"/>
        </w:pBdr>
        <w:jc w:val="both"/>
        <w:rPr>
          <w:b/>
        </w:rPr>
      </w:pPr>
      <w:r>
        <w:rPr>
          <w:b/>
        </w:rPr>
        <w:t xml:space="preserve">Ref4 - </w:t>
      </w:r>
      <w:r w:rsidR="008C6D31" w:rsidRPr="008C6D31">
        <w:rPr>
          <w:b/>
        </w:rPr>
        <w:t>Heavy Reading white paper, “URLLC for industrial automation”</w:t>
      </w:r>
      <w:r w:rsidR="008C6D31">
        <w:rPr>
          <w:b/>
        </w:rPr>
        <w:t>, 2018</w:t>
      </w:r>
    </w:p>
    <w:p w:rsidR="008C6D31" w:rsidRPr="008C6D31" w:rsidRDefault="008C6D31" w:rsidP="00415631">
      <w:pPr>
        <w:jc w:val="both"/>
      </w:pPr>
      <w:r w:rsidRPr="008C6D31">
        <w:t>This white paper focuses on the “factory of the</w:t>
      </w:r>
      <w:r w:rsidR="005D09FC">
        <w:t xml:space="preserve"> future” concept and develops a</w:t>
      </w:r>
      <w:r w:rsidRPr="008C6D31">
        <w:t xml:space="preserve"> use case for robotic motion control as an example of an application with extreme performance requirements. It shows how 5G can contribute to more efficient and flexible production processes and discusses the need to integrate 5G with existing, and emerging, industrial networking standards.</w:t>
      </w:r>
    </w:p>
    <w:p w:rsidR="00B7725F" w:rsidRPr="00772E0A" w:rsidRDefault="00433A25" w:rsidP="005D09FC">
      <w:pPr>
        <w:pBdr>
          <w:top w:val="single" w:sz="4" w:space="1" w:color="auto"/>
          <w:left w:val="single" w:sz="4" w:space="4" w:color="auto"/>
          <w:bottom w:val="single" w:sz="4" w:space="1" w:color="auto"/>
          <w:right w:val="single" w:sz="4" w:space="4" w:color="auto"/>
        </w:pBdr>
        <w:jc w:val="both"/>
        <w:rPr>
          <w:b/>
        </w:rPr>
      </w:pPr>
      <w:r>
        <w:rPr>
          <w:b/>
        </w:rPr>
        <w:t xml:space="preserve">Ref5 - </w:t>
      </w:r>
      <w:r w:rsidR="00772E0A" w:rsidRPr="00772E0A">
        <w:rPr>
          <w:b/>
        </w:rPr>
        <w:t>5G Americas White Paper, “New Services &amp; Applications with 5G Ultra-Reliable Low Latency Communications”, November 2018</w:t>
      </w:r>
    </w:p>
    <w:p w:rsidR="00772E0A" w:rsidRDefault="00772E0A" w:rsidP="00415631">
      <w:pPr>
        <w:jc w:val="both"/>
      </w:pPr>
      <w:r>
        <w:t>Among other content, t</w:t>
      </w:r>
      <w:r w:rsidRPr="00772E0A">
        <w:t xml:space="preserve">his white paper presents a brief overview of emerging applications, design challenges, and potential approaches in the design of </w:t>
      </w:r>
      <w:r w:rsidR="00871FCC" w:rsidRPr="00871FCC">
        <w:t>Ultra-Reliable Low Latency Communications</w:t>
      </w:r>
      <w:r w:rsidR="00871FCC">
        <w:t xml:space="preserve"> (URLLC)</w:t>
      </w:r>
      <w:r w:rsidRPr="00772E0A">
        <w:t>. This paper describes upcoming use cases of URLLC in tele-surgery, smart transportation and industry automation, and presents the latency and reliability requirements for these applications.</w:t>
      </w:r>
    </w:p>
    <w:p w:rsidR="009509A5" w:rsidRPr="009509A5" w:rsidRDefault="00433A25" w:rsidP="005D09FC">
      <w:pPr>
        <w:pBdr>
          <w:top w:val="single" w:sz="4" w:space="1" w:color="auto"/>
          <w:left w:val="single" w:sz="4" w:space="4" w:color="auto"/>
          <w:bottom w:val="single" w:sz="4" w:space="1" w:color="auto"/>
          <w:right w:val="single" w:sz="4" w:space="4" w:color="auto"/>
        </w:pBdr>
        <w:jc w:val="both"/>
        <w:rPr>
          <w:b/>
        </w:rPr>
      </w:pPr>
      <w:r>
        <w:rPr>
          <w:b/>
        </w:rPr>
        <w:t xml:space="preserve">Ref6 - </w:t>
      </w:r>
      <w:r w:rsidR="009509A5" w:rsidRPr="009509A5">
        <w:rPr>
          <w:b/>
        </w:rPr>
        <w:t>5G Americas White Paper, “5G Communications for Automation in Vertical Domains”, November 2018.</w:t>
      </w:r>
    </w:p>
    <w:p w:rsidR="00182913" w:rsidRDefault="00182913" w:rsidP="00182913">
      <w:pPr>
        <w:jc w:val="both"/>
      </w:pPr>
      <w:r>
        <w:t xml:space="preserve">This white paper outlines diverse use cases with challenging requirements in the context of Industry 4.0 and the manufacturing industry, which are expected to greatly benefit from 5G </w:t>
      </w:r>
      <w:r>
        <w:lastRenderedPageBreak/>
        <w:t>communication technologies. Key technology building blocks and enablers of 5G systems for the realization of 5G, the Industry 4.0 vision, and deployments where automation is a critical element are also described in the white paper.</w:t>
      </w:r>
    </w:p>
    <w:p w:rsidR="00AF6BCE" w:rsidRPr="00AF6BCE" w:rsidRDefault="00433A25" w:rsidP="005D09FC">
      <w:pPr>
        <w:pBdr>
          <w:top w:val="single" w:sz="4" w:space="1" w:color="auto"/>
          <w:left w:val="single" w:sz="4" w:space="4" w:color="auto"/>
          <w:bottom w:val="single" w:sz="4" w:space="1" w:color="auto"/>
          <w:right w:val="single" w:sz="4" w:space="4" w:color="auto"/>
        </w:pBdr>
        <w:jc w:val="both"/>
        <w:rPr>
          <w:b/>
        </w:rPr>
      </w:pPr>
      <w:r>
        <w:rPr>
          <w:b/>
        </w:rPr>
        <w:t xml:space="preserve">Ref7 - </w:t>
      </w:r>
      <w:r w:rsidR="00AF6BCE" w:rsidRPr="00AF6BCE">
        <w:rPr>
          <w:b/>
        </w:rPr>
        <w:t xml:space="preserve">S. Schneider, M. </w:t>
      </w:r>
      <w:proofErr w:type="spellStart"/>
      <w:r w:rsidR="00AF6BCE" w:rsidRPr="00AF6BCE">
        <w:rPr>
          <w:b/>
        </w:rPr>
        <w:t>Peuster</w:t>
      </w:r>
      <w:proofErr w:type="spellEnd"/>
      <w:r w:rsidR="00AF6BCE" w:rsidRPr="00AF6BCE">
        <w:rPr>
          <w:b/>
        </w:rPr>
        <w:t xml:space="preserve">, D. </w:t>
      </w:r>
      <w:proofErr w:type="spellStart"/>
      <w:r w:rsidR="00AF6BCE" w:rsidRPr="00AF6BCE">
        <w:rPr>
          <w:b/>
        </w:rPr>
        <w:t>Behnke</w:t>
      </w:r>
      <w:proofErr w:type="spellEnd"/>
      <w:r w:rsidR="00AF6BCE" w:rsidRPr="00AF6BCE">
        <w:rPr>
          <w:b/>
        </w:rPr>
        <w:t xml:space="preserve">, M. Müller, P. </w:t>
      </w:r>
      <w:proofErr w:type="spellStart"/>
      <w:r w:rsidR="00AF6BCE" w:rsidRPr="00AF6BCE">
        <w:rPr>
          <w:b/>
        </w:rPr>
        <w:t>Bök</w:t>
      </w:r>
      <w:proofErr w:type="spellEnd"/>
      <w:r w:rsidR="00AF6BCE" w:rsidRPr="00AF6BCE">
        <w:rPr>
          <w:b/>
        </w:rPr>
        <w:t xml:space="preserve"> and H. Karl, "Putting 5G into Production: Realizing a Smart Manufacturing Vertical Scenario," 2019 European Conference on Networks and Communications (EuCNC), Valencia, Spain, 2019, pp. 305-309.</w:t>
      </w:r>
      <w:r w:rsidR="00AF6BCE">
        <w:rPr>
          <w:b/>
        </w:rPr>
        <w:t xml:space="preserve"> </w:t>
      </w:r>
    </w:p>
    <w:p w:rsidR="00AF6BCE" w:rsidRDefault="00AF6BCE" w:rsidP="00AF6BCE">
      <w:pPr>
        <w:jc w:val="both"/>
      </w:pPr>
      <w:r>
        <w:t>This paper presents a use case that reflects the needs of manufacturing companies. The paper proposes an architecture with specific network services and virtual network functions (VNFs) that realize the use case in practice. A proof of concept is described where authors implement the required services and deploy them on an emulation-based prototyping platform. The paper is focused on the network services and virtualization aspects of 5G.</w:t>
      </w:r>
      <w:r w:rsidR="005D09FC">
        <w:t xml:space="preserve"> </w:t>
      </w:r>
    </w:p>
    <w:p w:rsidR="005A2C69" w:rsidRPr="005A2C69" w:rsidRDefault="00433A25" w:rsidP="005D09FC">
      <w:pPr>
        <w:pBdr>
          <w:top w:val="single" w:sz="4" w:space="1" w:color="auto"/>
          <w:left w:val="single" w:sz="4" w:space="4" w:color="auto"/>
          <w:bottom w:val="single" w:sz="4" w:space="1" w:color="auto"/>
          <w:right w:val="single" w:sz="4" w:space="4" w:color="auto"/>
        </w:pBdr>
        <w:jc w:val="both"/>
        <w:rPr>
          <w:b/>
        </w:rPr>
      </w:pPr>
      <w:r>
        <w:rPr>
          <w:b/>
        </w:rPr>
        <w:t xml:space="preserve">Ref8 - </w:t>
      </w:r>
      <w:r w:rsidR="005A2C69" w:rsidRPr="005A2C69">
        <w:rPr>
          <w:b/>
        </w:rPr>
        <w:t>5G Americas White Paper, “Cellular V2X Communications Towards 5G”, March 2018</w:t>
      </w:r>
    </w:p>
    <w:p w:rsidR="005A2C69" w:rsidRDefault="005A2C69" w:rsidP="00182913">
      <w:pPr>
        <w:jc w:val="both"/>
      </w:pPr>
      <w:r>
        <w:t xml:space="preserve">In addition to a description of the C-V2X technologies, the white paper </w:t>
      </w:r>
      <w:r w:rsidRPr="005A2C69">
        <w:t>outlines some of the advanced V2X use case categories for 5G-based communications.</w:t>
      </w:r>
      <w:r>
        <w:t xml:space="preserve"> It also review</w:t>
      </w:r>
      <w:r w:rsidR="00F67AFC">
        <w:t>s stakeholders and their roles.</w:t>
      </w:r>
    </w:p>
    <w:p w:rsidR="00F67AFC" w:rsidRPr="00F67AFC" w:rsidRDefault="00433A25" w:rsidP="005D09FC">
      <w:pPr>
        <w:pBdr>
          <w:top w:val="single" w:sz="4" w:space="1" w:color="auto"/>
          <w:left w:val="single" w:sz="4" w:space="4" w:color="auto"/>
          <w:bottom w:val="single" w:sz="4" w:space="1" w:color="auto"/>
          <w:right w:val="single" w:sz="4" w:space="4" w:color="auto"/>
        </w:pBdr>
        <w:jc w:val="both"/>
        <w:rPr>
          <w:b/>
          <w:i/>
        </w:rPr>
      </w:pPr>
      <w:r w:rsidRPr="00433A25">
        <w:rPr>
          <w:b/>
        </w:rPr>
        <w:t>Ref9 -</w:t>
      </w:r>
      <w:r>
        <w:rPr>
          <w:b/>
          <w:i/>
        </w:rPr>
        <w:t xml:space="preserve"> </w:t>
      </w:r>
      <w:r w:rsidR="00F67AFC" w:rsidRPr="00F67AFC">
        <w:rPr>
          <w:b/>
          <w:i/>
        </w:rPr>
        <w:t>“Identification and quantification of key socio-economic data to support strategic planning for the introduction of 5G in Europe”, A study prepared for the European Commission DG Communications Networks, Content &amp; Technology, 2017. DOI: 10.2759/56657</w:t>
      </w:r>
    </w:p>
    <w:p w:rsidR="00F67AFC" w:rsidRDefault="00F67AFC" w:rsidP="00F67AFC">
      <w:pPr>
        <w:jc w:val="both"/>
      </w:pPr>
      <w:r>
        <w:t>This study provides a forecast of the qualitative and quantitative socio-economic benefits of 5G focused on four verticals (automotive, healthcare, transport and utilities) in line with the work undertaken by DG CNECT on the relation between 5G and vertical markets. Four different environments were identified to investigate the impact of 5G in smart cities, non-urban areas, smart homes and smart workpla</w:t>
      </w:r>
      <w:r w:rsidR="005D09FC">
        <w:t>ces. The study also investigates</w:t>
      </w:r>
      <w:r>
        <w:t xml:space="preserve"> spectrum challenges and spectrum needs of 5G.</w:t>
      </w:r>
    </w:p>
    <w:p w:rsidR="00B7725F" w:rsidRPr="007224F3" w:rsidRDefault="005B4C8B" w:rsidP="005D09FC">
      <w:pPr>
        <w:pBdr>
          <w:top w:val="single" w:sz="4" w:space="1" w:color="auto"/>
          <w:left w:val="single" w:sz="4" w:space="4" w:color="auto"/>
          <w:bottom w:val="single" w:sz="4" w:space="1" w:color="auto"/>
          <w:right w:val="single" w:sz="4" w:space="4" w:color="auto"/>
        </w:pBdr>
        <w:jc w:val="both"/>
        <w:rPr>
          <w:b/>
        </w:rPr>
      </w:pPr>
      <w:r>
        <w:rPr>
          <w:b/>
        </w:rPr>
        <w:t xml:space="preserve">Ref10 - </w:t>
      </w:r>
      <w:r w:rsidR="00B7725F" w:rsidRPr="007224F3">
        <w:rPr>
          <w:b/>
        </w:rPr>
        <w:t xml:space="preserve">GSMA, the WRC series “Study on Socio-Economic Benefits of 5G Services Provided in </w:t>
      </w:r>
      <w:proofErr w:type="spellStart"/>
      <w:r w:rsidR="00B7725F" w:rsidRPr="007224F3">
        <w:rPr>
          <w:b/>
        </w:rPr>
        <w:t>mmWave</w:t>
      </w:r>
      <w:proofErr w:type="spellEnd"/>
      <w:r w:rsidR="00B7725F" w:rsidRPr="007224F3">
        <w:rPr>
          <w:b/>
        </w:rPr>
        <w:t xml:space="preserve"> Bands”, December 2018</w:t>
      </w:r>
    </w:p>
    <w:p w:rsidR="007224F3" w:rsidRDefault="007224F3" w:rsidP="007224F3">
      <w:pPr>
        <w:jc w:val="both"/>
      </w:pPr>
      <w:r>
        <w:t xml:space="preserve">This white paper analyses several use cases that are likely to be the chief beneficiaries of </w:t>
      </w:r>
      <w:proofErr w:type="spellStart"/>
      <w:r>
        <w:t>mmWave</w:t>
      </w:r>
      <w:proofErr w:type="spellEnd"/>
      <w:r>
        <w:t xml:space="preserve"> 5G. In particular, it covers “</w:t>
      </w:r>
      <w:r w:rsidRPr="007224F3">
        <w:t>High-speed broadband in the home and office</w:t>
      </w:r>
      <w:r>
        <w:t>”, “</w:t>
      </w:r>
      <w:r w:rsidRPr="007224F3">
        <w:t>Quick deployment/temporary connectivity</w:t>
      </w:r>
      <w:r>
        <w:t>”, “remote object manipulation”, “industrial automation”, “virtual reality and meeting” and “</w:t>
      </w:r>
      <w:r w:rsidRPr="007224F3">
        <w:t>Next-generation transport connectivity</w:t>
      </w:r>
      <w:r>
        <w:t>” applications. These use cases generally require a large amount of data throughput in a small coverage area or face scarcity of spectrum in lower frequency bands. To highlight the growth attributable to use cases and verticals, the study focuses on two key years: 2024, the year when 5G is expected to begin displaying a measurable impact on growth; and 2034, the final year of the study.</w:t>
      </w:r>
    </w:p>
    <w:p w:rsidR="00033D72" w:rsidRDefault="00033D72" w:rsidP="007224F3">
      <w:pPr>
        <w:jc w:val="both"/>
      </w:pPr>
      <w:bookmarkStart w:id="0" w:name="_GoBack"/>
      <w:bookmarkEnd w:id="0"/>
    </w:p>
    <w:sectPr w:rsidR="00033D7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E73F03"/>
    <w:multiLevelType w:val="hybridMultilevel"/>
    <w:tmpl w:val="4E1AB5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429C"/>
    <w:rsid w:val="00033D72"/>
    <w:rsid w:val="00182913"/>
    <w:rsid w:val="00277FBD"/>
    <w:rsid w:val="003E6D08"/>
    <w:rsid w:val="00415631"/>
    <w:rsid w:val="00433A25"/>
    <w:rsid w:val="00535124"/>
    <w:rsid w:val="005A2C69"/>
    <w:rsid w:val="005B4C8B"/>
    <w:rsid w:val="005D09FC"/>
    <w:rsid w:val="007224F3"/>
    <w:rsid w:val="0073128F"/>
    <w:rsid w:val="00772E0A"/>
    <w:rsid w:val="00871FCC"/>
    <w:rsid w:val="008C6D31"/>
    <w:rsid w:val="008F3D5F"/>
    <w:rsid w:val="00931A49"/>
    <w:rsid w:val="00941BCD"/>
    <w:rsid w:val="009509A5"/>
    <w:rsid w:val="009863BA"/>
    <w:rsid w:val="00A009A8"/>
    <w:rsid w:val="00A9429C"/>
    <w:rsid w:val="00AF6BCE"/>
    <w:rsid w:val="00B7725F"/>
    <w:rsid w:val="00C173B1"/>
    <w:rsid w:val="00D038FC"/>
    <w:rsid w:val="00ED773E"/>
    <w:rsid w:val="00F67AF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F07E46E-7D94-46C0-83E4-8F9CA4935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A2C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8993056">
      <w:bodyDiv w:val="1"/>
      <w:marLeft w:val="0"/>
      <w:marRight w:val="0"/>
      <w:marTop w:val="0"/>
      <w:marBottom w:val="0"/>
      <w:divBdr>
        <w:top w:val="none" w:sz="0" w:space="0" w:color="auto"/>
        <w:left w:val="none" w:sz="0" w:space="0" w:color="auto"/>
        <w:bottom w:val="none" w:sz="0" w:space="0" w:color="auto"/>
        <w:right w:val="none" w:sz="0" w:space="0" w:color="auto"/>
      </w:divBdr>
      <w:divsChild>
        <w:div w:id="1473477552">
          <w:marLeft w:val="547"/>
          <w:marRight w:val="0"/>
          <w:marTop w:val="106"/>
          <w:marBottom w:val="0"/>
          <w:divBdr>
            <w:top w:val="none" w:sz="0" w:space="0" w:color="auto"/>
            <w:left w:val="none" w:sz="0" w:space="0" w:color="auto"/>
            <w:bottom w:val="none" w:sz="0" w:space="0" w:color="auto"/>
            <w:right w:val="none" w:sz="0" w:space="0" w:color="auto"/>
          </w:divBdr>
        </w:div>
        <w:div w:id="1394619279">
          <w:marLeft w:val="1166"/>
          <w:marRight w:val="0"/>
          <w:marTop w:val="48"/>
          <w:marBottom w:val="0"/>
          <w:divBdr>
            <w:top w:val="none" w:sz="0" w:space="0" w:color="auto"/>
            <w:left w:val="none" w:sz="0" w:space="0" w:color="auto"/>
            <w:bottom w:val="none" w:sz="0" w:space="0" w:color="auto"/>
            <w:right w:val="none" w:sz="0" w:space="0" w:color="auto"/>
          </w:divBdr>
        </w:div>
        <w:div w:id="1233395520">
          <w:marLeft w:val="1166"/>
          <w:marRight w:val="0"/>
          <w:marTop w:val="48"/>
          <w:marBottom w:val="0"/>
          <w:divBdr>
            <w:top w:val="none" w:sz="0" w:space="0" w:color="auto"/>
            <w:left w:val="none" w:sz="0" w:space="0" w:color="auto"/>
            <w:bottom w:val="none" w:sz="0" w:space="0" w:color="auto"/>
            <w:right w:val="none" w:sz="0" w:space="0" w:color="auto"/>
          </w:divBdr>
        </w:div>
        <w:div w:id="421074819">
          <w:marLeft w:val="1166"/>
          <w:marRight w:val="0"/>
          <w:marTop w:val="48"/>
          <w:marBottom w:val="0"/>
          <w:divBdr>
            <w:top w:val="none" w:sz="0" w:space="0" w:color="auto"/>
            <w:left w:val="none" w:sz="0" w:space="0" w:color="auto"/>
            <w:bottom w:val="none" w:sz="0" w:space="0" w:color="auto"/>
            <w:right w:val="none" w:sz="0" w:space="0" w:color="auto"/>
          </w:divBdr>
        </w:div>
        <w:div w:id="720207254">
          <w:marLeft w:val="1166"/>
          <w:marRight w:val="0"/>
          <w:marTop w:val="48"/>
          <w:marBottom w:val="0"/>
          <w:divBdr>
            <w:top w:val="none" w:sz="0" w:space="0" w:color="auto"/>
            <w:left w:val="none" w:sz="0" w:space="0" w:color="auto"/>
            <w:bottom w:val="none" w:sz="0" w:space="0" w:color="auto"/>
            <w:right w:val="none" w:sz="0" w:space="0" w:color="auto"/>
          </w:divBdr>
        </w:div>
        <w:div w:id="1822040149">
          <w:marLeft w:val="1166"/>
          <w:marRight w:val="0"/>
          <w:marTop w:val="48"/>
          <w:marBottom w:val="0"/>
          <w:divBdr>
            <w:top w:val="none" w:sz="0" w:space="0" w:color="auto"/>
            <w:left w:val="none" w:sz="0" w:space="0" w:color="auto"/>
            <w:bottom w:val="none" w:sz="0" w:space="0" w:color="auto"/>
            <w:right w:val="none" w:sz="0" w:space="0" w:color="auto"/>
          </w:divBdr>
        </w:div>
        <w:div w:id="592399513">
          <w:marLeft w:val="1166"/>
          <w:marRight w:val="0"/>
          <w:marTop w:val="48"/>
          <w:marBottom w:val="0"/>
          <w:divBdr>
            <w:top w:val="none" w:sz="0" w:space="0" w:color="auto"/>
            <w:left w:val="none" w:sz="0" w:space="0" w:color="auto"/>
            <w:bottom w:val="none" w:sz="0" w:space="0" w:color="auto"/>
            <w:right w:val="none" w:sz="0" w:space="0" w:color="auto"/>
          </w:divBdr>
        </w:div>
        <w:div w:id="2030792814">
          <w:marLeft w:val="1166"/>
          <w:marRight w:val="0"/>
          <w:marTop w:val="48"/>
          <w:marBottom w:val="0"/>
          <w:divBdr>
            <w:top w:val="none" w:sz="0" w:space="0" w:color="auto"/>
            <w:left w:val="none" w:sz="0" w:space="0" w:color="auto"/>
            <w:bottom w:val="none" w:sz="0" w:space="0" w:color="auto"/>
            <w:right w:val="none" w:sz="0" w:space="0" w:color="auto"/>
          </w:divBdr>
        </w:div>
        <w:div w:id="1346833196">
          <w:marLeft w:val="1166"/>
          <w:marRight w:val="0"/>
          <w:marTop w:val="48"/>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154</TotalTime>
  <Pages>2</Pages>
  <Words>836</Words>
  <Characters>4601</Characters>
  <Application>Microsoft Office Word</Application>
  <DocSecurity>0</DocSecurity>
  <Lines>38</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ramon</dc:creator>
  <cp:keywords/>
  <dc:description/>
  <cp:lastModifiedBy>Jordi</cp:lastModifiedBy>
  <cp:revision>23</cp:revision>
  <dcterms:created xsi:type="dcterms:W3CDTF">2019-08-19T15:05:00Z</dcterms:created>
  <dcterms:modified xsi:type="dcterms:W3CDTF">2023-02-16T13:01:00Z</dcterms:modified>
</cp:coreProperties>
</file>