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Publicaciones</w:t>
      </w:r>
      <w:r>
        <w:t xml:space="preserve"> </w:t>
      </w:r>
      <w:r>
        <w:t xml:space="preserve">previstas</w:t>
      </w:r>
      <w:r>
        <w:t xml:space="preserve"> </w:t>
      </w:r>
      <w:r>
        <w:t xml:space="preserve">—</w:t>
      </w:r>
      <w:r>
        <w:t xml:space="preserve"> </w:t>
      </w:r>
      <w:r>
        <w:t xml:space="preserve">CorAnTool</w:t>
      </w:r>
    </w:p>
    <w:p>
      <w:pPr>
        <w:pStyle w:val="Subtitle"/>
      </w:pPr>
      <w:r>
        <w:t xml:space="preserve">Cartera,</w:t>
      </w:r>
      <w:r>
        <w:t xml:space="preserve"> </w:t>
      </w:r>
      <w:r>
        <w:t xml:space="preserve">métodos,</w:t>
      </w:r>
      <w:r>
        <w:t xml:space="preserve"> </w:t>
      </w:r>
      <w:r>
        <w:t xml:space="preserve">defensa</w:t>
      </w:r>
      <w:r>
        <w:t xml:space="preserve"> </w:t>
      </w:r>
      <w:r>
        <w:t xml:space="preserve">ante</w:t>
      </w:r>
      <w:r>
        <w:t xml:space="preserve"> </w:t>
      </w:r>
      <w:r>
        <w:t xml:space="preserve">revisores</w:t>
      </w:r>
      <w:r>
        <w:t xml:space="preserve"> </w:t>
      </w:r>
      <w:r>
        <w:t xml:space="preserve">y</w:t>
      </w:r>
      <w:r>
        <w:t xml:space="preserve"> </w:t>
      </w:r>
      <w:r>
        <w:t xml:space="preserve">borradores</w:t>
      </w:r>
    </w:p>
    <w:p>
      <w:pPr>
        <w:pStyle w:val="Author"/>
      </w:pPr>
      <w:r>
        <w:t xml:space="preserve">Santiago</w:t>
      </w:r>
      <w:r>
        <w:t xml:space="preserve"> </w:t>
      </w:r>
      <w:r>
        <w:t xml:space="preserve">Casanova-Arenillas</w:t>
      </w:r>
    </w:p>
    <w:p>
      <w:pPr>
        <w:pStyle w:val="Date"/>
      </w:pPr>
      <w:r>
        <w:t xml:space="preserve">01-11-2026</w:t>
      </w:r>
      <w:r>
        <w:t xml:space="preserve"> </w:t>
      </w:r>
      <w:r>
        <w:t xml:space="preserve">·</w:t>
      </w:r>
      <w:r>
        <w:t xml:space="preserve"> </w:t>
      </w:r>
      <w:r>
        <w:t xml:space="preserve">software</w:t>
      </w:r>
      <w:r>
        <w:t xml:space="preserve"> </w:t>
      </w:r>
      <w:r>
        <w:t xml:space="preserve">V29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9763a3a84952ef741169e311d7f74af1ce74160"/>
    <w:p>
      <w:pPr>
        <w:pStyle w:val="Heading1"/>
      </w:pPr>
      <w:r>
        <w:t xml:space="preserve">Publicaciones previstas — CorAnTool (antes IchAnTool)</w:t>
      </w:r>
    </w:p>
    <w:p>
      <w:pPr>
        <w:pStyle w:val="FirstParagraph"/>
      </w:pPr>
      <w:r>
        <w:t xml:space="preserve">Borradores, revistas candidatas y estado de cada trabajo. Estado al</w:t>
      </w:r>
      <w:r>
        <w:t xml:space="preserve"> </w:t>
      </w:r>
      <w:r>
        <w:rPr>
          <w:bCs/>
          <w:b/>
        </w:rPr>
        <w:t xml:space="preserve">01-11-2026</w:t>
      </w:r>
      <w:r>
        <w:t xml:space="preserve"> </w:t>
      </w:r>
      <w:r>
        <w:t xml:space="preserve">(software en la entrega V28).</w:t>
      </w:r>
      <w:r>
        <w:t xml:space="preserve"> </w:t>
      </w:r>
      <w:r>
        <w:t xml:space="preserve">Todo lo marcado</w:t>
      </w:r>
      <w:r>
        <w:t xml:space="preserve"> </w:t>
      </w:r>
      <w:r>
        <w:rPr>
          <w:rStyle w:val="VerbatimChar"/>
        </w:rPr>
        <w:t xml:space="preserve">[TODO]</w:t>
      </w:r>
      <w:r>
        <w:t xml:space="preserve"> </w:t>
      </w:r>
      <w:r>
        <w:t xml:space="preserve">está pendiente; ningún resultado de estos borradores es definitivo.</w:t>
      </w:r>
    </w:p>
    <w:p>
      <w:pPr>
        <w:pStyle w:val="BlockText"/>
      </w:pPr>
      <w:r>
        <w:t xml:space="preserve">Aviso: si el repositorio es</w:t>
      </w:r>
      <w:r>
        <w:t xml:space="preserve"> </w:t>
      </w:r>
      <w:r>
        <w:rPr>
          <w:bCs/>
          <w:b/>
        </w:rPr>
        <w:t xml:space="preserve">público</w:t>
      </w:r>
      <w:r>
        <w:t xml:space="preserve">, no subir aquí datos ni resultados inéditos de la tesis hasta que el</w:t>
      </w:r>
      <w:r>
        <w:t xml:space="preserve"> </w:t>
      </w:r>
      <w:r>
        <w:t xml:space="preserve">manuscrito esté enviado o publicado como preprint (o pasar los borradores a un repositorio privado).</w:t>
      </w:r>
    </w:p>
    <w:bookmarkStart w:id="20" w:name="cartera-de-publicaciones"/>
    <w:p>
      <w:pPr>
        <w:pStyle w:val="Heading2"/>
      </w:pPr>
      <w:r>
        <w:t xml:space="preserve">Cartera de publicaciones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"/>
        <w:gridCol w:w="2640"/>
        <w:gridCol w:w="2640"/>
        <w:gridCol w:w="1408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y aporte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Revista principal (alternativas)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Software: CorAnTool.</w:t>
            </w:r>
            <w:r>
              <w:t xml:space="preserve"> </w:t>
            </w:r>
            <w:r>
              <w:t xml:space="preserve">Herramienta abierta y reproducible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JOSS (Applied Computing and Geosciences; Computers &amp; Geosciences)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con 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Borrador en inglés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anotado y segmentación automática.</w:t>
            </w:r>
            <w:r>
              <w:t xml:space="preserve"> </w:t>
            </w:r>
            <w:r>
              <w:t xml:space="preserve">Datos abiertos y 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Earth System Science Data (Scientific Data; AI in Geosciences; Computers &amp; Geosciences)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 imágenes con permiso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Validación frente a índices visuales y aplicación paleoambiental.</w:t>
            </w:r>
            <w:r>
              <w:t xml:space="preserve"> </w:t>
            </w:r>
            <w:r>
              <w:t xml:space="preserve">Interpretación geológica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Palaeogeography, Palaeoclimatology, Palaeoecology (Ichnos; Marine Geology; Sedimentary Geology)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(y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 automática de intervalos con datos multiproxy.</w:t>
            </w:r>
            <w:r>
              <w:t xml:space="preserve"> </w:t>
            </w:r>
            <w:r>
              <w:t xml:space="preserve">Método de aprendizaje automático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Computers &amp; Geosciences (AI in Geosciences; Applied Computing and Geosciences; Marine Geology)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 sondeos con eventos descritos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y primeras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Nota breve en español.</w:t>
            </w:r>
            <w:r>
              <w:t xml:space="preserve"> </w:t>
            </w:r>
            <w:r>
              <w:t xml:space="preserve">Difusión en 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Geogaceta (Spanish Journal of Palaeontology)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</w:tr>
    </w:tbl>
    <w:p>
      <w:pPr>
        <w:pStyle w:val="BodyText"/>
      </w:pPr>
      <w:r>
        <w:rPr>
          <w:bCs/>
          <w:b/>
        </w:rPr>
        <w:t xml:space="preserve">Orden recomendado:</w:t>
      </w:r>
      <w:r>
        <w:t xml:space="preserve"> </w:t>
      </w:r>
      <w:r>
        <w:t xml:space="preserve">1 → 5 → 4 → 2 → 3.</w:t>
      </w:r>
    </w:p>
    <w:p>
      <w:pPr>
        <w:numPr>
          <w:ilvl w:val="0"/>
          <w:numId w:val="1001"/>
        </w:numPr>
        <w:pStyle w:val="Compact"/>
      </w:pPr>
      <w:r>
        <w:t xml:space="preserve">El 1 da el DOI que citan los demás; el 5 se puede escribir a la vez con el mismo material.</w:t>
      </w:r>
    </w:p>
    <w:p>
      <w:pPr>
        <w:numPr>
          <w:ilvl w:val="0"/>
          <w:numId w:val="1001"/>
        </w:numPr>
        <w:pStyle w:val="Compact"/>
      </w:pPr>
      <w:r>
        <w:t xml:space="preserve">El 4 es el más avanzado en software (V26–V27: familias, clasificadores, red neuronal, validación) y solo necesita</w:t>
      </w:r>
      <w:r>
        <w:t xml:space="preserve"> </w:t>
      </w:r>
      <w:r>
        <w:t xml:space="preserve">datos con eventos descritos de forma independiente.</w:t>
      </w:r>
    </w:p>
    <w:p>
      <w:pPr>
        <w:numPr>
          <w:ilvl w:val="0"/>
          <w:numId w:val="1001"/>
        </w:numPr>
        <w:pStyle w:val="Compact"/>
      </w:pPr>
      <w:r>
        <w:t xml:space="preserve">El 2 y el 3 dependen de trabajo con otras personas (anotadores, observadores a ciegas) y llevan más tiempo.</w:t>
      </w:r>
    </w:p>
    <w:bookmarkEnd w:id="20"/>
    <w:bookmarkStart w:id="21" w:name="qué-puede-afirmar-hoy-cada-uno-resumen"/>
    <w:p>
      <w:pPr>
        <w:pStyle w:val="Heading2"/>
      </w:pPr>
      <w:r>
        <w:t xml:space="preserve">Qué puede afirmar hoy cada uno (resumen)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"/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puede afirmar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puede afirmar todavía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 exactamente los resultados de 2020; es determinista; integra imágenes, registros, intervalos, clasificación, mapas y figuras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 de la detección automática en datos reales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herramientas de anotación existen y producen máscaras abiertas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Precisión de la segmentación (faltan datos anotados)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app registra BI/ii manuales junto a los automáticos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Concordancia con observadores (falta el experimento)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cadena funciona con verdad conocida (sintético: RF ≈ 91 %, red ≈ 80 %)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predictiva real: con los datos de la tesis, 18 % de acierto equilibrado dejando un sondeo fuera (7 clases)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 y ejemplo con datos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documentación-de-métodos"/>
    <w:p>
      <w:pPr>
        <w:pStyle w:val="Heading2"/>
      </w:pPr>
      <w:r>
        <w:t xml:space="preserve">Documentación de métodos</w:t>
      </w:r>
    </w:p>
    <w:p>
      <w:pPr>
        <w:pStyle w:val="FirstParagraph"/>
      </w:pPr>
      <w:r>
        <w:t xml:space="preserve">Qué algoritmos usa cada artículo, qué se puede afirmar, qué falta validar y respuestas preparadas a revisores:</w:t>
      </w:r>
      <w:r>
        <w:t xml:space="preserve"> </w:t>
      </w:r>
      <w:r>
        <w:t xml:space="preserve">METODOS_Y_DEFENSA.md. Detalle técnico con fórmulas:</w:t>
      </w:r>
      <w:r>
        <w:t xml:space="preserve"> </w:t>
      </w:r>
      <w:r>
        <w:t xml:space="preserve">../docs/DOCUMENTACION_TECNICA.md. Revistas: journals.md.</w:t>
      </w:r>
    </w:p>
    <w:bookmarkEnd w:id="22"/>
    <w:bookmarkStart w:id="23" w:name="antes-de-enviar"/>
    <w:p>
      <w:pPr>
        <w:pStyle w:val="Heading2"/>
      </w:pPr>
      <w:r>
        <w:t xml:space="preserve">Antes de enviar</w:t>
      </w:r>
    </w:p>
    <w:p>
      <w:pPr>
        <w:numPr>
          <w:ilvl w:val="0"/>
          <w:numId w:val="1002"/>
        </w:numPr>
        <w:pStyle w:val="Compact"/>
      </w:pPr>
      <w:r>
        <w:t xml:space="preserve">Confirmar coautorías (F.J. Rodríguez-Tovar, F. Martínez-Ruiz, J. Dorador u otros según aporten datos o validación).</w:t>
      </w:r>
    </w:p>
    <w:p>
      <w:pPr>
        <w:numPr>
          <w:ilvl w:val="0"/>
          <w:numId w:val="1002"/>
        </w:numPr>
        <w:pStyle w:val="Compact"/>
      </w:pPr>
      <w:r>
        <w:t xml:space="preserve">ORCID de todos los autores.</w:t>
      </w:r>
    </w:p>
    <w:p>
      <w:pPr>
        <w:numPr>
          <w:ilvl w:val="0"/>
          <w:numId w:val="1002"/>
        </w:numPr>
        <w:pStyle w:val="Compact"/>
      </w:pPr>
      <w:r>
        <w:t xml:space="preserve">Release con DOI de Zenodo del código citado (indicar la entrega, p. ej. V28).</w:t>
      </w:r>
    </w:p>
    <w:p>
      <w:pPr>
        <w:numPr>
          <w:ilvl w:val="0"/>
          <w:numId w:val="1002"/>
        </w:numPr>
        <w:pStyle w:val="Compact"/>
      </w:pPr>
      <w:r>
        <w:t xml:space="preserve">Comprobar en la web de cada revista: alcance, formato, APC y política de preprints.</w:t>
      </w:r>
    </w:p>
    <w:p>
      <w:pPr>
        <w:numPr>
          <w:ilvl w:val="0"/>
          <w:numId w:val="1002"/>
        </w:numPr>
        <w:pStyle w:val="Compact"/>
      </w:pPr>
      <w:r>
        <w:t xml:space="preserve">Preprint opcional en EarthArXiv.</w:t>
      </w:r>
    </w:p>
    <w:bookmarkEnd w:id="23"/>
    <w:bookmarkEnd w:id="24"/>
    <w:bookmarkStart w:id="55" w:name="métodos-y-defensa-ante-revisores"/>
    <w:p>
      <w:pPr>
        <w:pStyle w:val="Heading1"/>
      </w:pPr>
      <w:r>
        <w:t xml:space="preserve">Métodos y defensa ante revisores</w:t>
      </w:r>
    </w:p>
    <w:p>
      <w:pPr>
        <w:pStyle w:val="FirstParagraph"/>
      </w:pPr>
      <w:r>
        <w:t xml:space="preserve">Estado al 01-11-2026 (software en la entrega</w:t>
      </w:r>
      <w:r>
        <w:t xml:space="preserve"> </w:t>
      </w:r>
      <w:r>
        <w:rPr>
          <w:bCs/>
          <w:b/>
        </w:rPr>
        <w:t xml:space="preserve">V28</w:t>
      </w:r>
      <w:r>
        <w:t xml:space="preserve">, aplicación web 2.0.1). Cartera completa en</w:t>
      </w:r>
      <w:r>
        <w:t xml:space="preserve"> </w:t>
      </w:r>
      <w:r>
        <w:t xml:space="preserve">README.md.</w:t>
      </w:r>
    </w:p>
    <w:bookmarkStart w:id="25" w:name="Xedb3a72c4b9c02529e23b8331fff9f411add4bf"/>
    <w:p>
      <w:pPr>
        <w:pStyle w:val="Heading2"/>
      </w:pPr>
      <w:r>
        <w:t xml:space="preserve">Lo que hay que saber del software antes de escribir cualquier artículo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Nombre:</w:t>
      </w:r>
      <w:r>
        <w:t xml:space="preserve"> </w:t>
      </w:r>
      <w:r>
        <w:t xml:space="preserve">desde V16 el programa se llama</w:t>
      </w:r>
      <w:r>
        <w:t xml:space="preserve"> </w:t>
      </w:r>
      <w:r>
        <w:rPr>
          <w:bCs/>
          <w:b/>
        </w:rPr>
        <w:t xml:space="preserve">CorAnTool</w:t>
      </w:r>
      <w:r>
        <w:t xml:space="preserve"> </w:t>
      </w:r>
      <w:r>
        <w:t xml:space="preserve">(antes IchAnTool). En los artículos: «CorAnTool (formerly</w:t>
      </w:r>
      <w:r>
        <w:t xml:space="preserve"> </w:t>
      </w:r>
      <w:r>
        <w:t xml:space="preserve">IchAnTool; Casanova-Arenillas et al., 2020)». Citar la entrega usada (p. ej. «V28») y, al enviar, la release con DOI.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Icnotaxones (imágenes):</w:t>
      </w:r>
      <w:r>
        <w:t xml:space="preserve"> </w:t>
      </w:r>
      <w:r>
        <w:t xml:space="preserve">tres modelos (sondeo, proyecto, todos los proyectos; §10.6 bis) y tres métodos (k-NN,</w:t>
      </w:r>
      <w:r>
        <w:t xml:space="preserve"> </w:t>
      </w:r>
      <w:r>
        <w:t xml:space="preserve">bosque aleatorio, Bayes ingenuo; §10.6 ter). Desde V22 la evaluación agrupa por imagen (sección) y cuenta como error</w:t>
      </w:r>
      <w:r>
        <w:t xml:space="preserve"> </w:t>
      </w:r>
      <w:r>
        <w:t xml:space="preserve">cualquier predicción de un taxón ausente del conjunto de prueba. Hay que decir qué modelo y método se usó y su acierto</w:t>
      </w:r>
      <w:r>
        <w:t xml:space="preserve"> </w:t>
      </w:r>
      <w:r>
        <w:t xml:space="preserve">equilibrado. Las «probabilidades» de RF, NB y k-NN son proporciones de voto o verosimilitudes normalizadas, no</w:t>
      </w:r>
      <w:r>
        <w:t xml:space="preserve"> </w:t>
      </w:r>
      <w:r>
        <w:t xml:space="preserve">probabilidades calibradas.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Multiproxy (V26–V27):</w:t>
      </w:r>
      <w:r>
        <w:t xml:space="preserve"> </w:t>
      </w:r>
      <w:r>
        <w:t xml:space="preserve">familias de intervalos (p. ej. periodo frío/cálido; baja oxigenación con sapropel/ORL)</w:t>
      </w:r>
      <w:r>
        <w:t xml:space="preserve"> </w:t>
      </w:r>
      <w:r>
        <w:t xml:space="preserve">que se clasifican a mano en cualquier sondeo, y</w:t>
      </w:r>
      <w:r>
        <w:t xml:space="preserve"> </w:t>
      </w:r>
      <w:r>
        <w:rPr>
          <w:bCs/>
          <w:b/>
        </w:rPr>
        <w:t xml:space="preserve">clasificadores definidos por el usuario</w:t>
      </w:r>
      <w:r>
        <w:t xml:space="preserve"> </w:t>
      </w:r>
      <w:r>
        <w:t xml:space="preserve">(qué familias, con qué</w:t>
      </w:r>
      <w:r>
        <w:t xml:space="preserve"> </w:t>
      </w:r>
      <w:r>
        <w:t xml:space="preserve">variables y familias de entrada, qué modelo: bosque aleatorio, red neuronal MLP, k-NN, Bayes, k-medias), validados</w:t>
      </w:r>
      <w:r>
        <w:t xml:space="preserve"> </w:t>
      </w:r>
      <w:r>
        <w:t xml:space="preserve">dejando un sondeo fuera (§21.4–§21.5). Solo se puntúan intervalos descritos, no los etiquetados por reglas.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Selección de modelo:</w:t>
      </w:r>
      <w:r>
        <w:t xml:space="preserve"> </w:t>
      </w:r>
      <w:r>
        <w:t xml:space="preserve">comparar varios clasificadores con la misma validación y quedarse con el mejor</w:t>
      </w:r>
      <w:r>
        <w:t xml:space="preserve"> </w:t>
      </w:r>
      <w:r>
        <w:rPr>
          <w:bCs/>
          <w:b/>
        </w:rPr>
        <w:t xml:space="preserve">sesga el</w:t>
      </w:r>
      <w:r>
        <w:rPr>
          <w:bCs/>
          <w:b/>
        </w:rPr>
        <w:t xml:space="preserve"> </w:t>
      </w:r>
      <w:r>
        <w:rPr>
          <w:bCs/>
          <w:b/>
        </w:rPr>
        <w:t xml:space="preserve">acierto al alza</w:t>
      </w:r>
      <w:r>
        <w:t xml:space="preserve">. Un artículo debe informar de todos los modelos probados o reservar sondeos para una prueba final</w:t>
      </w:r>
      <w:r>
        <w:t xml:space="preserve"> </w:t>
      </w:r>
      <w:r>
        <w:t xml:space="preserve">independiente (pendiente de implementar en la interfaz).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Sondeos compartidos entre proyectos (V23):</w:t>
      </w:r>
      <w:r>
        <w:t xml:space="preserve"> </w:t>
      </w:r>
      <w:r>
        <w:t xml:space="preserve">cuentan una sola vez en mapas y análisis entre proyectos, y los</w:t>
      </w:r>
      <w:r>
        <w:t xml:space="preserve"> </w:t>
      </w:r>
      <w:r>
        <w:t xml:space="preserve">ejemplos de icnotaxones repetidos se descartan. La coincidencia es por nombre: revisar los marcados «en N proyectos».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Mapas:</w:t>
      </w:r>
      <w:r>
        <w:t xml:space="preserve"> </w:t>
      </w:r>
      <w:r>
        <w:t xml:space="preserve">los valores usan solo datos reales; la interpolación (IDW, kriging, TIN, RBF…; §21.6 ter) mide distancias</w:t>
      </w:r>
      <w:r>
        <w:t xml:space="preserve"> </w:t>
      </w:r>
      <w:r>
        <w:t xml:space="preserve">en km y es exploratoria. Los mapas de z por sondeo eliminan el gradiente absoluto entre sondeos: úsense para patrones</w:t>
      </w:r>
      <w:r>
        <w:t xml:space="preserve"> </w:t>
      </w:r>
      <w:r>
        <w:t xml:space="preserve">relativos. Los fondos (Esri, GEBCO) son contexto visual y se citan en el pie.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Datos de la tesis:</w:t>
      </w:r>
      <w:r>
        <w:t xml:space="preserve"> </w:t>
      </w:r>
      <w:r>
        <w:t xml:space="preserve">LC06, LC14 y LC20 tienen profundidad supuesta (secciones apiladas, §21.8 ter): no usarlos en</w:t>
      </w:r>
      <w:r>
        <w:t xml:space="preserve"> </w:t>
      </w:r>
      <w:r>
        <w:t xml:space="preserve">una figura publicada sin verificarla. Las cifras obtenidas con versiones anteriores a V22 deben recalcularse.</w:t>
      </w:r>
    </w:p>
    <w:p>
      <w:pPr>
        <w:pStyle w:val="FirstParagraph"/>
      </w:pPr>
      <w:r>
        <w:t xml:space="preserve">Para cada artículo previsto: qué partes de IchAnTool usa, qué se puede afirmar con lo que ya está</w:t>
      </w:r>
      <w:r>
        <w:t xml:space="preserve"> </w:t>
      </w:r>
      <w:r>
        <w:t xml:space="preserve">hecho, qué falta comprobar antes de enviarlo y las preguntas que probablemente hará un revisor,</w:t>
      </w:r>
      <w:r>
        <w:t xml:space="preserve"> </w:t>
      </w:r>
      <w:r>
        <w:t xml:space="preserve">con una respuesta preparada.</w:t>
      </w:r>
    </w:p>
    <w:p>
      <w:pPr>
        <w:pStyle w:val="BodyText"/>
      </w:pPr>
      <w:r>
        <w:t xml:space="preserve">Los detalles de cada algoritmo (fórmulas, parámetros, archivos de código) están en</w:t>
      </w:r>
      <w:r>
        <w:t xml:space="preserve"> </w:t>
      </w:r>
      <w:r>
        <w:rPr>
          <w:rStyle w:val="VerbatimChar"/>
        </w:rPr>
        <w:t xml:space="preserve">docs/DOCUMENTACION_TECNICA.md</w:t>
      </w:r>
      <w:r>
        <w:t xml:space="preserve">. Aquí se cita la sección (§).</w:t>
      </w:r>
      <w:r>
        <w:t xml:space="preserve"> </w:t>
      </w:r>
      <w:r>
        <w:t xml:space="preserve">El historial de cambios está en</w:t>
      </w:r>
      <w:r>
        <w:t xml:space="preserve"> </w:t>
      </w:r>
      <w:r>
        <w:rPr>
          <w:rStyle w:val="VerbatimChar"/>
        </w:rPr>
        <w:t xml:space="preserve">docs/HISTORIAL_VERSIONES.md</w:t>
      </w:r>
      <w:r>
        <w:t xml:space="preserve">.</w:t>
      </w:r>
    </w:p>
    <w:p>
      <w:pPr>
        <w:pStyle w:val="BodyText"/>
      </w:pPr>
      <w:r>
        <w:t xml:space="preserve">Regla general:</w:t>
      </w:r>
      <w:r>
        <w:t xml:space="preserve"> </w:t>
      </w:r>
      <w:r>
        <w:rPr>
          <w:bCs/>
          <w:b/>
        </w:rPr>
        <w:t xml:space="preserve">solo se afirma lo que está medido</w:t>
      </w:r>
      <w:r>
        <w:t xml:space="preserve">. Lo que no está validado se presenta como</w:t>
      </w:r>
      <w:r>
        <w:t xml:space="preserve"> </w:t>
      </w:r>
      <w:r>
        <w:t xml:space="preserve">limitación o trabajo futuro.</w:t>
      </w:r>
    </w:p>
    <w:p>
      <w:r>
        <w:pict>
          <v:rect style="width:0;height:1.5pt" o:hralign="center" o:hrstd="t" o:hr="t"/>
        </w:pict>
      </w:r>
    </w:p>
    <w:bookmarkEnd w:id="25"/>
    <w:bookmarkStart w:id="31" w:name="artículo-1-software-corantool-joss"/>
    <w:p>
      <w:pPr>
        <w:pStyle w:val="Heading2"/>
      </w:pPr>
      <w:r>
        <w:t xml:space="preserve">Artículo 1 — Software: CorAnTool (JOSS)</w:t>
      </w:r>
    </w:p>
    <w:bookmarkStart w:id="26" w:name="qué-describe"/>
    <w:p>
      <w:pPr>
        <w:pStyle w:val="Heading3"/>
      </w:pPr>
      <w:r>
        <w:t xml:space="preserve">Qué describe</w:t>
      </w:r>
    </w:p>
    <w:p>
      <w:pPr>
        <w:pStyle w:val="FirstParagraph"/>
      </w:pPr>
      <w:r>
        <w:t xml:space="preserve">El paquete Python y la aplicación web como herramienta abierta de análisis de sondeos: series continuas de</w:t>
      </w:r>
      <w:r>
        <w:t xml:space="preserve"> </w:t>
      </w:r>
      <w:r>
        <w:t xml:space="preserve">bioturbación a partir de imágenes, junto con registros multiproxy, intervalos descritos, clasificación automática de</w:t>
      </w:r>
      <w:r>
        <w:t xml:space="preserve"> </w:t>
      </w:r>
      <w:r>
        <w:t xml:space="preserve">intervalos, mapas por edad y figuras, organizado en proyectos.</w:t>
      </w:r>
    </w:p>
    <w:bookmarkEnd w:id="26"/>
    <w:bookmarkStart w:id="27" w:name="métodos-que-usa"/>
    <w:p>
      <w:pPr>
        <w:pStyle w:val="Heading3"/>
      </w:pPr>
      <w:r>
        <w:t xml:space="preserve">Métodos que usa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 de profundidad y zona de análisis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Porcentaje por intervalos, multiclase y exclusiones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§3, 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e ii (tramos de la V2, configurables)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 edad (interpolación lineal)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Realce, detección y edición (aplicación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§6–§8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Identificación asistida k-NN (aplicación 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Formatos de exportación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Resolución de trabajo, proyectos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§16–§17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compuesto y registros externos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§18–§19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 multiproxy: familias, clasificadores (RF, MLP, k-NN, NB), validación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§21–§21.5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Mapas: proyecciones, interpolación (IDW, kriging, TIN, RBF…), exportación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§21.6–§21.6 quater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 de datos (tipo Grapher) y hoja de cálculo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§22.3 bis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Organización por proyectos y sondeos, análisis entre proyectos, figuras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 de entrenamiento y recorrido guiado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§22.7</w:t>
            </w:r>
          </w:p>
        </w:tc>
      </w:tr>
    </w:tbl>
    <w:bookmarkEnd w:id="27"/>
    <w:bookmarkStart w:id="28" w:name="qué-se-puede-afirmar-hoy"/>
    <w:p>
      <w:pPr>
        <w:pStyle w:val="Heading3"/>
      </w:pPr>
      <w:r>
        <w:t xml:space="preserve">Qué se puede afirmar hoy</w:t>
      </w:r>
    </w:p>
    <w:p>
      <w:pPr>
        <w:numPr>
          <w:ilvl w:val="0"/>
          <w:numId w:val="1004"/>
        </w:numPr>
        <w:pStyle w:val="Compact"/>
      </w:pPr>
      <w:r>
        <w:t xml:space="preserve">Integra en una sola herramienta las imágenes, la bioturbación y otros registros del mismo sondeo, en profundidad o en edad, con exportación vectorial (§18). Demostrado con datos públicos del IODP (sondeo de prueba U1385I-1H).</w:t>
      </w:r>
    </w:p>
    <w:p>
      <w:pPr>
        <w:numPr>
          <w:ilvl w:val="0"/>
          <w:numId w:val="1004"/>
        </w:numPr>
        <w:pStyle w:val="Compact"/>
      </w:pPr>
      <w:r>
        <w:t xml:space="preserve">Reproduce exactamente los resultados publicados en 2020 (prueba de regresión, §13.1).</w:t>
      </w:r>
    </w:p>
    <w:p>
      <w:pPr>
        <w:numPr>
          <w:ilvl w:val="0"/>
          <w:numId w:val="1004"/>
        </w:numPr>
        <w:pStyle w:val="Compact"/>
      </w:pPr>
      <w:r>
        <w:t xml:space="preserve">La aplicación web da los mismos BI e ii que la versión publicada en la imagen de ejemplo</w:t>
      </w:r>
      <w:r>
        <w:t xml:space="preserve"> </w:t>
      </w:r>
      <w:r>
        <w:t xml:space="preserve">(100 %), con una diferencia de porcentaje ≤ 0,56 puntos explicada por los pesos de gris</w:t>
      </w:r>
      <w:r>
        <w:t xml:space="preserve"> </w:t>
      </w:r>
      <w:r>
        <w:t xml:space="preserve">(§3.4, §13.2).</w:t>
      </w:r>
    </w:p>
    <w:p>
      <w:pPr>
        <w:numPr>
          <w:ilvl w:val="0"/>
          <w:numId w:val="1004"/>
        </w:numPr>
        <w:pStyle w:val="Compact"/>
      </w:pPr>
      <w:r>
        <w:t xml:space="preserve">Es determinista y el archivo de proyecto permite reproducir cualquier análisis (§15).</w:t>
      </w:r>
    </w:p>
    <w:p>
      <w:pPr>
        <w:numPr>
          <w:ilvl w:val="0"/>
          <w:numId w:val="1004"/>
        </w:numPr>
        <w:pStyle w:val="Compact"/>
      </w:pPr>
      <w:r>
        <w:t xml:space="preserve">Tiene pruebas automáticas en integración continua (§13.1).</w:t>
      </w:r>
    </w:p>
    <w:p>
      <w:pPr>
        <w:numPr>
          <w:ilvl w:val="0"/>
          <w:numId w:val="1004"/>
        </w:numPr>
        <w:pStyle w:val="Compact"/>
      </w:pPr>
      <w:r>
        <w:t xml:space="preserve">Integra en el mismo proyecto la interpretación icnológica, registros numéricos de cualquier tipo,</w:t>
      </w:r>
      <w:r>
        <w:t xml:space="preserve"> </w:t>
      </w:r>
      <w:r>
        <w:t xml:space="preserve">intervalos descritos jerárquicos y una clasificación automática de intervalos (§21). Sobre esta parte solo puede afirmarse que funciona</w:t>
      </w:r>
      <w:r>
        <w:t xml:space="preserve"> </w:t>
      </w:r>
      <w:r>
        <w:t xml:space="preserve">como herramienta; su capacidad de detectar eventos reales no está validada (ver artículo 4).</w:t>
      </w:r>
    </w:p>
    <w:bookmarkEnd w:id="28"/>
    <w:bookmarkStart w:id="29" w:name="qué-falta-antes-de-enviarlo"/>
    <w:p>
      <w:pPr>
        <w:pStyle w:val="Heading3"/>
      </w:pPr>
      <w:r>
        <w:t xml:space="preserve">Qué falta antes de enviarlo</w:t>
      </w:r>
    </w:p>
    <w:p>
      <w:pPr>
        <w:numPr>
          <w:ilvl w:val="0"/>
          <w:numId w:val="1005"/>
        </w:numPr>
        <w:pStyle w:val="Compact"/>
      </w:pPr>
      <w:r>
        <w:t xml:space="preserve">☐ Publicar en PyPI y crear la release con DOI en Zenodo.</w:t>
      </w:r>
    </w:p>
    <w:p>
      <w:pPr>
        <w:numPr>
          <w:ilvl w:val="0"/>
          <w:numId w:val="1005"/>
        </w:numPr>
        <w:pStyle w:val="Compact"/>
      </w:pPr>
      <w:r>
        <w:t xml:space="preserve">☐ Documentación de uso (tutorial con un testigo real) y notebook de ejemplo.</w:t>
      </w:r>
    </w:p>
    <w:p>
      <w:pPr>
        <w:numPr>
          <w:ilvl w:val="0"/>
          <w:numId w:val="1005"/>
        </w:numPr>
        <w:pStyle w:val="Compact"/>
      </w:pPr>
      <w:r>
        <w:t xml:space="preserve">☐ Capa de exclusión también en el paquete Python, para igualar las dos implementaciones.</w:t>
      </w:r>
    </w:p>
    <w:p>
      <w:pPr>
        <w:numPr>
          <w:ilvl w:val="0"/>
          <w:numId w:val="1005"/>
        </w:numPr>
        <w:pStyle w:val="Compact"/>
      </w:pPr>
      <w:r>
        <w:t xml:space="preserve">☐ Alojar la aplicación en GitHub Pages.</w:t>
      </w:r>
    </w:p>
    <w:p>
      <w:pPr>
        <w:numPr>
          <w:ilvl w:val="0"/>
          <w:numId w:val="1005"/>
        </w:numPr>
        <w:pStyle w:val="Compact"/>
      </w:pPr>
      <w:r>
        <w:t xml:space="preserve">☐ Decidir la licencia definitiva.</w:t>
      </w:r>
    </w:p>
    <w:p>
      <w:pPr>
        <w:numPr>
          <w:ilvl w:val="0"/>
          <w:numId w:val="1005"/>
        </w:numPr>
        <w:pStyle w:val="Compact"/>
      </w:pPr>
      <w:r>
        <w:t xml:space="preserve">☐ Revisar la bibliografía.</w:t>
      </w:r>
    </w:p>
    <w:p>
      <w:pPr>
        <w:numPr>
          <w:ilvl w:val="0"/>
          <w:numId w:val="1005"/>
        </w:numPr>
        <w:pStyle w:val="Compact"/>
      </w:pPr>
      <w:r>
        <w:t xml:space="preserve">☐ Dividir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en módulos (los revisores de JOSS miran la calidad del código).</w:t>
      </w:r>
    </w:p>
    <w:p>
      <w:pPr>
        <w:numPr>
          <w:ilvl w:val="0"/>
          <w:numId w:val="1005"/>
        </w:numPr>
        <w:pStyle w:val="Compact"/>
      </w:pPr>
      <w:r>
        <w:t xml:space="preserve">☐ Decidir el alcance: un único artículo de software con todo, o dejar la parte multiproxy para el artículo 4.</w:t>
      </w:r>
    </w:p>
    <w:bookmarkEnd w:id="29"/>
    <w:bookmarkStart w:id="30" w:name="X0d871bdf332a98fcee571d06746fe955b76ff22"/>
    <w:p>
      <w:pPr>
        <w:pStyle w:val="Heading3"/>
      </w:pPr>
      <w:r>
        <w:t xml:space="preserve">Preguntas probables de revisores (JOSS revisa también el código)</w:t>
      </w:r>
    </w:p>
    <w:p>
      <w:pPr>
        <w:pStyle w:val="FirstParagraph"/>
      </w:pPr>
      <w:r>
        <w:rPr>
          <w:bCs/>
          <w:b/>
        </w:rPr>
        <w:t xml:space="preserve">¿Qué aporta frente a ImageJ/Fiji, que ya cuenta píxeles?</w:t>
      </w:r>
      <w:r>
        <w:t xml:space="preserve"> </w:t>
      </w:r>
      <w:r>
        <w:t xml:space="preserve">ImageJ da un área total. IchAnTool da una</w:t>
      </w:r>
      <w:r>
        <w:t xml:space="preserve"> </w:t>
      </w:r>
      <w:r>
        <w:rPr>
          <w:bCs/>
          <w:b/>
        </w:rPr>
        <w:t xml:space="preserve">serie continua por profundidad o edad</w:t>
      </w:r>
      <w:r>
        <w:t xml:space="preserve"> </w:t>
      </w:r>
      <w:r>
        <w:t xml:space="preserve">con BI, ii y</w:t>
      </w:r>
      <w:r>
        <w:t xml:space="preserve"> </w:t>
      </w:r>
      <w:r>
        <w:t xml:space="preserve">porcentaje por icnotaxón, lista para correlacionar con datos geoquímicos. Gestiona varias secciones,</w:t>
      </w:r>
      <w:r>
        <w:t xml:space="preserve"> </w:t>
      </w:r>
      <w:r>
        <w:t xml:space="preserve">zonas excluidas y modelo de edad en un solo flujo. Ese flujo en ImageJ requiere macros propias.</w:t>
      </w:r>
    </w:p>
    <w:p>
      <w:pPr>
        <w:pStyle w:val="BodyText"/>
      </w:pPr>
      <w:r>
        <w:rPr>
          <w:bCs/>
          <w:b/>
        </w:rPr>
        <w:t xml:space="preserve">¿Cómo sé que los resultados son correctos?</w:t>
      </w:r>
      <w:r>
        <w:t xml:space="preserve"> </w:t>
      </w:r>
      <w:r>
        <w:t xml:space="preserve">Pruebas con casos calculados a mano y prueba de regresión frente a los resultados publicados</w:t>
      </w:r>
      <w:r>
        <w:t xml:space="preserve"> </w:t>
      </w:r>
      <w:r>
        <w:t xml:space="preserve">(§13.1). Ambas se ejecutan automáticamente en cada cambio.</w:t>
      </w:r>
    </w:p>
    <w:p>
      <w:pPr>
        <w:pStyle w:val="BodyText"/>
      </w:pPr>
      <w:r>
        <w:rPr>
          <w:bCs/>
          <w:b/>
        </w:rPr>
        <w:t xml:space="preserve">¿Cómo se eligen los parámetros de realce?</w:t>
      </w:r>
      <w:r>
        <w:t xml:space="preserve"> </w:t>
      </w:r>
      <w:r>
        <w:t xml:space="preserve">Con los ajustes publicados (Dorador et al., 2014; Miguez-Salas et al., 2019) o con la propuesta</w:t>
      </w:r>
      <w:r>
        <w:t xml:space="preserve"> </w:t>
      </w:r>
      <w:r>
        <w:t xml:space="preserve">automática por separabilidad de Otsu (§6), que es propia y se presenta como punto de partida. No hay</w:t>
      </w:r>
      <w:r>
        <w:t xml:space="preserve"> </w:t>
      </w:r>
      <w:r>
        <w:t xml:space="preserve">en la bibliografía un método publicado de preselección automática (revisión V12).</w:t>
      </w:r>
    </w:p>
    <w:p>
      <w:pPr>
        <w:pStyle w:val="BodyText"/>
      </w:pPr>
      <w:r>
        <w:rPr>
          <w:bCs/>
          <w:b/>
        </w:rPr>
        <w:t xml:space="preserve">¿Los ajustes «de artículo» reproducen fielmente los protocolos publicados?</w:t>
      </w:r>
      <w:r>
        <w:t xml:space="preserve"> </w:t>
      </w:r>
      <w:r>
        <w:t xml:space="preserve">Reproducen la secuencia y los parámetros publicados donde existen (§6). Las diferencias están</w:t>
      </w:r>
      <w:r>
        <w:t xml:space="preserve"> </w:t>
      </w:r>
      <w:r>
        <w:t xml:space="preserve">documentadas: los niveles se calculan por percentiles porque el artículo los elige en cada imagen; la</w:t>
      </w:r>
      <w:r>
        <w:t xml:space="preserve"> </w:t>
      </w:r>
      <w:r>
        <w:t xml:space="preserve">gamma es automática dentro del rango publicado; el contraste y el brillo de Photoshop solo tienen</w:t>
      </w:r>
      <w:r>
        <w:t xml:space="preserve"> </w:t>
      </w:r>
      <w:r>
        <w:t xml:space="preserve">equivalentes aproximados; y el CLAHE es por mosaicos (Zuiderveld, 1994) frente a la ventana deslizante</w:t>
      </w:r>
      <w:r>
        <w:t xml:space="preserve"> </w:t>
      </w:r>
      <w:r>
        <w:t xml:space="preserve">de Fiji. Los parámetros efectivos de cada sección se guardan en el proyecto.</w:t>
      </w:r>
    </w:p>
    <w:p>
      <w:pPr>
        <w:pStyle w:val="BodyText"/>
      </w:pPr>
      <w:r>
        <w:rPr>
          <w:bCs/>
          <w:b/>
        </w:rPr>
        <w:t xml:space="preserve">¿Por qué dos implementaciones (Python y JavaScript)?</w:t>
      </w:r>
      <w:r>
        <w:t xml:space="preserve"> </w:t>
      </w:r>
      <w:r>
        <w:t xml:space="preserve">Python para análisis por lotes y reproducibilidad en scripts. Web para el trabajo interactivo sin</w:t>
      </w:r>
      <w:r>
        <w:t xml:space="preserve"> </w:t>
      </w:r>
      <w:r>
        <w:t xml:space="preserve">instalar nada. Comparten las mismas definiciones y las pruebas comprueban los mismos casos en las</w:t>
      </w:r>
      <w:r>
        <w:t xml:space="preserve"> </w:t>
      </w:r>
      <w:r>
        <w:t xml:space="preserve">dos (§1, §13.1).</w:t>
      </w:r>
    </w:p>
    <w:p>
      <w:pPr>
        <w:pStyle w:val="BodyText"/>
      </w:pPr>
      <w:r>
        <w:rPr>
          <w:bCs/>
          <w:b/>
        </w:rPr>
        <w:t xml:space="preserve">¿Por qué BI e ii salen solo del porcentaje?</w:t>
      </w:r>
      <w:r>
        <w:t xml:space="preserve"> </w:t>
      </w:r>
      <w:r>
        <w:t xml:space="preserve">Es la componente cuantificable de esas escalas. Se documenta que no sustituye la descripción</w:t>
      </w:r>
      <w:r>
        <w:t xml:space="preserve"> </w:t>
      </w:r>
      <w:r>
        <w:t xml:space="preserve">completa del icnofábrica, y la aplicación guarda el índice manual del usuario (§4.3).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9ab9733656b206a690d4536b7a8ead5cfb3790a"/>
    <w:p>
      <w:pPr>
        <w:pStyle w:val="Heading2"/>
      </w:pPr>
      <w:r>
        <w:t xml:space="preserve">Artículo 2 — Conjunto de datos anotado y segmentación automática</w:t>
      </w:r>
    </w:p>
    <w:bookmarkStart w:id="32" w:name="qué-describirá"/>
    <w:p>
      <w:pPr>
        <w:pStyle w:val="Heading3"/>
      </w:pPr>
      <w:r>
        <w:t xml:space="preserve">Qué describirá</w:t>
      </w:r>
    </w:p>
    <w:p>
      <w:pPr>
        <w:pStyle w:val="FirstParagraph"/>
      </w:pPr>
      <w:r>
        <w:t xml:space="preserve">Un conjunto abierto de imágenes de testigos con máscaras de bioturbación (y de icnotaxones),</w:t>
      </w:r>
      <w:r>
        <w:t xml:space="preserve"> </w:t>
      </w:r>
      <w:r>
        <w:t xml:space="preserve">anotado con la aplicación web, y la evaluación de métodos automáticos de detección e</w:t>
      </w:r>
      <w:r>
        <w:t xml:space="preserve"> </w:t>
      </w:r>
      <w:r>
        <w:t xml:space="preserve">identificación.</w:t>
      </w:r>
    </w:p>
    <w:bookmarkEnd w:id="32"/>
    <w:bookmarkStart w:id="33" w:name="métodos-que-usa-1"/>
    <w:p>
      <w:pPr>
        <w:pStyle w:val="Heading3"/>
      </w:pPr>
      <w:r>
        <w:t xml:space="preserve">Métodos que usa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Herramientas de anotación (varita, pincel, lazo, exclusión)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Detección clásica: umbral adaptativo + morfología (método 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Descriptores de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k-NN con rechazo de novedad (método base de identificación)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Segmentación aprendida tipo U-Net (</w:t>
            </w:r>
            <w:r>
              <w:rPr>
                <w:bCs/>
                <w:b/>
              </w:rPr>
              <w:t xml:space="preserve">por implementar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 de máscara y paleta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</w:t>
            </w:r>
          </w:p>
        </w:tc>
      </w:tr>
    </w:tbl>
    <w:bookmarkEnd w:id="33"/>
    <w:bookmarkStart w:id="34" w:name="qué-se-puede-afirmar-hoy-1"/>
    <w:p>
      <w:pPr>
        <w:pStyle w:val="Heading3"/>
      </w:pPr>
      <w:r>
        <w:t xml:space="preserve">Qué se puede afirmar hoy</w:t>
      </w:r>
    </w:p>
    <w:p>
      <w:pPr>
        <w:pStyle w:val="FirstParagraph"/>
      </w:pPr>
      <w:r>
        <w:t xml:space="preserve">Nada sobre la precisión en datos reales: todavía no hay datos anotados. Solo que las herramientas</w:t>
      </w:r>
      <w:r>
        <w:t xml:space="preserve"> </w:t>
      </w:r>
      <w:r>
        <w:t xml:space="preserve">existen y producen máscaras en un formato abierto.</w:t>
      </w:r>
    </w:p>
    <w:p>
      <w:pPr>
        <w:numPr>
          <w:ilvl w:val="0"/>
          <w:numId w:val="1006"/>
        </w:numPr>
        <w:pStyle w:val="Compact"/>
      </w:pPr>
      <w:r>
        <w:t xml:space="preserve">La identificación asistida de icnotaxones ya tiene evaluación por imagen (V22); falta medirla en testigos</w:t>
      </w:r>
      <w:r>
        <w:t xml:space="preserve"> </w:t>
      </w:r>
      <w:r>
        <w:t xml:space="preserve">independientes anotados por expertos.</w:t>
      </w:r>
    </w:p>
    <w:bookmarkEnd w:id="34"/>
    <w:bookmarkStart w:id="35" w:name="experimentos-necesarios"/>
    <w:p>
      <w:pPr>
        <w:pStyle w:val="Heading3"/>
      </w:pPr>
      <w:r>
        <w:t xml:space="preserve">Experimentos necesarios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Datos:</w:t>
      </w:r>
      <w:r>
        <w:t xml:space="preserve"> </w:t>
      </w:r>
      <w:r>
        <w:t xml:space="preserve">testigos con imágenes de licencia clara (IODP/ODP son públicas; las imágenes tratadas</w:t>
      </w:r>
      <w:r>
        <w:t xml:space="preserve"> </w:t>
      </w:r>
      <w:r>
        <w:t xml:space="preserve">del grupo de la UGR, con permiso). Anotar la resolución y el equipo de cada imagen.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Protocolo de anotación escrito</w:t>
      </w:r>
      <w:r>
        <w:t xml:space="preserve">, con criterios de qué es traza, qué es artefacto y qué se</w:t>
      </w:r>
      <w:r>
        <w:t xml:space="preserve"> </w:t>
      </w:r>
      <w:r>
        <w:t xml:space="preserve">excluye.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Concordancia entre anotadores:</w:t>
      </w:r>
      <w:r>
        <w:t xml:space="preserve"> </w:t>
      </w:r>
      <w:r>
        <w:t xml:space="preserve">al menos dos expertos anotan el mismo subconjunto. Se mide</w:t>
      </w:r>
      <w:r>
        <w:t xml:space="preserve"> </w:t>
      </w:r>
      <w:r>
        <w:t xml:space="preserve">IoU (intersección sobre unión) y la diferencia de porcentaje por intervalo.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División por testigo</w:t>
      </w:r>
      <w:r>
        <w:t xml:space="preserve">, no por recortes: los testigos de prueba no se usan para entrenar ni</w:t>
      </w:r>
      <w:r>
        <w:t xml:space="preserve"> </w:t>
      </w:r>
      <w:r>
        <w:t xml:space="preserve">para ajustar parámetros. Evita resultados inflados por autocorrelación espacial.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Métricas:</w:t>
      </w:r>
    </w:p>
    <w:p>
      <w:pPr>
        <w:numPr>
          <w:ilvl w:val="1"/>
          <w:numId w:val="1008"/>
        </w:numPr>
        <w:pStyle w:val="Compact"/>
      </w:pPr>
      <w:r>
        <w:t xml:space="preserve">IoU y F1 por píxel.</w:t>
      </w:r>
    </w:p>
    <w:p>
      <w:pPr>
        <w:numPr>
          <w:ilvl w:val="1"/>
          <w:numId w:val="1008"/>
        </w:numPr>
        <w:pStyle w:val="Compact"/>
      </w:pPr>
      <w:r>
        <w:t xml:space="preserve">Error absoluto del porcentaje por intervalo.</w:t>
      </w:r>
    </w:p>
    <w:p>
      <w:pPr>
        <w:numPr>
          <w:ilvl w:val="1"/>
          <w:numId w:val="1008"/>
        </w:numPr>
        <w:pStyle w:val="Compact"/>
      </w:pPr>
      <w:r>
        <w:t xml:space="preserve">Coincidencia de BI e ii.</w:t>
      </w:r>
    </w:p>
    <w:p>
      <w:pPr>
        <w:numPr>
          <w:ilvl w:val="1"/>
          <w:numId w:val="1008"/>
        </w:numPr>
        <w:pStyle w:val="Compact"/>
      </w:pPr>
      <w:r>
        <w:t xml:space="preserve">Para la identificación: matriz de confusión y F1 por clase.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Comparaciones:</w:t>
      </w:r>
    </w:p>
    <w:p>
      <w:pPr>
        <w:numPr>
          <w:ilvl w:val="1"/>
          <w:numId w:val="1009"/>
        </w:numPr>
        <w:pStyle w:val="Compact"/>
      </w:pPr>
      <w:r>
        <w:t xml:space="preserve">umbral adaptativo (método base);</w:t>
      </w:r>
    </w:p>
    <w:p>
      <w:pPr>
        <w:numPr>
          <w:ilvl w:val="1"/>
          <w:numId w:val="1009"/>
        </w:numPr>
        <w:pStyle w:val="Compact"/>
      </w:pPr>
      <w:r>
        <w:t xml:space="preserve">flujo Fiji/ICY de Miguez-Salas et al. (2019): CLAHE + umbral o K-medias + rellenar huecos, ya implementado;</w:t>
      </w:r>
    </w:p>
    <w:p>
      <w:pPr>
        <w:numPr>
          <w:ilvl w:val="1"/>
          <w:numId w:val="1009"/>
        </w:numPr>
        <w:pStyle w:val="Compact"/>
      </w:pPr>
      <w:r>
        <w:t xml:space="preserve">tratamiento de Dorador et al. (2014), ya implementado;</w:t>
      </w:r>
    </w:p>
    <w:p>
      <w:pPr>
        <w:numPr>
          <w:ilvl w:val="1"/>
          <w:numId w:val="1009"/>
        </w:numPr>
        <w:pStyle w:val="Compact"/>
      </w:pPr>
      <w:r>
        <w:t xml:space="preserve">U-Net, comparable con Kikuchi y Naruse (2024, Dice 0,892 para</w:t>
      </w:r>
      <w:r>
        <w:t xml:space="preserve"> </w:t>
      </w:r>
      <w:r>
        <w:rPr>
          <w:iCs/>
          <w:i/>
        </w:rPr>
        <w:t xml:space="preserve">Phycosiphon</w:t>
      </w:r>
      <w:r>
        <w:t xml:space="preserve">);</w:t>
      </w:r>
    </w:p>
    <w:p>
      <w:pPr>
        <w:numPr>
          <w:ilvl w:val="1"/>
          <w:numId w:val="1009"/>
        </w:numPr>
        <w:pStyle w:val="Compact"/>
      </w:pPr>
      <w:r>
        <w:t xml:space="preserve">concordancia entre humanos, que es el techo razonable.</w:t>
      </w:r>
    </w:p>
    <w:bookmarkEnd w:id="35"/>
    <w:bookmarkStart w:id="36" w:name="preguntas-probables-de-revisores"/>
    <w:p>
      <w:pPr>
        <w:pStyle w:val="Heading3"/>
      </w:pPr>
      <w:r>
        <w:t xml:space="preserve">Preguntas probables de revisores</w:t>
      </w:r>
    </w:p>
    <w:p>
      <w:pPr>
        <w:pStyle w:val="FirstParagraph"/>
      </w:pPr>
      <w:r>
        <w:rPr>
          <w:bCs/>
          <w:b/>
        </w:rPr>
        <w:t xml:space="preserve">¿Por qué un umbral adaptativo como base y no directamente deep learning?</w:t>
      </w:r>
      <w:r>
        <w:t xml:space="preserve"> </w:t>
      </w:r>
      <w:r>
        <w:t xml:space="preserve">Porque es reproducible, no necesita datos de entrenamiento y marca el nivel mínimo que un método</w:t>
      </w:r>
      <w:r>
        <w:t xml:space="preserve"> </w:t>
      </w:r>
      <w:r>
        <w:t xml:space="preserve">aprendido debe superar. Se compara con U-Net en el mismo conjunto de prueba.</w:t>
      </w:r>
    </w:p>
    <w:p>
      <w:pPr>
        <w:pStyle w:val="BodyText"/>
      </w:pPr>
      <w:r>
        <w:rPr>
          <w:bCs/>
          <w:b/>
        </w:rPr>
        <w:t xml:space="preserve">¿El acierto del k-NN no está inflado?</w:t>
      </w:r>
      <w:r>
        <w:t xml:space="preserve"> </w:t>
      </w:r>
      <w:r>
        <w:t xml:space="preserve">El acierto dejando uno fuera que muestra la aplicación sí puede estarlo (§10, nota al revisor).</w:t>
      </w:r>
      <w:r>
        <w:t xml:space="preserve"> </w:t>
      </w:r>
      <w:r>
        <w:t xml:space="preserve">En el artículo solo se dará el acierto en</w:t>
      </w:r>
      <w:r>
        <w:t xml:space="preserve"> </w:t>
      </w:r>
      <w:r>
        <w:rPr>
          <w:bCs/>
          <w:b/>
        </w:rPr>
        <w:t xml:space="preserve">testigos independientes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¿Qué pasa con la dependencia del color y de la cámara?</w:t>
      </w:r>
      <w:r>
        <w:t xml:space="preserve"> </w:t>
      </w:r>
      <w:r>
        <w:t xml:space="preserve">Se documentan el equipo y la iluminación de cada imagen y se evalúa el rendimiento entre fuentes</w:t>
      </w:r>
      <w:r>
        <w:t xml:space="preserve"> </w:t>
      </w:r>
      <w:r>
        <w:t xml:space="preserve">distintas (entrenar con unas, probar con otras). Los descriptores de tamaño van en unidades</w:t>
      </w:r>
      <w:r>
        <w:t xml:space="preserve"> </w:t>
      </w:r>
      <w:r>
        <w:t xml:space="preserve">físicas (§9).</w:t>
      </w:r>
    </w:p>
    <w:p>
      <w:pPr>
        <w:pStyle w:val="BodyText"/>
      </w:pPr>
      <w:r>
        <w:rPr>
          <w:bCs/>
          <w:b/>
        </w:rPr>
        <w:t xml:space="preserve">¿Hay trabajos previos con deep learning en bioturbación?</w:t>
      </w:r>
      <w:r>
        <w:t xml:space="preserve"> </w:t>
      </w:r>
      <w:r>
        <w:t xml:space="preserve">Sí. Hay que revisarlos y citarlos: el artículo de</w:t>
      </w:r>
      <w:r>
        <w:t xml:space="preserve"> </w:t>
      </w:r>
      <w:r>
        <w:rPr>
          <w:iCs/>
          <w:i/>
        </w:rPr>
        <w:t xml:space="preserve">Applied Sciences</w:t>
      </w:r>
      <w:r>
        <w:t xml:space="preserve"> </w:t>
      </w:r>
      <w:r>
        <w:t xml:space="preserve">11(16):7736 (2021) sobre deep</w:t>
      </w:r>
      <w:r>
        <w:t xml:space="preserve"> </w:t>
      </w:r>
      <w:r>
        <w:t xml:space="preserve">learning en análisis icnológico y la patente US12142024. La aportación propia es el</w:t>
      </w:r>
      <w:r>
        <w:t xml:space="preserve"> </w:t>
      </w:r>
      <w:r>
        <w:rPr>
          <w:bCs/>
          <w:b/>
        </w:rPr>
        <w:t xml:space="preserve">conjunto de</w:t>
      </w:r>
      <w:r>
        <w:rPr>
          <w:bCs/>
          <w:b/>
        </w:rPr>
        <w:t xml:space="preserve"> </w:t>
      </w:r>
      <w:r>
        <w:rPr>
          <w:bCs/>
          <w:b/>
        </w:rPr>
        <w:t xml:space="preserve">datos abierto</w:t>
      </w:r>
      <w:r>
        <w:t xml:space="preserve">, la herramienta de anotación libre y la comparación con concordancia humana.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c745b3607ccbce9c9a777cfc60b91c48b1896a3"/>
    <w:p>
      <w:pPr>
        <w:pStyle w:val="Heading2"/>
      </w:pPr>
      <w:r>
        <w:t xml:space="preserve">Artículo 3 — Validación y aplicación paleoambiental</w:t>
      </w:r>
    </w:p>
    <w:bookmarkStart w:id="38" w:name="qué-describirá-1"/>
    <w:p>
      <w:pPr>
        <w:pStyle w:val="Heading3"/>
      </w:pPr>
      <w:r>
        <w:t xml:space="preserve">Qué describirá</w:t>
      </w:r>
    </w:p>
    <w:p>
      <w:pPr>
        <w:numPr>
          <w:ilvl w:val="0"/>
          <w:numId w:val="1010"/>
        </w:numPr>
        <w:pStyle w:val="Compact"/>
      </w:pPr>
      <w:r>
        <w:t xml:space="preserve">Cuánto difieren los índices automáticos de la estimación visual de varios icnólogos.</w:t>
      </w:r>
    </w:p>
    <w:p>
      <w:pPr>
        <w:numPr>
          <w:ilvl w:val="0"/>
          <w:numId w:val="1010"/>
        </w:numPr>
        <w:pStyle w:val="Compact"/>
      </w:pPr>
      <w:r>
        <w:t xml:space="preserve">Registros continuos de bioturbación y de icnotaxones en testigos largos, correlacionados con</w:t>
      </w:r>
      <w:r>
        <w:t xml:space="preserve"> </w:t>
      </w:r>
      <w:r>
        <w:t xml:space="preserve">indicadores geoquímicos y de temperatura (amplía el ejemplo de ODP 977 de 2020).</w:t>
      </w:r>
    </w:p>
    <w:bookmarkEnd w:id="38"/>
    <w:bookmarkStart w:id="39" w:name="métodos-que-usa-2"/>
    <w:p>
      <w:pPr>
        <w:pStyle w:val="Heading3"/>
      </w:pPr>
      <w:r>
        <w:t xml:space="preserve">Métodos que usa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Porcentaje, BI e ii automáticos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§3–§4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 e ii manuales en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Porcentaje por icnotaxón e identificación asistida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§3, §10–§11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Modelo de 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compuesto, registros externos y CSV interpolado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§18–§19</w:t>
            </w:r>
          </w:p>
        </w:tc>
      </w:tr>
    </w:tbl>
    <w:bookmarkEnd w:id="39"/>
    <w:bookmarkStart w:id="40" w:name="experimentos-necesarios-1"/>
    <w:p>
      <w:pPr>
        <w:pStyle w:val="Heading3"/>
      </w:pPr>
      <w:r>
        <w:t xml:space="preserve">Experimentos necesarios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Modelo de edad publicado:</w:t>
      </w:r>
      <w:r>
        <w:t xml:space="preserve"> </w:t>
      </w:r>
      <w:r>
        <w:t xml:space="preserve">el del sondeo de prueba es ilustrativo y no vale para interpretar.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Experimento a ciegas:</w:t>
      </w:r>
      <w:r>
        <w:t xml:space="preserve"> </w:t>
      </w:r>
      <w:r>
        <w:t xml:space="preserve">de 3 a 5 icnólogos asignan BI e ii visuales a los mismos intervalos,</w:t>
      </w:r>
      <w:r>
        <w:t xml:space="preserve"> </w:t>
      </w:r>
      <w:r>
        <w:t xml:space="preserve">sin ver el resultado automático. La aplicación ya permite registrarlo (columnas</w:t>
      </w:r>
      <w:r>
        <w:t xml:space="preserve"> </w:t>
      </w:r>
      <w:r>
        <w:rPr>
          <w:rStyle w:val="VerbatimChar"/>
        </w:rPr>
        <w:t xml:space="preserve">BI_manual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ii_manual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Estadística:</w:t>
      </w:r>
    </w:p>
    <w:p>
      <w:pPr>
        <w:numPr>
          <w:ilvl w:val="1"/>
          <w:numId w:val="1012"/>
        </w:numPr>
        <w:pStyle w:val="Compact"/>
      </w:pPr>
      <w:r>
        <w:t xml:space="preserve">Concordancia entre observadores (kappa de Cohen ponderado o coeficiente de correlación</w:t>
      </w:r>
      <w:r>
        <w:t xml:space="preserve"> </w:t>
      </w:r>
      <w:r>
        <w:t xml:space="preserve">intraclase).</w:t>
      </w:r>
    </w:p>
    <w:p>
      <w:pPr>
        <w:numPr>
          <w:ilvl w:val="1"/>
          <w:numId w:val="1012"/>
        </w:numPr>
        <w:pStyle w:val="Compact"/>
      </w:pPr>
      <w:r>
        <w:t xml:space="preserve">Sesgo de cada observador frente al valor automático.</w:t>
      </w:r>
    </w:p>
    <w:p>
      <w:pPr>
        <w:numPr>
          <w:ilvl w:val="1"/>
          <w:numId w:val="1012"/>
        </w:numPr>
        <w:pStyle w:val="Compact"/>
      </w:pPr>
      <w:r>
        <w:t xml:space="preserve">Diagrama de Bland-Altman para el porcentaje.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Aplicación:</w:t>
      </w:r>
    </w:p>
    <w:p>
      <w:pPr>
        <w:numPr>
          <w:ilvl w:val="1"/>
          <w:numId w:val="1013"/>
        </w:numPr>
        <w:pStyle w:val="Compact"/>
      </w:pPr>
      <w:r>
        <w:t xml:space="preserve">Elegir testigos con buenas imágenes y datos de indicadores ya publicados (material de la</w:t>
      </w:r>
      <w:r>
        <w:t xml:space="preserve"> </w:t>
      </w:r>
      <w:r>
        <w:t xml:space="preserve">tesis).</w:t>
      </w:r>
    </w:p>
    <w:p>
      <w:pPr>
        <w:numPr>
          <w:ilvl w:val="1"/>
          <w:numId w:val="1013"/>
        </w:numPr>
        <w:pStyle w:val="Compact"/>
      </w:pPr>
      <w:r>
        <w:t xml:space="preserve">Correlación con desfase y prueba de significación que tenga en cuenta la autocorrelación de</w:t>
      </w:r>
      <w:r>
        <w:t xml:space="preserve"> </w:t>
      </w:r>
      <w:r>
        <w:t xml:space="preserve">las series.</w:t>
      </w:r>
    </w:p>
    <w:bookmarkEnd w:id="40"/>
    <w:bookmarkStart w:id="41" w:name="preguntas-probables-de-revisores-1"/>
    <w:p>
      <w:pPr>
        <w:pStyle w:val="Heading3"/>
      </w:pPr>
      <w:r>
        <w:t xml:space="preserve">Preguntas probables de revisores</w:t>
      </w:r>
    </w:p>
    <w:p>
      <w:pPr>
        <w:pStyle w:val="FirstParagraph"/>
      </w:pPr>
      <w:r>
        <w:rPr>
          <w:bCs/>
          <w:b/>
        </w:rPr>
        <w:t xml:space="preserve">Si los observadores no coinciden entre sí, ¿con qué se valida el método?</w:t>
      </w:r>
      <w:r>
        <w:t xml:space="preserve"> </w:t>
      </w:r>
      <w:r>
        <w:t xml:space="preserve">No se trata de que la máquina «acierte» a un experto. Se mide cuánta variabilidad hay entre</w:t>
      </w:r>
      <w:r>
        <w:t xml:space="preserve"> </w:t>
      </w:r>
      <w:r>
        <w:t xml:space="preserve">expertos y si el método automático cae dentro de ella, con la ventaja de ser reproducible.</w:t>
      </w:r>
    </w:p>
    <w:p>
      <w:pPr>
        <w:pStyle w:val="BodyText"/>
      </w:pPr>
      <w:r>
        <w:rPr>
          <w:bCs/>
          <w:b/>
        </w:rPr>
        <w:t xml:space="preserve">¿Una medida 2D de la cara del testigo representa la bioturbación?</w:t>
      </w:r>
      <w:r>
        <w:t xml:space="preserve"> </w:t>
      </w:r>
      <w:r>
        <w:t xml:space="preserve">Es la misma limitación de las estimaciones visuales, que también se hacen sobre la cara expuesta.</w:t>
      </w:r>
      <w:r>
        <w:t xml:space="preserve"> </w:t>
      </w:r>
      <w:r>
        <w:t xml:space="preserve">Se indica como limitación (§14) y se mantiene la comparación en las mismas condiciones.</w:t>
      </w:r>
    </w:p>
    <w:p>
      <w:pPr>
        <w:pStyle w:val="BodyText"/>
      </w:pPr>
      <w:r>
        <w:rPr>
          <w:bCs/>
          <w:b/>
        </w:rPr>
        <w:t xml:space="preserve">¿Cómo afecta la incertidumbre del modelo de edad a las correlaciones?</w:t>
      </w:r>
      <w:r>
        <w:t xml:space="preserve"> </w:t>
      </w:r>
      <w:r>
        <w:t xml:space="preserve">Se discute aparte. Si hace falta, se repite el análisis con modelos de edad alternativos. El</w:t>
      </w:r>
      <w:r>
        <w:t xml:space="preserve"> </w:t>
      </w:r>
      <w:r>
        <w:t xml:space="preserve">programa no propaga esa incertidumbre (§5).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Xb333d1760e6e5fb4aad44f2e61435c2053f2d3a"/>
    <w:p>
      <w:pPr>
        <w:pStyle w:val="Heading2"/>
      </w:pPr>
      <w:r>
        <w:t xml:space="preserve">Artículo 4 — Clasificación automática de intervalos con registros multiproxy, descripciones e icnología</w:t>
      </w:r>
    </w:p>
    <w:bookmarkStart w:id="43" w:name="qué-describirá-2"/>
    <w:p>
      <w:pPr>
        <w:pStyle w:val="Heading3"/>
      </w:pPr>
      <w:r>
        <w:t xml:space="preserve">Qué describirá</w:t>
      </w:r>
    </w:p>
    <w:p>
      <w:pPr>
        <w:pStyle w:val="FirstParagraph"/>
      </w:pPr>
      <w:r>
        <w:t xml:space="preserve">Un método reproducible para etiquetar intervalos (eventos como baja oxigenación, aporte detrítico o</w:t>
      </w:r>
      <w:r>
        <w:t xml:space="preserve"> </w:t>
      </w:r>
      <w:r>
        <w:t xml:space="preserve">corrientes de fondo, pero también litologías o facies) en muchos sondeos a partir de registros</w:t>
      </w:r>
      <w:r>
        <w:t xml:space="preserve"> </w:t>
      </w:r>
      <w:r>
        <w:t xml:space="preserve">numéricos (geoquímica, foraminíferos, TOC, sedimentología…) y de intervalos descritos (litología,</w:t>
      </w:r>
      <w:r>
        <w:t xml:space="preserve"> </w:t>
      </w:r>
      <w:r>
        <w:t xml:space="preserve">turbiditas…), combinando el criterio experto</w:t>
      </w:r>
      <w:r>
        <w:t xml:space="preserve"> </w:t>
      </w:r>
      <w:r>
        <w:t xml:space="preserve">(intervalos y reglas) con aprendizaje supervisado, y su cartografía por ventanas de edad. Incluye</w:t>
      </w:r>
      <w:r>
        <w:t xml:space="preserve"> </w:t>
      </w:r>
      <w:r>
        <w:t xml:space="preserve">la icnología (bioturbación, BI, ii, icnotaxones) como variables.</w:t>
      </w:r>
    </w:p>
    <w:bookmarkEnd w:id="43"/>
    <w:bookmarkStart w:id="44" w:name="métodos-que-usa-3"/>
    <w:p>
      <w:pPr>
        <w:pStyle w:val="Heading3"/>
      </w:pPr>
      <w:r>
        <w:t xml:space="preserve">Métodos que usa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Importación, remuestreo, razones, log y escalado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§21.1–§21.2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Capas de intervalos jerárquicas como variables (0/1)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§21.2–§21.3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Etiquetas por intervalos y reglas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Clasificadores definidos por el usuario (familias objetivo, entradas, modelo)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§21.4 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Bosque aleatorio, red neuronal (MLP), k-NN, Bayes ingenuo, k-medias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§21.4, §21.4 bis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Clasificación manual en columnas y copia desde columnas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§21.4 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Validación dejando un sondeo fuera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Mapas por edad e IDW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Bioturbación e índices como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§3–§4, §18, §21.1</w:t>
            </w:r>
          </w:p>
        </w:tc>
      </w:tr>
    </w:tbl>
    <w:bookmarkEnd w:id="44"/>
    <w:bookmarkStart w:id="45" w:name="qué-se-puede-afirmar-hoy-2"/>
    <w:p>
      <w:pPr>
        <w:pStyle w:val="Heading3"/>
      </w:pPr>
      <w:r>
        <w:t xml:space="preserve">Qué se puede afirmar hoy</w:t>
      </w:r>
    </w:p>
    <w:p>
      <w:pPr>
        <w:numPr>
          <w:ilvl w:val="0"/>
          <w:numId w:val="1014"/>
        </w:numPr>
        <w:pStyle w:val="Compact"/>
      </w:pPr>
      <w:r>
        <w:t xml:space="preserve">La implementación funciona y es reproducible (semilla) con datos sintéticos de verdad conocida</w:t>
      </w:r>
      <w:r>
        <w:t xml:space="preserve"> </w:t>
      </w:r>
      <w:r>
        <w:t xml:space="preserve">(§21.8).</w:t>
      </w:r>
    </w:p>
    <w:p>
      <w:pPr>
        <w:numPr>
          <w:ilvl w:val="0"/>
          <w:numId w:val="1014"/>
        </w:numPr>
        <w:pStyle w:val="Compact"/>
      </w:pPr>
      <w:r>
        <w:t xml:space="preserve">Primera prueba con datos reales (§21.8 bis): con registros públicos de ODP 977A, los tipos de ORL</w:t>
      </w:r>
      <w:r>
        <w:t xml:space="preserve"> </w:t>
      </w:r>
      <w:r>
        <w:t xml:space="preserve">de la tesis se reconocen mal (acierto equilibrado 36 % por bloques). No se puede afirmar</w:t>
      </w:r>
      <w:r>
        <w:t xml:space="preserve"> </w:t>
      </w:r>
      <w:r>
        <w:t xml:space="preserve">capacidad predictiva; faltan los datos geoquímicos propios (XRF) y más sondeos etiquetados.</w:t>
      </w:r>
    </w:p>
    <w:p>
      <w:pPr>
        <w:numPr>
          <w:ilvl w:val="0"/>
          <w:numId w:val="1014"/>
        </w:numPr>
        <w:pStyle w:val="Compact"/>
      </w:pPr>
      <w:r>
        <w:t xml:space="preserve">Con los datos propios (V12, §21.8 ter): acierto equilibrado 17,7 % dejando un sondeo fuera con 7</w:t>
      </w:r>
      <w:r>
        <w:t xml:space="preserve"> </w:t>
      </w:r>
      <w:r>
        <w:t xml:space="preserve">clases. La transferencia entre sondeos con variables y escáneres distintos es el problema principal</w:t>
      </w:r>
      <w:r>
        <w:t xml:space="preserve"> </w:t>
      </w:r>
      <w:r>
        <w:t xml:space="preserve">que un artículo tendría que resolver (armonizar variables, más sondeos por tipo de variable).</w:t>
      </w:r>
    </w:p>
    <w:p>
      <w:pPr>
        <w:numPr>
          <w:ilvl w:val="0"/>
          <w:numId w:val="1014"/>
        </w:numPr>
        <w:pStyle w:val="Compact"/>
      </w:pPr>
      <w:r>
        <w:t xml:space="preserve">V26 (misma tesis): el clasificador creado desde los ajustes guardados da 18 % de acierto equilibrado, coherente con</w:t>
      </w:r>
      <w:r>
        <w:t xml:space="preserve"> </w:t>
      </w:r>
      <w:r>
        <w:t xml:space="preserve">la cifra anterior. En el proyecto sintético de entrenamiento, bosque aleatorio ≈ 91 % y red neuronal ≈ 80 %</w:t>
      </w:r>
      <w:r>
        <w:t xml:space="preserve"> </w:t>
      </w:r>
      <w:r>
        <w:t xml:space="preserve">(verdad conocida; solo demuestra que la cadena funciona).</w:t>
      </w:r>
    </w:p>
    <w:bookmarkEnd w:id="45"/>
    <w:bookmarkStart w:id="46" w:name="experimentos-necesarios-2"/>
    <w:p>
      <w:pPr>
        <w:pStyle w:val="Heading3"/>
      </w:pPr>
      <w:r>
        <w:t xml:space="preserve">Experimentos necesarios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Datos reales con interpretación independiente:</w:t>
      </w:r>
      <w:r>
        <w:t xml:space="preserve"> </w:t>
      </w:r>
      <w:r>
        <w:t xml:space="preserve">sondeos con eventos publicados (p. ej.</w:t>
      </w:r>
      <w:r>
        <w:t xml:space="preserve"> </w:t>
      </w:r>
      <w:r>
        <w:t xml:space="preserve">sapropeles datados, contornitas, niveles detríticos) que no hayan servido para definir las</w:t>
      </w:r>
      <w:r>
        <w:t xml:space="preserve"> </w:t>
      </w:r>
      <w:r>
        <w:t xml:space="preserve">reglas.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Etiquetas solo por intervalos</w:t>
      </w:r>
      <w:r>
        <w:t xml:space="preserve"> </w:t>
      </w:r>
      <w:r>
        <w:t xml:space="preserve">para entrenar y evaluar. Las reglas se evalúan aparte, como</w:t>
      </w:r>
      <w:r>
        <w:t xml:space="preserve"> </w:t>
      </w:r>
      <w:r>
        <w:t xml:space="preserve">«modelo experto», frente a la misma verdad.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Validación dejando sondeos enteros fuera</w:t>
      </w:r>
      <w:r>
        <w:t xml:space="preserve"> </w:t>
      </w:r>
      <w:r>
        <w:t xml:space="preserve">y, si hay suficientes, por regiones (bloques</w:t>
      </w:r>
      <w:r>
        <w:t xml:space="preserve"> </w:t>
      </w:r>
      <w:r>
        <w:t xml:space="preserve">espaciales), para medir la transferencia a sondeos lejanos.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Métricas:</w:t>
      </w:r>
      <w:r>
        <w:t xml:space="preserve"> </w:t>
      </w:r>
      <w:r>
        <w:t xml:space="preserve">acierto equilibrado, F1 por clase y matriz de confusión; incertidumbre por</w:t>
      </w:r>
      <w:r>
        <w:t xml:space="preserve"> </w:t>
      </w:r>
      <w:r>
        <w:t xml:space="preserve">remuestreo de sondeos (bootstrap por sondeo).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Comparaciones:</w:t>
      </w:r>
      <w:r>
        <w:t xml:space="preserve"> </w:t>
      </w:r>
      <w:r>
        <w:t xml:space="preserve">reglas expertas solas; bosque aleatorio; red neuronal; k-NN; Bayes; y el efecto de añadir</w:t>
      </w:r>
      <w:r>
        <w:t xml:space="preserve"> </w:t>
      </w:r>
      <w:r>
        <w:t xml:space="preserve">la icnología (con y sin bioturbación/índices) y las capas descritas (con y sin litología) como</w:t>
      </w:r>
      <w:r>
        <w:t xml:space="preserve"> </w:t>
      </w:r>
      <w:r>
        <w:t xml:space="preserve">variables. Vigilar que una capa descrita no sea casi la misma información que el objetivo</w:t>
      </w:r>
      <w:r>
        <w:t xml:space="preserve"> </w:t>
      </w:r>
      <w:r>
        <w:t xml:space="preserve">(fuga de información), y declarar qué capas se usaron.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Importancia por permutación</w:t>
      </w:r>
      <w:r>
        <w:t xml:space="preserve"> </w:t>
      </w:r>
      <w:r>
        <w:t xml:space="preserve">(por implementar) además de MDI.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Sensibilidad</w:t>
      </w:r>
      <w:r>
        <w:t xml:space="preserve"> </w:t>
      </w:r>
      <w:r>
        <w:t xml:space="preserve">al paso de remuestreo, al escalado (global frente a por sondeo) y a la</w:t>
      </w:r>
      <w:r>
        <w:t xml:space="preserve"> </w:t>
      </w:r>
      <w:r>
        <w:t xml:space="preserve">probabilidad mínima.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Modelos de edad:</w:t>
      </w:r>
      <w:r>
        <w:t xml:space="preserve"> </w:t>
      </w:r>
      <w:r>
        <w:t xml:space="preserve">repetir los mapas con modelos alternativos o con la incertidumbre</w:t>
      </w:r>
      <w:r>
        <w:t xml:space="preserve"> </w:t>
      </w:r>
      <w:r>
        <w:t xml:space="preserve">publicada de cada sondeo.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Prueba final independiente:</w:t>
      </w:r>
      <w:r>
        <w:t xml:space="preserve"> </w:t>
      </w:r>
      <w:r>
        <w:t xml:space="preserve">reservar 2–3 sondeos que no se usan para elegir modelo ni ajustes, y dar en el</w:t>
      </w:r>
      <w:r>
        <w:t xml:space="preserve"> </w:t>
      </w:r>
      <w:r>
        <w:t xml:space="preserve">artículo el acierto en ellos.</w:t>
      </w:r>
    </w:p>
    <w:bookmarkEnd w:id="46"/>
    <w:bookmarkStart w:id="47" w:name="preguntas-probables-de-revisores-2"/>
    <w:p>
      <w:pPr>
        <w:pStyle w:val="Heading3"/>
      </w:pPr>
      <w:r>
        <w:t xml:space="preserve">Preguntas probables de revisores</w:t>
      </w:r>
    </w:p>
    <w:p>
      <w:pPr>
        <w:pStyle w:val="FirstParagraph"/>
      </w:pPr>
      <w:r>
        <w:rPr>
          <w:bCs/>
          <w:b/>
        </w:rPr>
        <w:t xml:space="preserve">¿El acierto no está inflado por la autocorrelación de las series?</w:t>
      </w:r>
      <w:r>
        <w:t xml:space="preserve"> </w:t>
      </w:r>
      <w:r>
        <w:t xml:space="preserve">Por eso la validación deja sondeos enteros fuera (o bloques contiguos si solo hay uno) y nunca</w:t>
      </w:r>
      <w:r>
        <w:t xml:space="preserve"> </w:t>
      </w:r>
      <w:r>
        <w:t xml:space="preserve">mezcla muestras vecinas entre entrenamiento y prueba (§21.5).</w:t>
      </w:r>
    </w:p>
    <w:p>
      <w:pPr>
        <w:pStyle w:val="BodyText"/>
      </w:pPr>
      <w:r>
        <w:rPr>
          <w:bCs/>
          <w:b/>
        </w:rPr>
        <w:t xml:space="preserve">Si las etiquetas salen de reglas, ¿el modelo no aprende solo las reglas?</w:t>
      </w:r>
      <w:r>
        <w:t xml:space="preserve"> </w:t>
      </w:r>
      <w:r>
        <w:t xml:space="preserve">Sí, y así se declara (§21.8). Para la evaluación se usan intervalos con interpretación</w:t>
      </w:r>
      <w:r>
        <w:t xml:space="preserve"> </w:t>
      </w:r>
      <w:r>
        <w:t xml:space="preserve">independiente; las reglas solo sirven para proponer etiquetas o como referencia experta.</w:t>
      </w:r>
    </w:p>
    <w:p>
      <w:pPr>
        <w:pStyle w:val="BodyText"/>
      </w:pPr>
      <w:r>
        <w:rPr>
          <w:bCs/>
          <w:b/>
        </w:rPr>
        <w:t xml:space="preserve">¿Por qué no deep learning?</w:t>
      </w:r>
      <w:r>
        <w:t xml:space="preserve"> </w:t>
      </w:r>
      <w:r>
        <w:t xml:space="preserve">El programa incluye una red neuronal (perceptrón multicapa con parada temprana, §21.4 bis) y se compara con el bosque</w:t>
      </w:r>
      <w:r>
        <w:t xml:space="preserve"> </w:t>
      </w:r>
      <w:r>
        <w:t xml:space="preserve">aleatorio, k-NN y Bayes en el mismo esquema de validación. Con pocas decenas o cientos de intervalos etiquetados, los</w:t>
      </w:r>
      <w:r>
        <w:t xml:space="preserve"> </w:t>
      </w:r>
      <w:r>
        <w:t xml:space="preserve">árboles suelen ser más robustos y dan una medida de importancia; redes más profundas (recurrentes, convolucionales</w:t>
      </w:r>
      <w:r>
        <w:t xml:space="preserve"> </w:t>
      </w:r>
      <w:r>
        <w:t xml:space="preserve">sobre la serie) necesitarían muchos más sondeos etiquetados de los disponibles.</w:t>
      </w:r>
    </w:p>
    <w:p>
      <w:pPr>
        <w:pStyle w:val="BodyText"/>
      </w:pPr>
      <w:r>
        <w:rPr>
          <w:bCs/>
          <w:b/>
        </w:rPr>
        <w:t xml:space="preserve">Probasteis varios modelos: ¿no estáis eligiendo el que mejor sale por azar?</w:t>
      </w:r>
      <w:r>
        <w:t xml:space="preserve"> </w:t>
      </w:r>
      <w:r>
        <w:t xml:space="preserve">Se informa de todos los modelos probados con la misma validación y el acierto final se da en sondeos reservados que no</w:t>
      </w:r>
      <w:r>
        <w:t xml:space="preserve"> </w:t>
      </w:r>
      <w:r>
        <w:t xml:space="preserve">intervinieron en la elección (experimento 9).</w:t>
      </w:r>
    </w:p>
    <w:p>
      <w:pPr>
        <w:pStyle w:val="BodyText"/>
      </w:pPr>
      <w:r>
        <w:rPr>
          <w:bCs/>
          <w:b/>
        </w:rPr>
        <w:t xml:space="preserve">¿La interpolación del mapa es fiable?</w:t>
      </w:r>
      <w:r>
        <w:t xml:space="preserve"> </w:t>
      </w:r>
      <w:r>
        <w:t xml:space="preserve">La interpolación es visual y exploratoria (§21.6, §21.6 ter): ningún método estima la incertidumbre</w:t>
      </w:r>
      <w:r>
        <w:t xml:space="preserve"> </w:t>
      </w:r>
      <w:r>
        <w:t xml:space="preserve">de forma útil con pocos sondeos (el kriging da una varianza, pero su variograma con ~10 sondeos es muy incierto) y</w:t>
      </w:r>
      <w:r>
        <w:t xml:space="preserve"> </w:t>
      </w:r>
      <w:r>
        <w:t xml:space="preserve">ninguno tiene en cuenta barreras geográficas. Las conclusiones se basan en los valores de cada sondeo, que también se exportan.</w:t>
      </w:r>
      <w:r>
        <w:t xml:space="preserve"> </w:t>
      </w:r>
      <w:r>
        <w:t xml:space="preserve">Los fondos de los mapas (Esri, GEBCO; §21.6 bis) son solo contexto visual: no entran en ningún</w:t>
      </w:r>
      <w:r>
        <w:t xml:space="preserve"> </w:t>
      </w:r>
      <w:r>
        <w:t xml:space="preserve">cálculo, y su fuente debe citarse en el pie de la figura (el programa la escribe en el mapa).</w:t>
      </w:r>
    </w:p>
    <w:p>
      <w:pPr>
        <w:pStyle w:val="BodyText"/>
      </w:pPr>
      <w:r>
        <w:rPr>
          <w:bCs/>
          <w:b/>
        </w:rPr>
        <w:t xml:space="preserve">¿Cómo entran datos categóricos como la litología en un modelo numérico?</w:t>
      </w:r>
      <w:r>
        <w:t xml:space="preserve"> </w:t>
      </w:r>
      <w:r>
        <w:t xml:space="preserve">Como columnas 0/1 por categoría, sin escalar (§21.2). La ausencia de descripción vale 0, igual que</w:t>
      </w:r>
      <w:r>
        <w:t xml:space="preserve"> </w:t>
      </w:r>
      <w:r>
        <w:t xml:space="preserve">«no presente»; se declara como limitación y conviene usar solo sondeos con la capa descrita entera.</w:t>
      </w:r>
    </w:p>
    <w:p>
      <w:pPr>
        <w:pStyle w:val="BodyText"/>
      </w:pPr>
      <w:r>
        <w:rPr>
          <w:bCs/>
          <w:b/>
        </w:rPr>
        <w:t xml:space="preserve">¿Cómo se combinan proxies medidos con técnicas o calibraciones distintas?</w:t>
      </w:r>
      <w:r>
        <w:t xml:space="preserve"> </w:t>
      </w:r>
      <w:r>
        <w:t xml:space="preserve">Con el z-score por sondeo (§21.2) se eliminan diferencias de nivel; se documenta qué escalado se</w:t>
      </w:r>
      <w:r>
        <w:t xml:space="preserve"> </w:t>
      </w:r>
      <w:r>
        <w:t xml:space="preserve">usó y se muestra su efecto (experimento 7).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370b97d4f18ab0ee2dbf3d01194133430b4a33f"/>
    <w:p>
      <w:pPr>
        <w:pStyle w:val="Heading2"/>
      </w:pPr>
      <w:r>
        <w:t xml:space="preserve">Artículo 5 — Nota breve en español (Geogaceta)</w:t>
      </w:r>
    </w:p>
    <w:bookmarkStart w:id="49" w:name="qué-describirá-3"/>
    <w:p>
      <w:pPr>
        <w:pStyle w:val="Heading3"/>
      </w:pPr>
      <w:r>
        <w:t xml:space="preserve">Qué describirá</w:t>
      </w:r>
    </w:p>
    <w:p>
      <w:pPr>
        <w:pStyle w:val="FirstParagraph"/>
      </w:pPr>
      <w:r>
        <w:t xml:space="preserve">Presentación de CorAnTool a la comunidad geológica española: qué hace, para quién es y un ejemplo con un testigo de</w:t>
      </w:r>
      <w:r>
        <w:t xml:space="preserve"> </w:t>
      </w:r>
      <w:r>
        <w:t xml:space="preserve">datos públicos (IODP U1385I-1H, margen ibérico) y el proyecto de entrenamiento. Sin resultados inéditos.</w:t>
      </w:r>
    </w:p>
    <w:bookmarkEnd w:id="49"/>
    <w:bookmarkStart w:id="50" w:name="qué-se-puede-afirmar-hoy-3"/>
    <w:p>
      <w:pPr>
        <w:pStyle w:val="Heading3"/>
      </w:pPr>
      <w:r>
        <w:t xml:space="preserve">Qué se puede afirmar hoy</w:t>
      </w:r>
    </w:p>
    <w:p>
      <w:pPr>
        <w:pStyle w:val="FirstParagraph"/>
      </w:pPr>
      <w:r>
        <w:t xml:space="preserve">Lo mismo que en el artículo 1 (funcionalidad y reproducibilidad), sin cifras de validación nuevas.</w:t>
      </w:r>
    </w:p>
    <w:bookmarkEnd w:id="50"/>
    <w:bookmarkStart w:id="51" w:name="qué-falta"/>
    <w:p>
      <w:pPr>
        <w:pStyle w:val="Heading3"/>
      </w:pPr>
      <w:r>
        <w:t xml:space="preserve">Qué falta</w:t>
      </w:r>
    </w:p>
    <w:p>
      <w:pPr>
        <w:numPr>
          <w:ilvl w:val="0"/>
          <w:numId w:val="1016"/>
        </w:numPr>
        <w:pStyle w:val="Compact"/>
      </w:pPr>
      <w:r>
        <w:t xml:space="preserve">☐ Release con DOI y aplicación accesible en línea (GitHub Pages).</w:t>
      </w:r>
    </w:p>
    <w:p>
      <w:pPr>
        <w:numPr>
          <w:ilvl w:val="0"/>
          <w:numId w:val="1016"/>
        </w:numPr>
        <w:pStyle w:val="Compact"/>
      </w:pPr>
      <w:r>
        <w:t xml:space="preserve">☐ Figura: imagen tratada + columna compuesta + mapa de ejemplo.</w:t>
      </w:r>
    </w:p>
    <w:p>
      <w:pPr>
        <w:numPr>
          <w:ilvl w:val="0"/>
          <w:numId w:val="1016"/>
        </w:numPr>
        <w:pStyle w:val="Compact"/>
      </w:pPr>
      <w:r>
        <w:t xml:space="preserve">☐ Comprobar formato y extensión en las normas de la revista.</w:t>
      </w:r>
    </w:p>
    <w:bookmarkEnd w:id="51"/>
    <w:bookmarkStart w:id="52" w:name="preguntas-probables-de-revisores-3"/>
    <w:p>
      <w:pPr>
        <w:pStyle w:val="Heading3"/>
      </w:pPr>
      <w:r>
        <w:t xml:space="preserve">Preguntas probables de revisores</w:t>
      </w:r>
    </w:p>
    <w:p>
      <w:pPr>
        <w:pStyle w:val="FirstParagraph"/>
      </w:pPr>
      <w:r>
        <w:rPr>
          <w:bCs/>
          <w:b/>
        </w:rPr>
        <w:t xml:space="preserve">¿Qué aporta frente a hacerlo a mano en Photoshop/ImageJ y una hoja de cálculo?</w:t>
      </w:r>
      <w:r>
        <w:t xml:space="preserve"> </w:t>
      </w:r>
      <w:r>
        <w:t xml:space="preserve">Un flujo único, reproducible y gratuito desde la imagen hasta series, mapas y figuras, con el proyecto guardado para</w:t>
      </w:r>
      <w:r>
        <w:t xml:space="preserve"> </w:t>
      </w:r>
      <w:r>
        <w:t xml:space="preserve">repetir el análisis.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0d64f6e8fba07be853c47f9a82aa12187d11da8"/>
    <w:p>
      <w:pPr>
        <w:pStyle w:val="Heading2"/>
      </w:pPr>
      <w:r>
        <w:t xml:space="preserve">Lista de comprobación antes de enviar cualquier artículo</w:t>
      </w:r>
    </w:p>
    <w:p>
      <w:pPr>
        <w:numPr>
          <w:ilvl w:val="0"/>
          <w:numId w:val="1017"/>
        </w:numPr>
        <w:pStyle w:val="Compact"/>
      </w:pPr>
      <w:r>
        <w:t xml:space="preserve">☐ Cada método citado en el texto tiene su sección en</w:t>
      </w:r>
      <w:r>
        <w:t xml:space="preserve"> </w:t>
      </w:r>
      <w:r>
        <w:rPr>
          <w:rStyle w:val="VerbatimChar"/>
        </w:rPr>
        <w:t xml:space="preserve">DOCUMENTACION_TECNICA.md</w:t>
      </w:r>
      <w:r>
        <w:t xml:space="preserve">, y coincide con</w:t>
      </w:r>
      <w:r>
        <w:t xml:space="preserve"> </w:t>
      </w:r>
      <w:r>
        <w:t xml:space="preserve">el código de la versión citada.</w:t>
      </w:r>
    </w:p>
    <w:p>
      <w:pPr>
        <w:numPr>
          <w:ilvl w:val="0"/>
          <w:numId w:val="1017"/>
        </w:numPr>
        <w:pStyle w:val="Compact"/>
      </w:pPr>
      <w:r>
        <w:t xml:space="preserve">☐ Versión del software citada con DOI de Zenodo.</w:t>
      </w:r>
    </w:p>
    <w:p>
      <w:pPr>
        <w:numPr>
          <w:ilvl w:val="0"/>
          <w:numId w:val="1017"/>
        </w:numPr>
        <w:pStyle w:val="Compact"/>
      </w:pPr>
      <w:r>
        <w:t xml:space="preserve">☐ Parámetros usados guardados (archivo de proyecto) y publicados como material suplementario.</w:t>
      </w:r>
    </w:p>
    <w:p>
      <w:pPr>
        <w:numPr>
          <w:ilvl w:val="0"/>
          <w:numId w:val="1017"/>
        </w:numPr>
        <w:pStyle w:val="Compact"/>
      </w:pPr>
      <w:r>
        <w:t xml:space="preserve">☐ Datos y máscaras depositados (Zenodo o PANGAEA) con licencia.</w:t>
      </w:r>
    </w:p>
    <w:p>
      <w:pPr>
        <w:numPr>
          <w:ilvl w:val="0"/>
          <w:numId w:val="1017"/>
        </w:numPr>
        <w:pStyle w:val="Compact"/>
      </w:pPr>
      <w:r>
        <w:t xml:space="preserve">☐ Limitaciones declaradas (§14).</w:t>
      </w:r>
    </w:p>
    <w:p>
      <w:pPr>
        <w:numPr>
          <w:ilvl w:val="0"/>
          <w:numId w:val="1017"/>
        </w:numPr>
        <w:pStyle w:val="Compact"/>
      </w:pPr>
      <w:r>
        <w:t xml:space="preserve">☐ Referencias comprobadas contra los originales.</w:t>
      </w:r>
    </w:p>
    <w:p>
      <w:pPr>
        <w:numPr>
          <w:ilvl w:val="0"/>
          <w:numId w:val="1017"/>
        </w:numPr>
        <w:pStyle w:val="Compact"/>
      </w:pPr>
      <w:r>
        <w:t xml:space="preserve">☐ Coautorías y agradecimientos acordados.</w:t>
      </w:r>
    </w:p>
    <w:bookmarkEnd w:id="54"/>
    <w:bookmarkEnd w:id="55"/>
    <w:bookmarkStart w:id="62" w:name="borrador-1-software-joss-en-inglés"/>
    <w:p>
      <w:pPr>
        <w:pStyle w:val="Heading1"/>
      </w:pPr>
      <w:r>
        <w:t xml:space="preserve">Borrador 1 — Software (JOSS, en inglés)</w:t>
      </w:r>
    </w:p>
    <w:bookmarkStart w:id="5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Bioturbation intensity is a key parameter of the ichnofabric approach and is routinely</w:t>
      </w:r>
      <w:r>
        <w:t xml:space="preserve"> </w:t>
      </w:r>
      <w:r>
        <w:t xml:space="preserve">estimated in sediment cores with semi-quantitative visual schemes such as the Bioturbation</w:t>
      </w:r>
      <w:r>
        <w:t xml:space="preserve"> </w:t>
      </w:r>
      <w:r>
        <w:t xml:space="preserve">Index</w:t>
      </w:r>
      <w:r>
        <w:t xml:space="preserve"> </w:t>
      </w:r>
      <w:r>
        <w:t xml:space="preserve">(Reineck 1963; Taylor y Goldring 1993)</w:t>
      </w:r>
      <w:r>
        <w:t xml:space="preserve"> </w:t>
      </w:r>
      <w:r>
        <w:t xml:space="preserve">and the ichnofabric index</w:t>
      </w:r>
      <w:r>
        <w:t xml:space="preserve"> </w:t>
      </w:r>
      <w:r>
        <w:t xml:space="preserve">(Droser y Bottjer 1986)</w:t>
      </w:r>
      <w:r>
        <w:t xml:space="preserve">. Visual estimation</w:t>
      </w:r>
      <w:r>
        <w:t xml:space="preserve"> </w:t>
      </w:r>
      <w:r>
        <w:t xml:space="preserve">is subjective, slow, and usually discontinuous along the core. IchAnTool converts segmented</w:t>
      </w:r>
      <w:r>
        <w:t xml:space="preserve"> </w:t>
      </w:r>
      <w:r>
        <w:t xml:space="preserve">core images into continuous, depth- or age-referenced series of bioturbated-surface</w:t>
      </w:r>
      <w:r>
        <w:t xml:space="preserve"> </w:t>
      </w:r>
      <w:r>
        <w:t xml:space="preserve">percentage, per-class coverage (e.g. per ichnotaxon), and the corresponding semi-quantitative</w:t>
      </w:r>
      <w:r>
        <w:t xml:space="preserve"> </w:t>
      </w:r>
      <w:r>
        <w:t xml:space="preserve">indices, ready to be correlated with geochemical, mineralogical, or logging data.</w:t>
      </w:r>
    </w:p>
    <w:bookmarkEnd w:id="56"/>
    <w:bookmarkStart w:id="57" w:name="statement-of-need"/>
    <w:p>
      <w:pPr>
        <w:pStyle w:val="Heading2"/>
      </w:pPr>
      <w:r>
        <w:t xml:space="preserve">Statement of need</w:t>
      </w:r>
    </w:p>
    <w:p>
      <w:pPr>
        <w:pStyle w:val="FirstParagraph"/>
      </w:pPr>
      <w:r>
        <w:t xml:space="preserve">Digital image treatment has improved the visibility and quantification of trace fossils in</w:t>
      </w:r>
      <w:r>
        <w:t xml:space="preserve"> </w:t>
      </w:r>
      <w:r>
        <w:t xml:space="preserve">cores</w:t>
      </w:r>
      <w:r>
        <w:t xml:space="preserve"> </w:t>
      </w:r>
      <w:r>
        <w:t xml:space="preserve">(Dorador y Rodríguez-Tovar 2014, 2018)</w:t>
      </w:r>
      <w:r>
        <w:t xml:space="preserve">, but turning treated images into continuous data series</w:t>
      </w:r>
      <w:r>
        <w:t xml:space="preserve"> </w:t>
      </w:r>
      <w:r>
        <w:t xml:space="preserve">remained a manual, repetitive task. A first version (IchAnTool), a single script, was</w:t>
      </w:r>
      <w:r>
        <w:t xml:space="preserve"> </w:t>
      </w:r>
      <w:r>
        <w:t xml:space="preserve">introduced in</w:t>
      </w:r>
      <w:r>
        <w:t xml:space="preserve"> </w:t>
      </w:r>
      <w:r>
        <w:t xml:space="preserve">Casanova-Arenillas, Rodríguez-Tovar, y Martínez-Ruiz (2020)</w:t>
      </w:r>
      <w:r>
        <w:t xml:space="preserve">. CorAnTool is a complete rewrite: an installable, tested Python package</w:t>
      </w:r>
      <w:r>
        <w:t xml:space="preserve"> </w:t>
      </w:r>
      <w:r>
        <w:t xml:space="preserve">with a command-line interface and API, and a browser application that needs no installation, aimed at sedimentologists,</w:t>
      </w:r>
      <w:r>
        <w:t xml:space="preserve"> </w:t>
      </w:r>
      <w:r>
        <w:t xml:space="preserve">ichnologists, palaeoceanographers, and core-analysis practitioners in academia and industry.</w:t>
      </w:r>
      <w:r>
        <w:t xml:space="preserve"> </w:t>
      </w:r>
      <w:r>
        <w:t xml:space="preserve">[TODO: one paragraph on existing alternatives and why IchAnTool is needed.]</w:t>
      </w:r>
    </w:p>
    <w:bookmarkEnd w:id="57"/>
    <w:bookmarkStart w:id="58" w:name="functionality"/>
    <w:p>
      <w:pPr>
        <w:pStyle w:val="Heading2"/>
      </w:pPr>
      <w:r>
        <w:t xml:space="preserve">Functionality</w:t>
      </w:r>
    </w:p>
    <w:p>
      <w:pPr>
        <w:numPr>
          <w:ilvl w:val="0"/>
          <w:numId w:val="1018"/>
        </w:numPr>
        <w:pStyle w:val="Compact"/>
      </w:pPr>
      <w:r>
        <w:t xml:space="preserve">Input: treated images (PNG, TIFF, JPEG) with bioturbation painted in a single colour,</w:t>
      </w:r>
      <w:r>
        <w:t xml:space="preserve"> </w:t>
      </w:r>
      <w:r>
        <w:t xml:space="preserve">colour-coded classes, or integer label masks.</w:t>
      </w:r>
    </w:p>
    <w:p>
      <w:pPr>
        <w:numPr>
          <w:ilvl w:val="0"/>
          <w:numId w:val="1018"/>
        </w:numPr>
        <w:pStyle w:val="Compact"/>
      </w:pPr>
      <w:r>
        <w:t xml:space="preserve">Row-wise bioturbated percentage, aggregated into user-defined depth bins.</w:t>
      </w:r>
    </w:p>
    <w:p>
      <w:pPr>
        <w:numPr>
          <w:ilvl w:val="0"/>
          <w:numId w:val="1018"/>
        </w:numPr>
        <w:pStyle w:val="Compact"/>
      </w:pPr>
      <w:r>
        <w:t xml:space="preserve">Per-class percentages for colour-coded ichnotaxa.</w:t>
      </w:r>
    </w:p>
    <w:p>
      <w:pPr>
        <w:numPr>
          <w:ilvl w:val="0"/>
          <w:numId w:val="1018"/>
        </w:numPr>
        <w:pStyle w:val="Compact"/>
      </w:pPr>
      <w:r>
        <w:t xml:space="preserve">Configurable index schemes (BI and ii provided).</w:t>
      </w:r>
    </w:p>
    <w:p>
      <w:pPr>
        <w:numPr>
          <w:ilvl w:val="0"/>
          <w:numId w:val="1018"/>
        </w:numPr>
        <w:pStyle w:val="Compact"/>
      </w:pPr>
      <w:r>
        <w:t xml:space="preserve">Depth-to-age conversion with user age models.</w:t>
      </w:r>
    </w:p>
    <w:p>
      <w:pPr>
        <w:numPr>
          <w:ilvl w:val="0"/>
          <w:numId w:val="1018"/>
        </w:numPr>
        <w:pStyle w:val="Compact"/>
      </w:pPr>
      <w:r>
        <w:t xml:space="preserve">CSV/Excel export, quick-look plots, and a modular segmentation interface for future</w:t>
      </w:r>
      <w:r>
        <w:t xml:space="preserve"> </w:t>
      </w:r>
      <w:r>
        <w:t xml:space="preserve">learned models.</w:t>
      </w:r>
    </w:p>
    <w:p>
      <w:pPr>
        <w:numPr>
          <w:ilvl w:val="0"/>
          <w:numId w:val="1018"/>
        </w:numPr>
        <w:pStyle w:val="Compact"/>
      </w:pPr>
      <w:r>
        <w:t xml:space="preserve">Results reproduce those of the published version exactly (regression test).</w:t>
      </w:r>
    </w:p>
    <w:p>
      <w:pPr>
        <w:numPr>
          <w:ilvl w:val="0"/>
          <w:numId w:val="1018"/>
        </w:numPr>
        <w:pStyle w:val="Compact"/>
      </w:pPr>
      <w:r>
        <w:t xml:space="preserve">Browser application: projects with several cores; numeric records of any kind (XRF, foraminifera, TOC,</w:t>
      </w:r>
      <w:r>
        <w:t xml:space="preserve"> </w:t>
      </w:r>
      <w:r>
        <w:t xml:space="preserve">colour) in depth or age; families of described intervals classified by hand; user-defined classifiers</w:t>
      </w:r>
      <w:r>
        <w:t xml:space="preserve"> </w:t>
      </w:r>
      <w:r>
        <w:t xml:space="preserve">(random forest, multilayer perceptron, k-nearest neighbours, naive Bayes, k-means) validated leaving</w:t>
      </w:r>
      <w:r>
        <w:t xml:space="preserve"> </w:t>
      </w:r>
      <w:r>
        <w:t xml:space="preserve">whole cores out; maps by age window with several projections and interpolation methods; Grapher-like</w:t>
      </w:r>
      <w:r>
        <w:t xml:space="preserve"> </w:t>
      </w:r>
      <w:r>
        <w:t xml:space="preserve">plots; publication figures; a synthetic training project with a guided tour.</w:t>
      </w:r>
    </w:p>
    <w:bookmarkEnd w:id="58"/>
    <w:bookmarkStart w:id="59" w:name="implementation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Both implementations share the same definitions. A label mask (0 = matrix, 1..n = objects or</w:t>
      </w:r>
      <w:r>
        <w:t xml:space="preserve"> </w:t>
      </w:r>
      <w:r>
        <w:t xml:space="preserve">classes) is restricted to an analysis area. The bioturbated percentage of each depth interval of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pixel rows is the ratio of bioturbated to valid pixels. Excluded pixels (cracks, voids,</w:t>
      </w:r>
      <w:r>
        <w:t xml:space="preserve"> </w:t>
      </w:r>
      <w:r>
        <w:t xml:space="preserve">samples; currently in the web application only) leave both terms. Each interval is assigned the depth of its centre, interpolated</w:t>
      </w:r>
      <w:r>
        <w:t xml:space="preserve"> </w:t>
      </w:r>
      <w:r>
        <w:t xml:space="preserve">linearly between the top and bottom depths of the analysis area. Percentages map to BI and ii</w:t>
      </w:r>
      <w:r>
        <w:t xml:space="preserve"> </w:t>
      </w:r>
      <w:r>
        <w:t xml:space="preserve">through half-open tiers, and ages come from linear interpolation of a user age model.</w:t>
      </w:r>
    </w:p>
    <w:p>
      <w:pPr>
        <w:pStyle w:val="BodyText"/>
      </w:pPr>
      <w:r>
        <w:t xml:space="preserve">The web application adds four steps before the mask is final:</w:t>
      </w:r>
    </w:p>
    <w:p>
      <w:pPr>
        <w:numPr>
          <w:ilvl w:val="0"/>
          <w:numId w:val="1019"/>
        </w:numPr>
        <w:pStyle w:val="Compact"/>
      </w:pPr>
      <w:r>
        <w:t xml:space="preserve">image enhancement: levels, gamma, contrast, saturation, histogram equalisation and unsharp-mask</w:t>
      </w:r>
      <w:r>
        <w:t xml:space="preserve"> </w:t>
      </w:r>
      <w:r>
        <w:t xml:space="preserve">local contrast;</w:t>
      </w:r>
    </w:p>
    <w:p>
      <w:pPr>
        <w:numPr>
          <w:ilvl w:val="0"/>
          <w:numId w:val="1019"/>
        </w:numPr>
        <w:pStyle w:val="Compact"/>
      </w:pPr>
      <w:r>
        <w:t xml:space="preserve">candidate detection: adaptive mean-C thresholding, 3 × 3 morphological opening/closing and</w:t>
      </w:r>
      <w:r>
        <w:t xml:space="preserve"> </w:t>
      </w:r>
      <w:r>
        <w:t xml:space="preserve">8-connected components with a minimum size;</w:t>
      </w:r>
    </w:p>
    <w:p>
      <w:pPr>
        <w:numPr>
          <w:ilvl w:val="0"/>
          <w:numId w:val="1019"/>
        </w:numPr>
        <w:pStyle w:val="Compact"/>
      </w:pPr>
      <w:r>
        <w:t xml:space="preserve">interactive editing: colour region growing, brush, lasso and an exclusion layer;</w:t>
      </w:r>
    </w:p>
    <w:p>
      <w:pPr>
        <w:numPr>
          <w:ilvl w:val="0"/>
          <w:numId w:val="1019"/>
        </w:numPr>
        <w:pStyle w:val="Compact"/>
      </w:pPr>
      <w:r>
        <w:t xml:space="preserve">assisted ichnotaxon identification: a distance-weighted</w:t>
      </w:r>
      <w:r>
        <w:t xml:space="preserve"> </w:t>
      </w:r>
      <w:r>
        <w:rPr>
          <w:iCs/>
          <w:i/>
        </w:rPr>
        <w:t xml:space="preserve">k</w:t>
      </w:r>
      <w:r>
        <w:t xml:space="preserve">-nearest-neighbour classifier</w:t>
      </w:r>
      <w:r>
        <w:t xml:space="preserve"> </w:t>
      </w:r>
      <w:r>
        <w:t xml:space="preserve">(</w:t>
      </w:r>
      <w:r>
        <w:rPr>
          <w:iCs/>
          <w:i/>
        </w:rPr>
        <w:t xml:space="preserve">k</w:t>
      </w:r>
      <w:r>
        <w:t xml:space="preserve"> </w:t>
      </w:r>
      <w:r>
        <w:t xml:space="preserve">= 5) on twelve standardised shape, size (physical units) and colour descriptors, with a</w:t>
      </w:r>
      <w:r>
        <w:t xml:space="preserve"> </w:t>
      </w:r>
      <w:r>
        <w:t xml:space="preserve">confidence threshold, a novelty gate based on the leave-one-out nearest-neighbour distance and</w:t>
      </w:r>
      <w:r>
        <w:t xml:space="preserve"> </w:t>
      </w:r>
      <w:r>
        <w:t xml:space="preserve">exportable models.</w:t>
      </w:r>
    </w:p>
    <w:p>
      <w:pPr>
        <w:pStyle w:val="FirstParagraph"/>
      </w:pPr>
      <w:r>
        <w:t xml:space="preserve">All computations are deterministic. Project files store the original image and every parameter.</w:t>
      </w:r>
      <w:r>
        <w:t xml:space="preserve"> </w:t>
      </w:r>
      <w:r>
        <w:t xml:space="preserve">A full technical reference, with formulas and default values, is distributed with the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</w:t>
      </w:r>
      <w:r>
        <w:t xml:space="preserve">).</w:t>
      </w:r>
    </w:p>
    <w:p>
      <w:pPr>
        <w:pStyle w:val="BodyText"/>
      </w:pPr>
      <w:r>
        <w:t xml:space="preserve">[TODO: figure — example core, mask and output curves (</w:t>
      </w:r>
      <w:r>
        <w:rPr>
          <w:rStyle w:val="VerbatimChar"/>
        </w:rPr>
        <w:t xml:space="preserve">examples/</w:t>
      </w:r>
      <w:r>
        <w:t xml:space="preserve">).]</w:t>
      </w:r>
    </w:p>
    <w:bookmarkEnd w:id="59"/>
    <w:bookmarkStart w:id="60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[TODO]</w:t>
      </w:r>
    </w:p>
    <w:bookmarkEnd w:id="60"/>
    <w:bookmarkStart w:id="61" w:name="references"/>
    <w:p>
      <w:pPr>
        <w:pStyle w:val="Heading2"/>
      </w:pPr>
      <w:r>
        <w:t xml:space="preserve">References</w:t>
      </w:r>
    </w:p>
    <w:bookmarkEnd w:id="61"/>
    <w:bookmarkEnd w:id="62"/>
    <w:bookmarkStart w:id="68" w:name="borrador-2-dataset-y-segmentación"/>
    <w:p>
      <w:pPr>
        <w:pStyle w:val="Heading1"/>
      </w:pPr>
      <w:r>
        <w:t xml:space="preserve">Borrador 2 — Dataset y segmentación</w:t>
      </w:r>
    </w:p>
    <w:bookmarkStart w:id="67" w:name="X3a5e4b6a686cd2a865c9189bbfe5a42311e45e4"/>
    <w:p>
      <w:pPr>
        <w:pStyle w:val="Heading2"/>
      </w:pPr>
      <w:r>
        <w:t xml:space="preserve">Paper 2 — Open annotated dataset and automatic segmentation of bioturbation in core images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Earth System Science Data (data focus) or Computers &amp; Geosciences / AI in</w:t>
      </w:r>
      <w:r>
        <w:t xml:space="preserve"> </w:t>
      </w:r>
      <w:r>
        <w:t xml:space="preserve">Geosciences (method focus). Decide once the dataset size and model results are known.</w:t>
      </w:r>
    </w:p>
    <w:bookmarkStart w:id="63" w:name="working-title"/>
    <w:p>
      <w:pPr>
        <w:pStyle w:val="Heading3"/>
      </w:pPr>
      <w:r>
        <w:t xml:space="preserve">Working title</w:t>
      </w:r>
    </w:p>
    <w:p>
      <w:pPr>
        <w:pStyle w:val="FirstParagraph"/>
      </w:pPr>
      <w:r>
        <w:t xml:space="preserve">An open, annotated dataset of sediment-core images for automatic segmentation of</w:t>
      </w:r>
      <w:r>
        <w:t xml:space="preserve"> </w:t>
      </w:r>
      <w:r>
        <w:t xml:space="preserve">bioturbation and ichnotaxa [TODO]</w:t>
      </w:r>
    </w:p>
    <w:bookmarkEnd w:id="63"/>
    <w:bookmarkStart w:id="64" w:name="provisional-abstract"/>
    <w:p>
      <w:pPr>
        <w:pStyle w:val="Heading3"/>
      </w:pPr>
      <w:r>
        <w:t xml:space="preserve">Provisional abstract</w:t>
      </w:r>
    </w:p>
    <w:p>
      <w:pPr>
        <w:pStyle w:val="FirstParagraph"/>
      </w:pPr>
      <w:r>
        <w:t xml:space="preserve">Quantifying bioturbation in cores still depends on manual selection of trace fossils on</w:t>
      </w:r>
      <w:r>
        <w:t xml:space="preserve"> </w:t>
      </w:r>
      <w:r>
        <w:t xml:space="preserve">images, the main bottleneck of image-based ichnofabric analysis. We present [N] core images</w:t>
      </w:r>
      <w:r>
        <w:t xml:space="preserve"> </w:t>
      </w:r>
      <w:r>
        <w:t xml:space="preserve">from [sites/expeditions] with expert masks of bioturbation [and ichnotaxa], and train</w:t>
      </w:r>
      <w:r>
        <w:t xml:space="preserve"> </w:t>
      </w:r>
      <w:r>
        <w:t xml:space="preserve">[model] to segment them automatically. Automatic masks are compared with expert masks and</w:t>
      </w:r>
      <w:r>
        <w:t xml:space="preserve"> </w:t>
      </w:r>
      <w:r>
        <w:t xml:space="preserve">with visual BI/ii estimates. Data, code (IchAnTool) and trained models are openly released.</w:t>
      </w:r>
      <w:r>
        <w:t xml:space="preserve"> </w:t>
      </w:r>
      <w:r>
        <w:t xml:space="preserve">[TODO: results]</w:t>
      </w:r>
    </w:p>
    <w:bookmarkEnd w:id="64"/>
    <w:bookmarkStart w:id="65" w:name="outline"/>
    <w:p>
      <w:pPr>
        <w:pStyle w:val="Heading3"/>
      </w:pPr>
      <w:r>
        <w:t xml:space="preserve">Outline</w:t>
      </w:r>
    </w:p>
    <w:p>
      <w:pPr>
        <w:numPr>
          <w:ilvl w:val="0"/>
          <w:numId w:val="1020"/>
        </w:numPr>
        <w:pStyle w:val="Compact"/>
      </w:pPr>
      <w:r>
        <w:t xml:space="preserve">Introduction — subjectivity and cost of manual selection; image treatment state of the art.</w:t>
      </w:r>
    </w:p>
    <w:p>
      <w:pPr>
        <w:numPr>
          <w:ilvl w:val="0"/>
          <w:numId w:val="1020"/>
        </w:numPr>
        <w:pStyle w:val="Compact"/>
      </w:pPr>
      <w:r>
        <w:t xml:space="preserve">Related work — recent deep-learning approaches to bioturbation [TODO: review, incl.</w:t>
      </w:r>
      <w:r>
        <w:t xml:space="preserve"> </w:t>
      </w:r>
      <w:r>
        <w:t xml:space="preserve">Applied Sciences 11(16):7736 (2021) and patent US12142024; verify authors].</w:t>
      </w:r>
    </w:p>
    <w:p>
      <w:pPr>
        <w:numPr>
          <w:ilvl w:val="0"/>
          <w:numId w:val="1020"/>
        </w:numPr>
        <w:pStyle w:val="Compact"/>
      </w:pPr>
      <w:r>
        <w:t xml:space="preserve">Data — sources (ODP/IODP, UGR collections), resolution, licences, annotation protocol,</w:t>
      </w:r>
      <w:r>
        <w:t xml:space="preserve"> </w:t>
      </w:r>
      <w:r>
        <w:t xml:space="preserve">inter-annotator agreement.</w:t>
      </w:r>
    </w:p>
    <w:p>
      <w:pPr>
        <w:numPr>
          <w:ilvl w:val="0"/>
          <w:numId w:val="1020"/>
        </w:numPr>
        <w:pStyle w:val="Compact"/>
      </w:pPr>
      <w:r>
        <w:t xml:space="preserve">Methods — annotation tool, model, training/validation split by core (not by tile).</w:t>
      </w:r>
    </w:p>
    <w:p>
      <w:pPr>
        <w:numPr>
          <w:ilvl w:val="0"/>
          <w:numId w:val="1020"/>
        </w:numPr>
        <w:pStyle w:val="Compact"/>
      </w:pPr>
      <w:r>
        <w:t xml:space="preserve">Results — IoU/F1, percentage error per bin, BI/ii agreement.</w:t>
      </w:r>
    </w:p>
    <w:p>
      <w:pPr>
        <w:numPr>
          <w:ilvl w:val="0"/>
          <w:numId w:val="1020"/>
        </w:numPr>
        <w:pStyle w:val="Compact"/>
      </w:pPr>
      <w:r>
        <w:t xml:space="preserve">Usage — integration with IchAnTool (</w:t>
      </w:r>
      <w:r>
        <w:rPr>
          <w:rStyle w:val="VerbatimChar"/>
        </w:rPr>
        <w:t xml:space="preserve">segmentation</w:t>
      </w:r>
      <w:r>
        <w:t xml:space="preserve"> </w:t>
      </w:r>
      <w:r>
        <w:t xml:space="preserve">module).</w:t>
      </w:r>
    </w:p>
    <w:p>
      <w:pPr>
        <w:numPr>
          <w:ilvl w:val="0"/>
          <w:numId w:val="1020"/>
        </w:numPr>
        <w:pStyle w:val="Compact"/>
      </w:pPr>
      <w:r>
        <w:t xml:space="preserve">Data availability — Zenodo/PANGAEA DOI.</w:t>
      </w:r>
    </w:p>
    <w:bookmarkEnd w:id="65"/>
    <w:bookmarkStart w:id="66" w:name="needs"/>
    <w:p>
      <w:pPr>
        <w:pStyle w:val="Heading3"/>
      </w:pPr>
      <w:r>
        <w:t xml:space="preserve">Needs</w:t>
      </w:r>
    </w:p>
    <w:p>
      <w:pPr>
        <w:numPr>
          <w:ilvl w:val="0"/>
          <w:numId w:val="1021"/>
        </w:numPr>
        <w:pStyle w:val="Compact"/>
      </w:pPr>
      <w:r>
        <w:t xml:space="preserve">☐ Permission and licence for the images (IODP images are public; UGR treated images: ask).</w:t>
      </w:r>
    </w:p>
    <w:p>
      <w:pPr>
        <w:numPr>
          <w:ilvl w:val="0"/>
          <w:numId w:val="1021"/>
        </w:numPr>
        <w:pStyle w:val="Compact"/>
      </w:pPr>
      <w:r>
        <w:t xml:space="preserve">☐ Annotation by ≥2 experts on a subset to measure agreement.</w:t>
      </w:r>
    </w:p>
    <w:p>
      <w:pPr>
        <w:numPr>
          <w:ilvl w:val="0"/>
          <w:numId w:val="1021"/>
        </w:numPr>
        <w:pStyle w:val="Compact"/>
      </w:pPr>
      <w:r>
        <w:t xml:space="preserve">☐ GPU for training (a single consumer GPU is enough for a U-Net).</w:t>
      </w:r>
    </w:p>
    <w:bookmarkEnd w:id="66"/>
    <w:bookmarkEnd w:id="67"/>
    <w:bookmarkEnd w:id="68"/>
    <w:bookmarkStart w:id="74" w:name="borrador-3-validación-y-aplicación"/>
    <w:p>
      <w:pPr>
        <w:pStyle w:val="Heading1"/>
      </w:pPr>
      <w:r>
        <w:t xml:space="preserve">Borrador 3 — Validación y aplicación</w:t>
      </w:r>
    </w:p>
    <w:bookmarkStart w:id="73" w:name="X103de65bfd65c32c658e717a25ae2c7ee5db2b3"/>
    <w:p>
      <w:pPr>
        <w:pStyle w:val="Heading2"/>
      </w:pPr>
      <w:r>
        <w:t xml:space="preserve">Paper 3 — Validation and palaeoenvironmental application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Palaeogeography, Palaeoclimatology, Palaeoecology. Alternatives: Ichnos, Marine</w:t>
      </w:r>
      <w:r>
        <w:t xml:space="preserve"> </w:t>
      </w:r>
      <w:r>
        <w:t xml:space="preserve">Geology, Sedimentary Geology.</w:t>
      </w:r>
    </w:p>
    <w:bookmarkStart w:id="69" w:name="working-title-1"/>
    <w:p>
      <w:pPr>
        <w:pStyle w:val="Heading3"/>
      </w:pPr>
      <w:r>
        <w:t xml:space="preserve">Working title</w:t>
      </w:r>
    </w:p>
    <w:p>
      <w:pPr>
        <w:pStyle w:val="FirstParagraph"/>
      </w:pPr>
      <w:r>
        <w:t xml:space="preserve">Continuous, objective bioturbation records from core images: validation against visual</w:t>
      </w:r>
      <w:r>
        <w:t xml:space="preserve"> </w:t>
      </w:r>
      <w:r>
        <w:t xml:space="preserve">indices and application to [region/period] [TODO]</w:t>
      </w:r>
    </w:p>
    <w:bookmarkEnd w:id="69"/>
    <w:bookmarkStart w:id="70" w:name="idea"/>
    <w:p>
      <w:pPr>
        <w:pStyle w:val="Heading3"/>
      </w:pPr>
      <w:r>
        <w:t xml:space="preserve">Idea</w:t>
      </w:r>
    </w:p>
    <w:p>
      <w:pPr>
        <w:numPr>
          <w:ilvl w:val="0"/>
          <w:numId w:val="1022"/>
        </w:numPr>
        <w:pStyle w:val="Compact"/>
      </w:pPr>
      <w:r>
        <w:t xml:space="preserve">Validation: compare IchAnTool percentages with blind visual BI/ii estimates by several</w:t>
      </w:r>
      <w:r>
        <w:t xml:space="preserve"> </w:t>
      </w:r>
      <w:r>
        <w:t xml:space="preserve">ichnologists on the same intervals; quantify subjectivity and bias of visual schemes.</w:t>
      </w:r>
    </w:p>
    <w:p>
      <w:pPr>
        <w:numPr>
          <w:ilvl w:val="0"/>
          <w:numId w:val="1022"/>
        </w:numPr>
        <w:pStyle w:val="Compact"/>
      </w:pPr>
      <w:r>
        <w:t xml:space="preserve">Application: continuous bioturbation and per-ichnotaxon records along long cores,</w:t>
      </w:r>
      <w:r>
        <w:t xml:space="preserve"> </w:t>
      </w:r>
      <w:r>
        <w:t xml:space="preserve">correlated with geochemical/redox and SST proxies (e.g. Western Mediterranean during the</w:t>
      </w:r>
      <w:r>
        <w:t xml:space="preserve"> </w:t>
      </w:r>
      <w:r>
        <w:t xml:space="preserve">Last Glacial Cycle; extends the ODP 977 example of Casanova-Arenillas et al., 2020).</w:t>
      </w:r>
    </w:p>
    <w:bookmarkEnd w:id="70"/>
    <w:bookmarkStart w:id="71" w:name="outline-1"/>
    <w:p>
      <w:pPr>
        <w:pStyle w:val="Heading3"/>
      </w:pPr>
      <w:r>
        <w:t xml:space="preserve">Outline</w:t>
      </w:r>
    </w:p>
    <w:p>
      <w:pPr>
        <w:numPr>
          <w:ilvl w:val="0"/>
          <w:numId w:val="1023"/>
        </w:numPr>
        <w:pStyle w:val="Compact"/>
      </w:pPr>
      <w:r>
        <w:t xml:space="preserve">Introduction</w:t>
      </w:r>
    </w:p>
    <w:p>
      <w:pPr>
        <w:numPr>
          <w:ilvl w:val="0"/>
          <w:numId w:val="1023"/>
        </w:numPr>
        <w:pStyle w:val="Compact"/>
      </w:pPr>
      <w:r>
        <w:t xml:space="preserve">Material — cores, images, age models, proxy data</w:t>
      </w:r>
    </w:p>
    <w:p>
      <w:pPr>
        <w:numPr>
          <w:ilvl w:val="0"/>
          <w:numId w:val="1023"/>
        </w:numPr>
        <w:pStyle w:val="Compact"/>
      </w:pPr>
      <w:r>
        <w:t xml:space="preserve">Methods — IchAnTool workflow, observer experiment, statistics</w:t>
      </w:r>
    </w:p>
    <w:p>
      <w:pPr>
        <w:numPr>
          <w:ilvl w:val="0"/>
          <w:numId w:val="1023"/>
        </w:numPr>
        <w:pStyle w:val="Compact"/>
      </w:pPr>
      <w:r>
        <w:t xml:space="preserve">Results — agreement and bias; continuous records</w:t>
      </w:r>
    </w:p>
    <w:p>
      <w:pPr>
        <w:numPr>
          <w:ilvl w:val="0"/>
          <w:numId w:val="1023"/>
        </w:numPr>
        <w:pStyle w:val="Compact"/>
      </w:pPr>
      <w:r>
        <w:t xml:space="preserve">Discussion — what continuous records reveal that discrete estimates miss</w:t>
      </w:r>
    </w:p>
    <w:p>
      <w:pPr>
        <w:numPr>
          <w:ilvl w:val="0"/>
          <w:numId w:val="1023"/>
        </w:numPr>
        <w:pStyle w:val="Compact"/>
      </w:pPr>
      <w:r>
        <w:t xml:space="preserve">Conclusions</w:t>
      </w:r>
    </w:p>
    <w:bookmarkEnd w:id="71"/>
    <w:bookmarkStart w:id="72" w:name="needs-1"/>
    <w:p>
      <w:pPr>
        <w:pStyle w:val="Heading3"/>
      </w:pPr>
      <w:r>
        <w:t xml:space="preserve">Needs</w:t>
      </w:r>
    </w:p>
    <w:p>
      <w:pPr>
        <w:numPr>
          <w:ilvl w:val="0"/>
          <w:numId w:val="1024"/>
        </w:numPr>
        <w:pStyle w:val="Compact"/>
      </w:pPr>
      <w:r>
        <w:t xml:space="preserve">☐ Choose cores with good images and existing proxy data (thesis material).</w:t>
      </w:r>
    </w:p>
    <w:p>
      <w:pPr>
        <w:numPr>
          <w:ilvl w:val="0"/>
          <w:numId w:val="1024"/>
        </w:numPr>
        <w:pStyle w:val="Compact"/>
      </w:pPr>
      <w:r>
        <w:t xml:space="preserve">☐ Recruit 3–5 observers for the blind test.</w:t>
      </w:r>
    </w:p>
    <w:bookmarkEnd w:id="72"/>
    <w:bookmarkEnd w:id="73"/>
    <w:bookmarkEnd w:id="74"/>
    <w:bookmarkStart w:id="80" w:name="borrador-4-clasificación-multiproxy"/>
    <w:p>
      <w:pPr>
        <w:pStyle w:val="Heading1"/>
      </w:pPr>
      <w:r>
        <w:t xml:space="preserve">Borrador 4 — Clasificación multiproxy</w:t>
      </w:r>
    </w:p>
    <w:bookmarkStart w:id="79" w:name="X0cb5dec5381e5a259b6d82abf28ed39a74937e2"/>
    <w:p>
      <w:pPr>
        <w:pStyle w:val="Heading2"/>
      </w:pPr>
      <w:r>
        <w:t xml:space="preserve">Paper 4 — Automatic classification of core intervals from multiproxy records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Computers &amp; Geosciences. Alternatives: Artificial Intelligence in Geosciences, Applied Computing and</w:t>
      </w:r>
      <w:r>
        <w:t xml:space="preserve"> </w:t>
      </w:r>
      <w:r>
        <w:t xml:space="preserve">Geosciences; Marine Geology if the emphasis is the palaeoceanographic result.</w:t>
      </w:r>
    </w:p>
    <w:bookmarkStart w:id="75" w:name="working-title-2"/>
    <w:p>
      <w:pPr>
        <w:pStyle w:val="Heading3"/>
      </w:pPr>
      <w:r>
        <w:t xml:space="preserve">Working title</w:t>
      </w:r>
    </w:p>
    <w:p>
      <w:pPr>
        <w:pStyle w:val="FirstParagraph"/>
      </w:pPr>
      <w:r>
        <w:t xml:space="preserve">Reproducible classification of core intervals (sapropels, organic-rich layers, turbidites…) from multiproxy records</w:t>
      </w:r>
      <w:r>
        <w:t xml:space="preserve"> </w:t>
      </w:r>
      <w:r>
        <w:t xml:space="preserve">with user-defined machine-learning classifiers [TODO]</w:t>
      </w:r>
    </w:p>
    <w:bookmarkEnd w:id="75"/>
    <w:bookmarkStart w:id="76" w:name="provisional-abstract-1"/>
    <w:p>
      <w:pPr>
        <w:pStyle w:val="Heading3"/>
      </w:pPr>
      <w:r>
        <w:t xml:space="preserve">Provisional abstract</w:t>
      </w:r>
    </w:p>
    <w:p>
      <w:pPr>
        <w:pStyle w:val="FirstParagraph"/>
      </w:pPr>
      <w:r>
        <w:t xml:space="preserve">Interval interpretation in cores (e.g. low-oxygen events, detrital pulses, climate stages) is done by experts core by</w:t>
      </w:r>
      <w:r>
        <w:t xml:space="preserve"> </w:t>
      </w:r>
      <w:r>
        <w:t xml:space="preserve">core and is hard to reproduce across many cores and laboratories. We present a workflow in CorAnTool in which experts</w:t>
      </w:r>
      <w:r>
        <w:t xml:space="preserve"> </w:t>
      </w:r>
      <w:r>
        <w:t xml:space="preserve">define families of intervals and their classes, label some cores, and train classifiers (random forest, multilayer</w:t>
      </w:r>
      <w:r>
        <w:t xml:space="preserve"> </w:t>
      </w:r>
      <w:r>
        <w:t xml:space="preserve">perceptron, k-nearest neighbours, naive Bayes) on resampled multiproxy records (XRF, foraminifera, TOC, colour,</w:t>
      </w:r>
      <w:r>
        <w:t xml:space="preserve"> </w:t>
      </w:r>
      <w:r>
        <w:t xml:space="preserve">bioturbation). Models are validated leaving whole cores out and tested on [N] cores withheld from model selection.</w:t>
      </w:r>
      <w:r>
        <w:t xml:space="preserve"> </w:t>
      </w:r>
      <w:r>
        <w:t xml:space="preserve">[TODO: results — balanced accuracy per family, per class F1, transfer between basins, effect of adding ichnology.]</w:t>
      </w:r>
    </w:p>
    <w:bookmarkEnd w:id="76"/>
    <w:bookmarkStart w:id="77" w:name="outline-2"/>
    <w:p>
      <w:pPr>
        <w:pStyle w:val="Heading3"/>
      </w:pPr>
      <w:r>
        <w:t xml:space="preserve">Outline</w:t>
      </w:r>
    </w:p>
    <w:p>
      <w:pPr>
        <w:numPr>
          <w:ilvl w:val="0"/>
          <w:numId w:val="1025"/>
        </w:numPr>
        <w:pStyle w:val="Compact"/>
      </w:pPr>
      <w:r>
        <w:t xml:space="preserve">Introduction — expert interval interpretation; reproducibility across cores; prior ML in core logging [TODO review].</w:t>
      </w:r>
    </w:p>
    <w:p>
      <w:pPr>
        <w:numPr>
          <w:ilvl w:val="0"/>
          <w:numId w:val="1025"/>
        </w:numPr>
        <w:pStyle w:val="Compact"/>
      </w:pPr>
      <w:r>
        <w:t xml:space="preserve">Data — cores, proxies, age models, described intervals (independent of the rules), harmonisation of variables.</w:t>
      </w:r>
    </w:p>
    <w:p>
      <w:pPr>
        <w:numPr>
          <w:ilvl w:val="0"/>
          <w:numId w:val="1025"/>
        </w:numPr>
        <w:pStyle w:val="Compact"/>
      </w:pPr>
      <w:r>
        <w:t xml:space="preserve">Methods — resampling and scaling (§21.2); families and labels (§21.3); classifiers (§21.4–§21.4 ter); validation</w:t>
      </w:r>
      <w:r>
        <w:t xml:space="preserve"> </w:t>
      </w:r>
      <w:r>
        <w:t xml:space="preserve">leaving one core out (§21.5); held-out cores for the final test; permutation importance [TODO implement].</w:t>
      </w:r>
    </w:p>
    <w:p>
      <w:pPr>
        <w:numPr>
          <w:ilvl w:val="0"/>
          <w:numId w:val="1025"/>
        </w:numPr>
        <w:pStyle w:val="Compact"/>
      </w:pPr>
      <w:r>
        <w:t xml:space="preserve">Results — comparison of models and inputs; maps by age window (§21.6) as illustration only.</w:t>
      </w:r>
    </w:p>
    <w:p>
      <w:pPr>
        <w:numPr>
          <w:ilvl w:val="0"/>
          <w:numId w:val="1025"/>
        </w:numPr>
        <w:pStyle w:val="Compact"/>
      </w:pPr>
      <w:r>
        <w:t xml:space="preserve">Discussion — transfer between cores with different scanners; leakage between families; limits.</w:t>
      </w:r>
    </w:p>
    <w:p>
      <w:pPr>
        <w:numPr>
          <w:ilvl w:val="0"/>
          <w:numId w:val="1025"/>
        </w:numPr>
        <w:pStyle w:val="Compact"/>
      </w:pPr>
      <w:r>
        <w:t xml:space="preserve">Software and data availability — CorAnTool release (DOI), project files as supplementary material.</w:t>
      </w:r>
    </w:p>
    <w:bookmarkEnd w:id="77"/>
    <w:bookmarkStart w:id="78" w:name="needs-2"/>
    <w:p>
      <w:pPr>
        <w:pStyle w:val="Heading3"/>
      </w:pPr>
      <w:r>
        <w:t xml:space="preserve">Needs</w:t>
      </w:r>
    </w:p>
    <w:p>
      <w:pPr>
        <w:numPr>
          <w:ilvl w:val="0"/>
          <w:numId w:val="1026"/>
        </w:numPr>
        <w:pStyle w:val="Compact"/>
      </w:pPr>
      <w:r>
        <w:t xml:space="preserve">☐ Cores with independently described events (published sapropels/ORL, turbidites) not used to define rules.</w:t>
      </w:r>
    </w:p>
    <w:p>
      <w:pPr>
        <w:numPr>
          <w:ilvl w:val="0"/>
          <w:numId w:val="1026"/>
        </w:numPr>
        <w:pStyle w:val="Compact"/>
      </w:pPr>
      <w:r>
        <w:t xml:space="preserve">☐ Harmonised variable set across cores (same XRF ratios or calibrated values).</w:t>
      </w:r>
    </w:p>
    <w:p>
      <w:pPr>
        <w:numPr>
          <w:ilvl w:val="0"/>
          <w:numId w:val="1026"/>
        </w:numPr>
        <w:pStyle w:val="Compact"/>
      </w:pPr>
      <w:r>
        <w:t xml:space="preserve">☐ Held-out cores option in the interface (to avoid model-selection bias).</w:t>
      </w:r>
    </w:p>
    <w:p>
      <w:pPr>
        <w:numPr>
          <w:ilvl w:val="0"/>
          <w:numId w:val="1026"/>
        </w:numPr>
        <w:pStyle w:val="Compact"/>
      </w:pPr>
      <w:r>
        <w:t xml:space="preserve">☐ Permutation importance (also valid for the neural network).</w:t>
      </w:r>
    </w:p>
    <w:bookmarkEnd w:id="78"/>
    <w:bookmarkEnd w:id="79"/>
    <w:bookmarkEnd w:id="80"/>
    <w:bookmarkStart w:id="86" w:name="borrador-5-nota-en-geogaceta"/>
    <w:p>
      <w:pPr>
        <w:pStyle w:val="Heading1"/>
      </w:pPr>
      <w:r>
        <w:t xml:space="preserve">Borrador 5 — Nota en Geogaceta</w:t>
      </w:r>
    </w:p>
    <w:bookmarkStart w:id="85" w:name="X8253ef0530567856427b3303182e82000375b95"/>
    <w:p>
      <w:pPr>
        <w:pStyle w:val="Heading2"/>
      </w:pPr>
      <w:r>
        <w:t xml:space="preserve">Artículo 5 — Nota breve: CorAnTool, una herramienta abierta para el análisis de sondeos</w:t>
      </w:r>
    </w:p>
    <w:p>
      <w:pPr>
        <w:pStyle w:val="FirstParagraph"/>
      </w:pPr>
      <w:r>
        <w:rPr>
          <w:bCs/>
          <w:b/>
        </w:rPr>
        <w:t xml:space="preserve">Revista:</w:t>
      </w:r>
      <w:r>
        <w:t xml:space="preserve"> </w:t>
      </w:r>
      <w:r>
        <w:t xml:space="preserve">Geogaceta (Sociedad Geológica de España). Alternativa: Spanish Journal of Palaeontology.</w:t>
      </w:r>
    </w:p>
    <w:bookmarkStart w:id="81" w:name="título-provisional"/>
    <w:p>
      <w:pPr>
        <w:pStyle w:val="Heading3"/>
      </w:pPr>
      <w:r>
        <w:t xml:space="preserve">Título provisional</w:t>
      </w:r>
    </w:p>
    <w:p>
      <w:pPr>
        <w:pStyle w:val="FirstParagraph"/>
      </w:pPr>
      <w:r>
        <w:t xml:space="preserve">CorAnTool: una herramienta abierta para cuantificar la bioturbación e integrar datos multiproxy en sondeos [TODO]</w:t>
      </w:r>
    </w:p>
    <w:bookmarkEnd w:id="81"/>
    <w:bookmarkStart w:id="82" w:name="idea-1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Presentar el programa a la comunidad española con un ejemplo reproducible sobre datos públicos (IODP U1385I-1H,</w:t>
      </w:r>
      <w:r>
        <w:t xml:space="preserve"> </w:t>
      </w:r>
      <w:r>
        <w:t xml:space="preserve">margen ibérico) y el proyecto de entrenamiento: imagen tratada → porcentaje de bioturbación, BI e ii → columna</w:t>
      </w:r>
      <w:r>
        <w:t xml:space="preserve"> </w:t>
      </w:r>
      <w:r>
        <w:t xml:space="preserve">compuesta con registros geoquímicos → familias de intervalos y clasificación → mapa por edad.</w:t>
      </w:r>
    </w:p>
    <w:bookmarkEnd w:id="82"/>
    <w:bookmarkStart w:id="83" w:name="esquema"/>
    <w:p>
      <w:pPr>
        <w:pStyle w:val="Heading3"/>
      </w:pPr>
      <w:r>
        <w:t xml:space="preserve">Esquema</w:t>
      </w:r>
    </w:p>
    <w:p>
      <w:pPr>
        <w:numPr>
          <w:ilvl w:val="0"/>
          <w:numId w:val="1027"/>
        </w:numPr>
        <w:pStyle w:val="Compact"/>
      </w:pPr>
      <w:r>
        <w:t xml:space="preserve">Introducción: subjetividad de los índices visuales y falta de herramientas abiertas que integren imagen y datos.</w:t>
      </w:r>
    </w:p>
    <w:p>
      <w:pPr>
        <w:numPr>
          <w:ilvl w:val="0"/>
          <w:numId w:val="1027"/>
        </w:numPr>
        <w:pStyle w:val="Compact"/>
      </w:pPr>
      <w:r>
        <w:t xml:space="preserve">La herramienta: flujo, formatos, reproducibilidad (proyecto guardado, semilla), aplicación web sin instalación.</w:t>
      </w:r>
    </w:p>
    <w:p>
      <w:pPr>
        <w:numPr>
          <w:ilvl w:val="0"/>
          <w:numId w:val="1027"/>
        </w:numPr>
        <w:pStyle w:val="Compact"/>
      </w:pPr>
      <w:r>
        <w:t xml:space="preserve">Ejemplo con datos públicos (figura única con tres paneles).</w:t>
      </w:r>
    </w:p>
    <w:p>
      <w:pPr>
        <w:numPr>
          <w:ilvl w:val="0"/>
          <w:numId w:val="1027"/>
        </w:numPr>
        <w:pStyle w:val="Compact"/>
      </w:pPr>
      <w:r>
        <w:t xml:space="preserve">Disponibilidad: código, DOI, licencia, aplicación en línea.</w:t>
      </w:r>
    </w:p>
    <w:bookmarkEnd w:id="83"/>
    <w:bookmarkStart w:id="84" w:name="pendiente"/>
    <w:p>
      <w:pPr>
        <w:pStyle w:val="Heading3"/>
      </w:pPr>
      <w:r>
        <w:t xml:space="preserve">Pendiente</w:t>
      </w:r>
    </w:p>
    <w:p>
      <w:pPr>
        <w:numPr>
          <w:ilvl w:val="0"/>
          <w:numId w:val="1028"/>
        </w:numPr>
        <w:pStyle w:val="Compact"/>
      </w:pPr>
      <w:r>
        <w:t xml:space="preserve">☐ Normas de extensión y formato de la revista.</w:t>
      </w:r>
    </w:p>
    <w:p>
      <w:pPr>
        <w:numPr>
          <w:ilvl w:val="0"/>
          <w:numId w:val="1028"/>
        </w:numPr>
        <w:pStyle w:val="Compact"/>
      </w:pPr>
      <w:r>
        <w:t xml:space="preserve">☐ Figura y aplicación publicada en GitHub Pages.</w:t>
      </w:r>
    </w:p>
    <w:bookmarkEnd w:id="84"/>
    <w:bookmarkEnd w:id="85"/>
    <w:bookmarkEnd w:id="86"/>
    <w:bookmarkStart w:id="100" w:name="revistas-candidatas"/>
    <w:p>
      <w:pPr>
        <w:pStyle w:val="Heading1"/>
      </w:pPr>
      <w:r>
        <w:t xml:space="preserve">Revistas candidatas</w:t>
      </w:r>
    </w:p>
    <w:p>
      <w:pPr>
        <w:pStyle w:val="FirstParagraph"/>
      </w:pPr>
      <w:r>
        <w:t xml:space="preserve">No se incluyen factores de impacto ni APC: cambian cada año. Verificar en la web de cada</w:t>
      </w:r>
      <w:r>
        <w:t xml:space="preserve"> </w:t>
      </w:r>
      <w:r>
        <w:t xml:space="preserve">revista antes de enviar.</w:t>
      </w:r>
    </w:p>
    <w:bookmarkStart w:id="87" w:name="software-y-métodos-computacionales"/>
    <w:p>
      <w:pPr>
        <w:pStyle w:val="Heading2"/>
      </w:pPr>
      <w:r>
        <w:t xml:space="preserve">Software y métodos computacionales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2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 of Open Source Software (JOSS)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Journals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Abierto, sin coste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Artículo corto + revisión del código en GitHub. Ideal para IchAnTool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Computers &amp; Geosciences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se publicó la v2.1 (2020). Bueno para un método nuevo (segmentación automática).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Applied Computing and Geosciences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Revista hermana de C&amp;G, orientada a aplicaciones y software.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 Intelligence in Geosciences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Encaje directo si el aporte principal es el modelo de deep learning.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Geoscientific Instrumentation, Methods and Data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 y sistemas de datos; alternativa a C&amp;G.</w:t>
            </w:r>
          </w:p>
        </w:tc>
      </w:tr>
    </w:tbl>
    <w:bookmarkEnd w:id="87"/>
    <w:bookmarkStart w:id="88" w:name="datos"/>
    <w:p>
      <w:pPr>
        <w:pStyle w:val="Heading2"/>
      </w:pPr>
      <w:r>
        <w:t xml:space="preserve">Datos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2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Earth System Science Data (ESSD)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anotado de imágenes de testigos y máscaras de bioturbación.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Springer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descriptor; alta visibilidad fuera de geología.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Geoscience Data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Alternativa para datasets geocientíficos.</w:t>
            </w:r>
          </w:p>
        </w:tc>
      </w:tr>
    </w:tbl>
    <w:bookmarkEnd w:id="88"/>
    <w:bookmarkStart w:id="89" w:name="icnología-sedimentología-y-paleoambiente"/>
    <w:p>
      <w:pPr>
        <w:pStyle w:val="Heading2"/>
      </w:pPr>
      <w:r>
        <w:t xml:space="preserve">Icnología, sedimentología y paleoambiente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420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Taylor &amp; Francis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Revista de referencia en icnología; validación frente a BI/ii visual.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Palaeogeography, Palaeoclimatology, Palaeoecology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paleoambiental (p. ej. Último Ciclo Glacial en el Mediterráneo).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Marine Geology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 en testigos marinos (IODP/ODP).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Sedimentary Geology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Enfoque sedimentológico/icnofábrica.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Palaios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Paleoecología e icnología.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Lethaia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Scandinavian University 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Paleontología e icnología.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Marine and Petroleum Geology / AAPG Bulletin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 / AAPG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Híbrido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 orienta a reservorios y caracterización de testigos en industria.</w:t>
            </w:r>
          </w:p>
        </w:tc>
      </w:tr>
    </w:tbl>
    <w:bookmarkEnd w:id="89"/>
    <w:bookmarkStart w:id="90" w:name="divulgación-técnica-en-español"/>
    <w:p>
      <w:pPr>
        <w:pStyle w:val="Heading2"/>
      </w:pPr>
      <w:r>
        <w:t xml:space="preserve">Divulgación técnica en español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45"/>
        <w:gridCol w:w="3111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Geogaceta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Sociedad Geológica de España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corta presentando la herramienta a la comunidad española.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Spanish Journal of Palaeontology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Sociedad Española de Paleontología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Aplicaciones icnológicas.</w:t>
            </w:r>
          </w:p>
        </w:tc>
      </w:tr>
    </w:tbl>
    <w:bookmarkEnd w:id="90"/>
    <w:bookmarkStart w:id="99" w:name="criterios-para-elegir"/>
    <w:p>
      <w:pPr>
        <w:pStyle w:val="Heading2"/>
      </w:pPr>
      <w:r>
        <w:t xml:space="preserve">Criterios para elegir</w:t>
      </w:r>
    </w:p>
    <w:p>
      <w:pPr>
        <w:numPr>
          <w:ilvl w:val="0"/>
          <w:numId w:val="1029"/>
        </w:numPr>
        <w:pStyle w:val="Compact"/>
      </w:pPr>
      <w:r>
        <w:t xml:space="preserve">¿El aporte es el software, los datos, el método o la interpretación geológica? Eso decide la familia de revistas.</w:t>
      </w:r>
    </w:p>
    <w:p>
      <w:pPr>
        <w:numPr>
          <w:ilvl w:val="0"/>
          <w:numId w:val="1029"/>
        </w:numPr>
        <w:pStyle w:val="Compact"/>
      </w:pPr>
      <w:r>
        <w:t xml:space="preserve">Acceso abierto: aumenta adopción de la herramienta; JOSS y Copernicus no cobran o cobran poco.</w:t>
      </w:r>
    </w:p>
    <w:p>
      <w:pPr>
        <w:numPr>
          <w:ilvl w:val="0"/>
          <w:numId w:val="1029"/>
        </w:numPr>
        <w:pStyle w:val="Compact"/>
      </w:pPr>
      <w:r>
        <w:t xml:space="preserve">Plazo: JOSS y las revistas de datos suelen ser más rápidas que las de paleoambiente.</w:t>
      </w:r>
    </w:p>
    <w:bookmarkStart w:id="98" w:name="refs"/>
    <w:bookmarkStart w:id="92" w:name="ref-casanova2020"/>
    <w:p>
      <w:pPr>
        <w:pStyle w:val="Bibliography"/>
      </w:pPr>
      <w:r>
        <w:t xml:space="preserve">Casanova-Arenillas, Santiago, Francisco J. Rodríguez-Tovar, y Francisca Martínez-Ruiz. 2020.</w:t>
      </w:r>
      <w:r>
        <w:t xml:space="preserve"> </w:t>
      </w:r>
      <w:r>
        <w:t xml:space="preserve">«Applied ichnology in sedimentary geology: Python scripts as a method to automatize ichnofabric analysis in marine core images»</w:t>
      </w:r>
      <w:r>
        <w:t xml:space="preserve">.</w:t>
      </w:r>
      <w:r>
        <w:t xml:space="preserve"> </w:t>
      </w:r>
      <w:r>
        <w:rPr>
          <w:iCs/>
          <w:i/>
        </w:rPr>
        <w:t xml:space="preserve">Computers &amp; Geosciences</w:t>
      </w:r>
      <w:r>
        <w:t xml:space="preserve"> </w:t>
      </w:r>
      <w:r>
        <w:t xml:space="preserve">136: 104407.</w:t>
      </w:r>
      <w:r>
        <w:t xml:space="preserve"> </w:t>
      </w:r>
      <w:hyperlink r:id="rId91">
        <w:r>
          <w:rPr>
            <w:rStyle w:val="Hyperlink"/>
          </w:rPr>
          <w:t xml:space="preserve">https://doi.org/10.1016/j.cageo.2020.104407</w:t>
        </w:r>
      </w:hyperlink>
      <w:r>
        <w:t xml:space="preserve">.</w:t>
      </w:r>
    </w:p>
    <w:bookmarkEnd w:id="92"/>
    <w:bookmarkStart w:id="93" w:name="ref-dorador2014"/>
    <w:p>
      <w:pPr>
        <w:pStyle w:val="Bibliography"/>
      </w:pPr>
      <w:r>
        <w:t xml:space="preserve">Dorador, Javier, y Francisco J. Rodríguez-Tovar. 2014.</w:t>
      </w:r>
      <w:r>
        <w:t xml:space="preserve"> </w:t>
      </w:r>
      <w:r>
        <w:t xml:space="preserve">«Quantitative estimation of bioturbation based on digital image analysis»</w:t>
      </w:r>
      <w:r>
        <w:t xml:space="preserve">.</w:t>
      </w:r>
      <w:r>
        <w:t xml:space="preserve"> </w:t>
      </w:r>
      <w:r>
        <w:rPr>
          <w:iCs/>
          <w:i/>
        </w:rPr>
        <w:t xml:space="preserve">Marine Geology</w:t>
      </w:r>
      <w:r>
        <w:t xml:space="preserve"> </w:t>
      </w:r>
      <w:r>
        <w:t xml:space="preserve">349: 55-60.</w:t>
      </w:r>
    </w:p>
    <w:bookmarkEnd w:id="93"/>
    <w:bookmarkStart w:id="94" w:name="ref-dorador2018"/>
    <w:p>
      <w:pPr>
        <w:pStyle w:val="Bibliography"/>
      </w:pPr>
      <w:r>
        <w:t xml:space="preserve">———. 2018.</w:t>
      </w:r>
      <w:r>
        <w:t xml:space="preserve"> </w:t>
      </w:r>
      <w:r>
        <w:t xml:space="preserve">«High-resolution image treatment in ichnological core analysis: Initial steps, advances and prospects»</w:t>
      </w:r>
      <w:r>
        <w:t xml:space="preserve">.</w:t>
      </w:r>
      <w:r>
        <w:t xml:space="preserve"> </w:t>
      </w:r>
      <w:r>
        <w:rPr>
          <w:iCs/>
          <w:i/>
        </w:rPr>
        <w:t xml:space="preserve">Earth-Science Reviews</w:t>
      </w:r>
      <w:r>
        <w:t xml:space="preserve"> </w:t>
      </w:r>
      <w:r>
        <w:t xml:space="preserve">177: 226-37.</w:t>
      </w:r>
    </w:p>
    <w:bookmarkEnd w:id="94"/>
    <w:bookmarkStart w:id="95" w:name="ref-droser1986"/>
    <w:p>
      <w:pPr>
        <w:pStyle w:val="Bibliography"/>
      </w:pPr>
      <w:r>
        <w:t xml:space="preserve">Droser, Mary L., y David J. Bottjer. 1986.</w:t>
      </w:r>
      <w:r>
        <w:t xml:space="preserve"> </w:t>
      </w:r>
      <w:r>
        <w:t xml:space="preserve">«A semiquantitative field classification of ichnofabric»</w:t>
      </w:r>
      <w:r>
        <w:t xml:space="preserve">.</w:t>
      </w:r>
      <w:r>
        <w:t xml:space="preserve"> </w:t>
      </w:r>
      <w:r>
        <w:rPr>
          <w:iCs/>
          <w:i/>
        </w:rPr>
        <w:t xml:space="preserve">Journal of Sedimentary Petrology</w:t>
      </w:r>
      <w:r>
        <w:t xml:space="preserve"> </w:t>
      </w:r>
      <w:r>
        <w:t xml:space="preserve">56: 558-59.</w:t>
      </w:r>
    </w:p>
    <w:bookmarkEnd w:id="95"/>
    <w:bookmarkStart w:id="96" w:name="ref-reineck1963"/>
    <w:p>
      <w:pPr>
        <w:pStyle w:val="Bibliography"/>
      </w:pPr>
      <w:r>
        <w:t xml:space="preserve">Reineck, H.-E. 1963.</w:t>
      </w:r>
      <w:r>
        <w:t xml:space="preserve"> </w:t>
      </w:r>
      <w:r>
        <w:t xml:space="preserve">«Sedimentgef</w:t>
      </w:r>
      <w:r>
        <w:t xml:space="preserve">ü</w:t>
      </w:r>
      <w:r>
        <w:t xml:space="preserve">ge im Bereich der s</w:t>
      </w:r>
      <w:r>
        <w:t xml:space="preserve">ü</w:t>
      </w:r>
      <w:r>
        <w:t xml:space="preserve">dlichen Nordsee»</w:t>
      </w:r>
      <w:r>
        <w:t xml:space="preserve">.</w:t>
      </w:r>
      <w:r>
        <w:t xml:space="preserve"> </w:t>
      </w:r>
      <w:r>
        <w:rPr>
          <w:iCs/>
          <w:i/>
        </w:rPr>
        <w:t xml:space="preserve">Abhandlungen der Senckenbergischen Naturforschenden Gesellschaft</w:t>
      </w:r>
      <w:r>
        <w:t xml:space="preserve"> </w:t>
      </w:r>
      <w:r>
        <w:t xml:space="preserve">505: 1-138.</w:t>
      </w:r>
    </w:p>
    <w:bookmarkEnd w:id="96"/>
    <w:bookmarkStart w:id="97" w:name="ref-taylor1993"/>
    <w:p>
      <w:pPr>
        <w:pStyle w:val="Bibliography"/>
      </w:pPr>
      <w:r>
        <w:t xml:space="preserve">Taylor, A. M., y R. Goldring. 1993.</w:t>
      </w:r>
      <w:r>
        <w:t xml:space="preserve"> </w:t>
      </w:r>
      <w:r>
        <w:t xml:space="preserve">«Description and analysis of bioturbation and ichnofabric»</w:t>
      </w:r>
      <w:r>
        <w:t xml:space="preserve">.</w:t>
      </w:r>
      <w:r>
        <w:t xml:space="preserve"> </w:t>
      </w:r>
      <w:r>
        <w:rPr>
          <w:iCs/>
          <w:i/>
        </w:rPr>
        <w:t xml:space="preserve">Journal of the Geological Society</w:t>
      </w:r>
      <w:r>
        <w:t xml:space="preserve"> </w:t>
      </w:r>
      <w:r>
        <w:t xml:space="preserve">150: 141-48.</w:t>
      </w:r>
    </w:p>
    <w:bookmarkEnd w:id="97"/>
    <w:bookmarkEnd w:id="98"/>
    <w:bookmarkEnd w:id="99"/>
    <w:bookmarkEnd w:id="1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1" Target="https://doi.org/10.1016/j.cageo.2020.10440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doi.org/10.1016/j.cageo.2020.10440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Publicaciones previstas — CorAnTool</dc:title>
  <dc:creator>Santiago Casanova-Arenillas</dc:creator>
  <dc:language>es</dc:language>
  <cp:keywords/>
  <dcterms:created xsi:type="dcterms:W3CDTF">2026-11-01T13:13:33Z</dcterms:created>
  <dcterms:modified xsi:type="dcterms:W3CDTF">2026-11-01T13:13:33Z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/home/claude/ichantool-project/publications/01_software_JOSS/paper.bib</vt:lpwstr>
  </property>
  <property fmtid="{D5CDD505-2E9C-101B-9397-08002B2CF9AE}" pid="3" name="date">
    <vt:lpwstr>01-11-2026 · software V29</vt:lpwstr>
  </property>
  <property fmtid="{D5CDD505-2E9C-101B-9397-08002B2CF9AE}" pid="4" name="subtitle">
    <vt:lpwstr>Cartera, métodos, defensa ante revisores y borradores</vt:lpwstr>
  </property>
</Properties>
</file>