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sz w:val="22"/>
          <w:szCs w:val="22"/>
          <w:shd w:fill="9146ff" w:val="clear"/>
        </w:rPr>
      </w:pPr>
      <w:r w:rsidDel="00000000" w:rsidR="00000000" w:rsidRPr="00000000">
        <w:rPr>
          <w:rtl w:val="0"/>
        </w:rPr>
      </w:r>
    </w:p>
    <w:tbl>
      <w:tblPr>
        <w:tblStyle w:val="Table1"/>
        <w:tblpPr w:leftFromText="180" w:rightFromText="180" w:topFromText="180" w:bottomFromText="180" w:vertAnchor="text" w:horzAnchor="text" w:tblpX="0" w:tblpY="0"/>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5"/>
        <w:tblGridChange w:id="0">
          <w:tblGrid>
            <w:gridCol w:w="9915"/>
          </w:tblGrid>
        </w:tblGridChange>
      </w:tblGrid>
      <w:tr>
        <w:trPr>
          <w:cantSplit w:val="0"/>
          <w:trHeight w:val="735" w:hRule="atLeast"/>
          <w:tblHeader w:val="0"/>
        </w:trPr>
        <w:tc>
          <w:tcPr>
            <w:tcBorders>
              <w:top w:color="c5d5e8" w:space="0" w:sz="4" w:val="single"/>
              <w:left w:color="c5d5e8" w:space="0" w:sz="4" w:val="single"/>
              <w:bottom w:color="ffffff" w:space="0" w:sz="4" w:val="single"/>
              <w:right w:color="c5d5e8" w:space="0" w:sz="4" w:val="single"/>
            </w:tcBorders>
            <w:shd w:fill="9146ff" w:val="clear"/>
            <w:tcMar>
              <w:top w:w="320.0" w:type="dxa"/>
              <w:left w:w="400.0" w:type="dxa"/>
              <w:bottom w:w="320.0" w:type="dxa"/>
              <w:right w:w="400.0" w:type="dxa"/>
            </w:tcMar>
          </w:tcPr>
          <w:p w:rsidR="00000000" w:rsidDel="00000000" w:rsidP="00000000" w:rsidRDefault="00000000" w:rsidRPr="00000000" w14:paraId="00000002">
            <w:pPr>
              <w:jc w:val="center"/>
              <w:rPr>
                <w:color w:val="1a1a1a"/>
                <w:shd w:fill="9146ff" w:val="clear"/>
              </w:rPr>
            </w:pPr>
            <w:r w:rsidDel="00000000" w:rsidR="00000000" w:rsidRPr="00000000">
              <w:rPr>
                <w:b w:val="1"/>
                <w:bCs w:val="1"/>
                <w:color w:val="ffffff"/>
                <w:sz w:val="40"/>
                <w:szCs w:val="40"/>
                <w:shd w:fill="9146ff" w:val="clear"/>
                <w:rtl w:val="0"/>
              </w:rPr>
              <w:t xml:space="preserve">CONDICIONES GENERALES</w:t>
            </w:r>
            <w:r w:rsidDel="00000000" w:rsidR="00000000" w:rsidRPr="00000000">
              <w:rPr>
                <w:rtl w:val="0"/>
              </w:rPr>
            </w:r>
          </w:p>
          <w:p w:rsidR="00000000" w:rsidDel="00000000" w:rsidP="00000000" w:rsidRDefault="00000000" w:rsidRPr="00000000" w14:paraId="00000003">
            <w:pPr>
              <w:jc w:val="center"/>
              <w:rPr>
                <w:color w:val="1a1a1a"/>
                <w:shd w:fill="9146ff" w:val="clear"/>
              </w:rPr>
            </w:pPr>
            <w:r w:rsidDel="00000000" w:rsidR="00000000" w:rsidRPr="00000000">
              <w:rPr>
                <w:color w:val="ede8fb"/>
                <w:sz w:val="24"/>
                <w:szCs w:val="24"/>
                <w:shd w:fill="9146ff" w:val="clear"/>
                <w:rtl w:val="0"/>
              </w:rPr>
              <w:t xml:space="preserve">ACUERDO DE COLABORACIÓN</w:t>
            </w:r>
            <w:r w:rsidDel="00000000" w:rsidR="00000000" w:rsidRPr="00000000">
              <w:rPr>
                <w:rtl w:val="0"/>
              </w:rPr>
            </w:r>
          </w:p>
        </w:tc>
      </w:tr>
    </w:tbl>
    <w:p w:rsidR="00000000" w:rsidDel="00000000" w:rsidP="00000000" w:rsidRDefault="00000000" w:rsidRPr="00000000" w14:paraId="00000004">
      <w:pPr>
        <w:spacing w:after="60" w:before="180" w:lineRule="auto"/>
        <w:rPr/>
      </w:pPr>
      <w:r w:rsidDel="00000000" w:rsidR="00000000" w:rsidRPr="00000000">
        <w:rPr>
          <w:rtl w:val="0"/>
        </w:rPr>
      </w:r>
    </w:p>
    <w:sdt>
      <w:sdtPr>
        <w:lock w:val="contentLocked"/>
        <w:id w:val="1061419676"/>
        <w:tag w:val="goog_rdk_0"/>
      </w:sdtPr>
      <w:sdtContent>
        <w:tbl>
          <w:tblPr>
            <w:tblStyle w:val="Table2"/>
            <w:tblpPr w:leftFromText="180" w:rightFromText="180" w:topFromText="180" w:bottomFromText="180" w:vertAnchor="text" w:horzAnchor="text" w:tblpX="20.000000000000142" w:tblpY="0"/>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15"/>
            <w:tblGridChange w:id="0">
              <w:tblGrid>
                <w:gridCol w:w="9915"/>
              </w:tblGrid>
            </w:tblGridChange>
          </w:tblGrid>
          <w:tr>
            <w:trPr>
              <w:cantSplit w:val="0"/>
              <w:tblHeader w:val="0"/>
            </w:trPr>
            <w:tc>
              <w:tcPr>
                <w:tcBorders>
                  <w:top w:color="c5d5e8" w:space="0" w:sz="4" w:val="single"/>
                  <w:left w:color="c5d5e8" w:space="0" w:sz="4" w:val="single"/>
                  <w:bottom w:color="c5d5e8" w:space="0" w:sz="4" w:val="single"/>
                  <w:right w:color="c5d5e8" w:space="0" w:sz="4" w:val="single"/>
                </w:tcBorders>
                <w:shd w:fill="ede8fb" w:val="clear"/>
                <w:tcMar>
                  <w:top w:w="100.0" w:type="dxa"/>
                  <w:left w:w="200.0" w:type="dxa"/>
                  <w:bottom w:w="100.0" w:type="dxa"/>
                  <w:right w:w="200.0" w:type="dxa"/>
                </w:tcMar>
              </w:tcPr>
              <w:p w:rsidR="00000000" w:rsidDel="00000000" w:rsidP="00000000" w:rsidRDefault="00000000" w:rsidRPr="00000000" w14:paraId="00000005">
                <w:pPr>
                  <w:jc w:val="both"/>
                  <w:rPr>
                    <w:i w:val="1"/>
                    <w:iCs w:val="1"/>
                    <w:color w:val="341f60"/>
                    <w:sz w:val="16"/>
                    <w:szCs w:val="16"/>
                  </w:rPr>
                </w:pPr>
                <w:r w:rsidDel="00000000" w:rsidR="00000000" w:rsidRPr="00000000">
                  <w:rPr>
                    <w:i w:val="1"/>
                    <w:iCs w:val="1"/>
                    <w:color w:val="341f60"/>
                    <w:sz w:val="16"/>
                    <w:szCs w:val="16"/>
                    <w:rtl w:val="0"/>
                  </w:rPr>
                  <w:t xml:space="preserve">Las presentes Condiciones Generales regulan el marco jurídico aplicable a todo Acuerdo de Colaboración suscrito con DILIGENZ. Rigen conjuntamente con el Acuerdo de Colaboración (Condiciones Particulares), que prevalece en caso de contradicción expresa.</w:t>
                </w:r>
              </w:p>
            </w:tc>
          </w:tr>
        </w:tbl>
      </w:sdtContent>
    </w:sdt>
    <w:p w:rsidR="00000000" w:rsidDel="00000000" w:rsidP="00000000" w:rsidRDefault="00000000" w:rsidRPr="00000000" w14:paraId="00000006">
      <w:pPr>
        <w:spacing w:after="160" w:before="300" w:lineRule="auto"/>
        <w:ind w:left="0" w:firstLine="0"/>
        <w:rPr>
          <w:b w:val="1"/>
          <w:bCs w:val="1"/>
          <w:color w:val="341f60"/>
          <w:sz w:val="26"/>
          <w:szCs w:val="26"/>
        </w:rPr>
      </w:pPr>
      <w:r w:rsidDel="00000000" w:rsidR="00000000" w:rsidRPr="00000000">
        <w:rPr>
          <w:rtl w:val="0"/>
        </w:rPr>
      </w:r>
    </w:p>
    <w:p w:rsidR="00000000" w:rsidDel="00000000" w:rsidP="00000000" w:rsidRDefault="00000000" w:rsidRPr="00000000" w14:paraId="00000007">
      <w:pPr>
        <w:spacing w:after="160" w:before="300" w:lineRule="auto"/>
        <w:ind w:left="0" w:firstLine="0"/>
        <w:rPr>
          <w:color w:val="341f60"/>
          <w:sz w:val="18"/>
          <w:szCs w:val="18"/>
        </w:rPr>
      </w:pPr>
      <w:r w:rsidDel="00000000" w:rsidR="00000000" w:rsidRPr="00000000">
        <w:rPr>
          <w:rFonts w:ascii="Arial" w:cs="Arial" w:eastAsia="Arial" w:hAnsi="Arial"/>
          <w:b w:val="1"/>
          <w:bCs w:val="1"/>
          <w:color w:val="341f60"/>
          <w:sz w:val="26"/>
          <w:szCs w:val="26"/>
          <w:rtl w:val="0"/>
        </w:rPr>
        <w:t xml:space="preserve">1.  Objeto y ámbito de aplicación</w:t>
      </w:r>
      <w:r w:rsidDel="00000000" w:rsidR="00000000" w:rsidRPr="00000000">
        <w:rPr>
          <w:rtl w:val="0"/>
        </w:rPr>
      </w:r>
    </w:p>
    <w:p w:rsidR="00000000" w:rsidDel="00000000" w:rsidP="00000000" w:rsidRDefault="00000000" w:rsidRPr="00000000" w14:paraId="00000008">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Las presentes Condiciones Generales regulan la colaboración profesional entre DILIGENZ y EL PROFESIONAL para la comercialización, con carácter no exclusivo, de empresas y negocios respecto de los cuales EL PROFESIONAL disponga de un encargo de venta válido otorgado por sus titulares.</w:t>
      </w:r>
      <w:r w:rsidDel="00000000" w:rsidR="00000000" w:rsidRPr="00000000">
        <w:rPr>
          <w:rtl w:val="0"/>
        </w:rPr>
      </w:r>
    </w:p>
    <w:p w:rsidR="00000000" w:rsidDel="00000000" w:rsidP="00000000" w:rsidRDefault="00000000" w:rsidRPr="00000000" w14:paraId="00000009">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PROFESIONAL facilitará a DILIGENZ información suficiente sobre las empresas publicadas para su promoción a través de la plataforma y canales de DILIGENZ, con la finalidad de identificar y captar potenciales compradores.</w:t>
      </w:r>
      <w:r w:rsidDel="00000000" w:rsidR="00000000" w:rsidRPr="00000000">
        <w:rPr>
          <w:rtl w:val="0"/>
        </w:rPr>
      </w:r>
    </w:p>
    <w:p w:rsidR="00000000" w:rsidDel="00000000" w:rsidP="00000000" w:rsidRDefault="00000000" w:rsidRPr="00000000" w14:paraId="0000000A">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Este acuerdo tiene carácter de obligación de medios y no de resultado. DILIGENZ no garantiza la identificación de compradores, la obtención de ofertas ni el cierre de ninguna operación.</w:t>
      </w:r>
      <w:r w:rsidDel="00000000" w:rsidR="00000000" w:rsidRPr="00000000">
        <w:rPr>
          <w:rtl w:val="0"/>
        </w:rPr>
      </w:r>
    </w:p>
    <w:p w:rsidR="00000000" w:rsidDel="00000000" w:rsidP="00000000" w:rsidRDefault="00000000" w:rsidRPr="00000000" w14:paraId="0000000B">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La firma del Acuerdo de Colaboración implica la aceptación íntegra de estas Condiciones Generales.</w:t>
      </w:r>
      <w:r w:rsidDel="00000000" w:rsidR="00000000" w:rsidRPr="00000000">
        <w:rPr>
          <w:rtl w:val="0"/>
        </w:rPr>
      </w:r>
    </w:p>
    <w:p w:rsidR="00000000" w:rsidDel="00000000" w:rsidP="00000000" w:rsidRDefault="00000000" w:rsidRPr="00000000" w14:paraId="0000000C">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2.  Identidad del intermediario y estructura contractual</w:t>
      </w:r>
      <w:r w:rsidDel="00000000" w:rsidR="00000000" w:rsidRPr="00000000">
        <w:rPr>
          <w:rtl w:val="0"/>
        </w:rPr>
      </w:r>
    </w:p>
    <w:p w:rsidR="00000000" w:rsidDel="00000000" w:rsidP="00000000" w:rsidRDefault="00000000" w:rsidRPr="00000000" w14:paraId="0000000D">
      <w:pPr>
        <w:spacing w:after="80" w:before="80" w:lineRule="auto"/>
        <w:jc w:val="both"/>
        <w:rPr>
          <w:color w:val="1a1a1a"/>
          <w:sz w:val="18"/>
          <w:szCs w:val="18"/>
        </w:rPr>
      </w:pPr>
      <w:r w:rsidDel="00000000" w:rsidR="00000000" w:rsidRPr="00000000">
        <w:rPr>
          <w:rFonts w:ascii="Arial" w:cs="Arial" w:eastAsia="Arial" w:hAnsi="Arial"/>
          <w:color w:val="1a1a1a"/>
          <w:sz w:val="18"/>
          <w:szCs w:val="18"/>
          <w:rtl w:val="0"/>
        </w:rPr>
        <w:t xml:space="preserve">DILIGENZ, intermediario especializado en procesos de compraventa de empresas, actúa representado por </w:t>
      </w:r>
      <w:r w:rsidDel="00000000" w:rsidR="00000000" w:rsidRPr="00000000">
        <w:rPr>
          <w:rFonts w:ascii="Arial" w:cs="Arial" w:eastAsia="Arial" w:hAnsi="Arial"/>
          <w:b w:val="1"/>
          <w:bCs w:val="1"/>
          <w:color w:val="1a1a1a"/>
          <w:sz w:val="18"/>
          <w:szCs w:val="18"/>
          <w:rtl w:val="0"/>
        </w:rPr>
        <w:t xml:space="preserve">Jose Ángel Cañizares Llorca (NIF: 23848753F)</w:t>
      </w:r>
      <w:r w:rsidDel="00000000" w:rsidR="00000000" w:rsidRPr="00000000">
        <w:rPr>
          <w:rFonts w:ascii="Arial" w:cs="Arial" w:eastAsia="Arial" w:hAnsi="Arial"/>
          <w:color w:val="1a1a1a"/>
          <w:sz w:val="18"/>
          <w:szCs w:val="18"/>
          <w:rtl w:val="0"/>
        </w:rPr>
        <w:t xml:space="preserve">, con domicilio en C/ Colón 39, 1º, 46004 Valencia. Email de contacto: jose@diligenz.com.</w:t>
      </w:r>
      <w:r w:rsidDel="00000000" w:rsidR="00000000" w:rsidRPr="00000000">
        <w:rPr>
          <w:rtl w:val="0"/>
        </w:rPr>
      </w:r>
    </w:p>
    <w:p w:rsidR="00000000" w:rsidDel="00000000" w:rsidP="00000000" w:rsidRDefault="00000000" w:rsidRPr="00000000" w14:paraId="0000000E">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contrato se integra por: (i) las presentes Condiciones Generales; (ii) el Acuerdo de Colaboración (Condiciones Particulares); y (iii) los anexos y comunicaciones que las partes intercambien en el marco del proceso.</w:t>
      </w:r>
      <w:r w:rsidDel="00000000" w:rsidR="00000000" w:rsidRPr="00000000">
        <w:rPr>
          <w:rtl w:val="0"/>
        </w:rPr>
      </w:r>
    </w:p>
    <w:p w:rsidR="00000000" w:rsidDel="00000000" w:rsidP="00000000" w:rsidRDefault="00000000" w:rsidRPr="00000000" w14:paraId="0000000F">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En caso de contradicción prevalecerá el siguiente orden: Condiciones Particulares, documentos o comunicaciones específicas aceptadas por ambas partes, y Condiciones Generales.</w:t>
      </w:r>
      <w:r w:rsidDel="00000000" w:rsidR="00000000" w:rsidRPr="00000000">
        <w:rPr>
          <w:rtl w:val="0"/>
        </w:rPr>
      </w:r>
    </w:p>
    <w:p w:rsidR="00000000" w:rsidDel="00000000" w:rsidP="00000000" w:rsidRDefault="00000000" w:rsidRPr="00000000" w14:paraId="00000010">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La firma del Acuerdo de Colaboración no crea relación laboral, societaria, de agencia, franquicia, joint venture ni representación entre las partes. Cada parte actuará con plena autonomía jurídica, económica y organizativa.</w:t>
      </w:r>
      <w:r w:rsidDel="00000000" w:rsidR="00000000" w:rsidRPr="00000000">
        <w:rPr>
          <w:rtl w:val="0"/>
        </w:rPr>
      </w:r>
    </w:p>
    <w:p w:rsidR="00000000" w:rsidDel="00000000" w:rsidP="00000000" w:rsidRDefault="00000000" w:rsidRPr="00000000" w14:paraId="00000011">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3.  Obligaciones de EL PROFESIONAL</w:t>
      </w:r>
      <w:r w:rsidDel="00000000" w:rsidR="00000000" w:rsidRPr="00000000">
        <w:rPr>
          <w:rtl w:val="0"/>
        </w:rPr>
      </w:r>
    </w:p>
    <w:p w:rsidR="00000000" w:rsidDel="00000000" w:rsidP="00000000" w:rsidRDefault="00000000" w:rsidRPr="00000000" w14:paraId="00000012">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3.1  Encargo de venta vigente</w:t>
      </w:r>
      <w:r w:rsidDel="00000000" w:rsidR="00000000" w:rsidRPr="00000000">
        <w:rPr>
          <w:rtl w:val="0"/>
        </w:rPr>
      </w:r>
    </w:p>
    <w:p w:rsidR="00000000" w:rsidDel="00000000" w:rsidP="00000000" w:rsidRDefault="00000000" w:rsidRPr="00000000" w14:paraId="00000013">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PROFESIONAL se obliga a disponer de un encargo de venta válido y vigente respecto de cada empresa que publique en la plataforma de DILIGENZ. La publicación de una empresa sin encargo de venta válido constituirá incumplimiento grave del presente Acuerdo.</w:t>
      </w:r>
      <w:r w:rsidDel="00000000" w:rsidR="00000000" w:rsidRPr="00000000">
        <w:rPr>
          <w:rtl w:val="0"/>
        </w:rPr>
      </w:r>
    </w:p>
    <w:p w:rsidR="00000000" w:rsidDel="00000000" w:rsidP="00000000" w:rsidRDefault="00000000" w:rsidRPr="00000000" w14:paraId="00000014">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3.2  Garantía de veracidad de la información</w:t>
      </w:r>
      <w:r w:rsidDel="00000000" w:rsidR="00000000" w:rsidRPr="00000000">
        <w:rPr>
          <w:rtl w:val="0"/>
        </w:rPr>
      </w:r>
    </w:p>
    <w:p w:rsidR="00000000" w:rsidDel="00000000" w:rsidP="00000000" w:rsidRDefault="00000000" w:rsidRPr="00000000" w14:paraId="00000015">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PROFESIONAL garantiza la veracidad, actualidad, exactitud y completitud de toda la información suministrada sobre las empresas publicadas, y comunicará de forma inmediata cualquier modificación relevante relativa a la empresa o a las condiciones de venta. Responderá frente a DILIGENZ y frente a terceros de cualquier daño o perjuicio derivado de inexactitudes, omisiones o falsedades en dicha información.</w:t>
      </w:r>
      <w:r w:rsidDel="00000000" w:rsidR="00000000" w:rsidRPr="00000000">
        <w:rPr>
          <w:rtl w:val="0"/>
        </w:rPr>
      </w:r>
    </w:p>
    <w:p w:rsidR="00000000" w:rsidDel="00000000" w:rsidP="00000000" w:rsidRDefault="00000000" w:rsidRPr="00000000" w14:paraId="00000016">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3.3  Obtención de autorizaciones</w:t>
      </w:r>
      <w:r w:rsidDel="00000000" w:rsidR="00000000" w:rsidRPr="00000000">
        <w:rPr>
          <w:rtl w:val="0"/>
        </w:rPr>
      </w:r>
    </w:p>
    <w:p w:rsidR="00000000" w:rsidDel="00000000" w:rsidP="00000000" w:rsidRDefault="00000000" w:rsidRPr="00000000" w14:paraId="00000017">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PROFESIONAL obtendrá cuantas autorizaciones resulten necesarias para la comunicación de información confidencial a DILIGENZ, y mantendrá indemne a DILIGENZ frente a cualquier reclamación derivada del incumplimiento de esta obligación.</w:t>
      </w:r>
      <w:r w:rsidDel="00000000" w:rsidR="00000000" w:rsidRPr="00000000">
        <w:rPr>
          <w:rtl w:val="0"/>
        </w:rPr>
      </w:r>
    </w:p>
    <w:p w:rsidR="00000000" w:rsidDel="00000000" w:rsidP="00000000" w:rsidRDefault="00000000" w:rsidRPr="00000000" w14:paraId="00000018">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3.4  Colaboración activa</w:t>
      </w:r>
      <w:r w:rsidDel="00000000" w:rsidR="00000000" w:rsidRPr="00000000">
        <w:rPr>
          <w:rtl w:val="0"/>
        </w:rPr>
      </w:r>
    </w:p>
    <w:p w:rsidR="00000000" w:rsidDel="00000000" w:rsidP="00000000" w:rsidRDefault="00000000" w:rsidRPr="00000000" w14:paraId="00000019">
      <w:pPr>
        <w:spacing w:after="80" w:before="80" w:lineRule="auto"/>
        <w:jc w:val="both"/>
        <w:rPr>
          <w:color w:val="1a1a1a"/>
        </w:rPr>
      </w:pPr>
      <w:r w:rsidDel="00000000" w:rsidR="00000000" w:rsidRPr="00000000">
        <w:rPr>
          <w:rFonts w:ascii="Arial" w:cs="Arial" w:eastAsia="Arial" w:hAnsi="Arial"/>
          <w:b w:val="0"/>
          <w:bCs w:val="0"/>
          <w:i w:val="0"/>
          <w:iCs w:val="0"/>
          <w:color w:val="1a1a1a"/>
          <w:sz w:val="20"/>
          <w:szCs w:val="20"/>
          <w:rtl w:val="0"/>
        </w:rPr>
        <w:t xml:space="preserve">EL PROFESIONAL se compromete a colaborar de buena fe en la gestión de los potenciales compradores aportados por DILIGENZ, facilitando reuniones, documentación adicional y cuanta información sea razonablemente necesaria para el avance del proceso de compraventa.</w:t>
      </w:r>
      <w:r w:rsidDel="00000000" w:rsidR="00000000" w:rsidRPr="00000000">
        <w:rPr>
          <w:rtl w:val="0"/>
        </w:rPr>
      </w:r>
    </w:p>
    <w:p w:rsidR="00000000" w:rsidDel="00000000" w:rsidP="00000000" w:rsidRDefault="00000000" w:rsidRPr="00000000" w14:paraId="0000001A">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3.5  Respeto del canal de DILIGENZ y prohibición de elusión</w:t>
      </w:r>
      <w:r w:rsidDel="00000000" w:rsidR="00000000" w:rsidRPr="00000000">
        <w:rPr>
          <w:rtl w:val="0"/>
        </w:rPr>
      </w:r>
    </w:p>
    <w:p w:rsidR="00000000" w:rsidDel="00000000" w:rsidP="00000000" w:rsidRDefault="00000000" w:rsidRPr="00000000" w14:paraId="0000001B">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PROFESIONAL se compromete a no realizar actuaciones destinadas a eludir, directa o indirectamente, el derecho de DILIGENZ a percibir los honorarios previstos en el presente Acuerdo. A estos efectos, se considerará comprador aportado por DILIGENZ toda persona física o jurídica cuya identidad haya sido comunicada por cualquier medio que permita acreditar dicha comunicación.</w:t>
      </w:r>
      <w:r w:rsidDel="00000000" w:rsidR="00000000" w:rsidRPr="00000000">
        <w:rPr>
          <w:rtl w:val="0"/>
        </w:rPr>
      </w:r>
    </w:p>
    <w:p w:rsidR="00000000" w:rsidDel="00000000" w:rsidP="00000000" w:rsidRDefault="00000000" w:rsidRPr="00000000" w14:paraId="0000001C">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derecho de DILIGENZ a percibir sus honorarios subsistirá aunque: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La compraventa se formalice directamente entre vendedor y comprador sin intervención posterior de DILIGENZ.</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La operación se formalice a través de sociedades vinculadas, participadas o controladas por el comprador inicialmente presentado.</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La adquisición se lleve a cabo mediante terceros interpuestos, personas vinculadas, familiares, administradores, sociedades del mismo grupo o cualquier otra estructura con finalidad elusiva.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La operación finalmente formalizada presente una estructura jurídica distinta de la inicialmente prevista.</w:t>
      </w:r>
    </w:p>
    <w:p w:rsidR="00000000" w:rsidDel="00000000" w:rsidP="00000000" w:rsidRDefault="00000000" w:rsidRPr="00000000" w14:paraId="00000021">
      <w:pPr>
        <w:rPr>
          <w:color w:val="1a1a1a"/>
          <w:sz w:val="18"/>
          <w:szCs w:val="18"/>
        </w:rPr>
      </w:pPr>
      <w:r w:rsidDel="00000000" w:rsidR="00000000" w:rsidRPr="00000000">
        <w:rPr>
          <w:rtl w:val="0"/>
        </w:rPr>
      </w:r>
    </w:p>
    <w:p w:rsidR="00000000" w:rsidDel="00000000" w:rsidP="00000000" w:rsidRDefault="00000000" w:rsidRPr="00000000" w14:paraId="00000022">
      <w:pPr>
        <w:spacing w:after="80" w:before="80" w:lineRule="auto"/>
        <w:jc w:val="both"/>
        <w:rPr>
          <w:color w:val="1a1a1a"/>
          <w:sz w:val="18"/>
          <w:szCs w:val="18"/>
        </w:rPr>
      </w:pPr>
      <w:r w:rsidDel="00000000" w:rsidR="00000000" w:rsidRPr="00000000">
        <w:rPr>
          <w:rFonts w:ascii="Arial" w:cs="Arial" w:eastAsia="Arial" w:hAnsi="Arial"/>
          <w:color w:val="1a1a1a"/>
          <w:sz w:val="18"/>
          <w:szCs w:val="18"/>
          <w:rtl w:val="0"/>
        </w:rPr>
        <w:t xml:space="preserve">En caso de incumplimiento, EL PROFESIONAL abonará a DILIGENZ, en concepto de cláusula penal y sin perjuicio de la indemnización de daños adicionales, una cantidad equivalente al </w:t>
      </w:r>
      <w:r w:rsidDel="00000000" w:rsidR="00000000" w:rsidRPr="00000000">
        <w:rPr>
          <w:rFonts w:ascii="Arial" w:cs="Arial" w:eastAsia="Arial" w:hAnsi="Arial"/>
          <w:b w:val="1"/>
          <w:bCs w:val="1"/>
          <w:color w:val="1a1a1a"/>
          <w:sz w:val="18"/>
          <w:szCs w:val="18"/>
          <w:rtl w:val="0"/>
        </w:rPr>
        <w:t xml:space="preserve">CUATRO POR CIENTO (4%) del valor total de la operación</w:t>
      </w:r>
      <w:r w:rsidDel="00000000" w:rsidR="00000000" w:rsidRPr="00000000">
        <w:rPr>
          <w:rFonts w:ascii="Arial" w:cs="Arial" w:eastAsia="Arial" w:hAnsi="Arial"/>
          <w:color w:val="1a1a1a"/>
          <w:sz w:val="18"/>
          <w:szCs w:val="18"/>
          <w:rtl w:val="0"/>
        </w:rPr>
        <w:t xml:space="preserve"> formalizada con el comprador aportado por DILIGENZ.</w:t>
      </w:r>
      <w:r w:rsidDel="00000000" w:rsidR="00000000" w:rsidRPr="00000000">
        <w:rPr>
          <w:rtl w:val="0"/>
        </w:rPr>
      </w:r>
    </w:p>
    <w:p w:rsidR="00000000" w:rsidDel="00000000" w:rsidP="00000000" w:rsidRDefault="00000000" w:rsidRPr="00000000" w14:paraId="00000023">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4.  Obligaciones de DILIGENZ</w:t>
      </w:r>
      <w:r w:rsidDel="00000000" w:rsidR="00000000" w:rsidRPr="00000000">
        <w:rPr>
          <w:rtl w:val="0"/>
        </w:rPr>
      </w:r>
    </w:p>
    <w:p w:rsidR="00000000" w:rsidDel="00000000" w:rsidP="00000000" w:rsidRDefault="00000000" w:rsidRPr="00000000" w14:paraId="00000024">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4.1  Publicación y promoción</w:t>
      </w:r>
      <w:r w:rsidDel="00000000" w:rsidR="00000000" w:rsidRPr="00000000">
        <w:rPr>
          <w:rtl w:val="0"/>
        </w:rPr>
      </w:r>
    </w:p>
    <w:p w:rsidR="00000000" w:rsidDel="00000000" w:rsidP="00000000" w:rsidRDefault="00000000" w:rsidRPr="00000000" w14:paraId="00000025">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DILIGENZ publicará y promocionará las empresas incorporadas por EL PROFESIONAL a través de su plataforma digital, canales propios, bases de datos, redes profesionales y contactos estratégicos, preservando en todo momento la confidencialidad de la identidad de las empresas hasta que el potencial comprador haya firmado el correspondiente mandato de compra.</w:t>
      </w:r>
      <w:r w:rsidDel="00000000" w:rsidR="00000000" w:rsidRPr="00000000">
        <w:rPr>
          <w:rtl w:val="0"/>
        </w:rPr>
      </w:r>
    </w:p>
    <w:p w:rsidR="00000000" w:rsidDel="00000000" w:rsidP="00000000" w:rsidRDefault="00000000" w:rsidRPr="00000000" w14:paraId="00000026">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4.2  Identificación y cualificación de compradores</w:t>
      </w:r>
      <w:r w:rsidDel="00000000" w:rsidR="00000000" w:rsidRPr="00000000">
        <w:rPr>
          <w:rtl w:val="0"/>
        </w:rPr>
      </w:r>
    </w:p>
    <w:p w:rsidR="00000000" w:rsidDel="00000000" w:rsidP="00000000" w:rsidRDefault="00000000" w:rsidRPr="00000000" w14:paraId="00000027">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DILIGENZ identificará, captará, preseleccionará y cualificará potenciales compradores que acrediten voluntad real de compra, capacidad inversora y encaje estratégico con las empresas publicadas.</w:t>
      </w:r>
      <w:r w:rsidDel="00000000" w:rsidR="00000000" w:rsidRPr="00000000">
        <w:rPr>
          <w:rtl w:val="0"/>
        </w:rPr>
      </w:r>
    </w:p>
    <w:p w:rsidR="00000000" w:rsidDel="00000000" w:rsidP="00000000" w:rsidRDefault="00000000" w:rsidRPr="00000000" w14:paraId="00000028">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4.3  Mandato de compra con el comprador</w:t>
      </w:r>
      <w:r w:rsidDel="00000000" w:rsidR="00000000" w:rsidRPr="00000000">
        <w:rPr>
          <w:rtl w:val="0"/>
        </w:rPr>
      </w:r>
    </w:p>
    <w:p w:rsidR="00000000" w:rsidDel="00000000" w:rsidP="00000000" w:rsidRDefault="00000000" w:rsidRPr="00000000" w14:paraId="00000029">
      <w:pPr>
        <w:spacing w:after="80" w:before="80" w:lineRule="auto"/>
        <w:jc w:val="both"/>
        <w:rPr>
          <w:color w:val="1a1a1a"/>
          <w:sz w:val="18"/>
          <w:szCs w:val="18"/>
          <w:highlight w:val="yellow"/>
        </w:rPr>
      </w:pPr>
      <w:sdt>
        <w:sdtPr>
          <w:id w:val="-472912601"/>
          <w:tag w:val="goog_rdk_1"/>
        </w:sdtPr>
        <w:sdtContent>
          <w:commentRangeStart w:id="0"/>
        </w:sdtContent>
      </w:sdt>
      <w:r w:rsidDel="00000000" w:rsidR="00000000" w:rsidRPr="00000000">
        <w:rPr>
          <w:rFonts w:ascii="Arial" w:cs="Arial" w:eastAsia="Arial" w:hAnsi="Arial"/>
          <w:b w:val="0"/>
          <w:bCs w:val="0"/>
          <w:i w:val="0"/>
          <w:iCs w:val="0"/>
          <w:color w:val="1a1a1a"/>
          <w:sz w:val="18"/>
          <w:szCs w:val="18"/>
          <w:highlight w:val="yellow"/>
          <w:rtl w:val="0"/>
        </w:rPr>
        <w:t xml:space="preserve">Antes de presentar cualquier comprador a EL PROFESIONAL, DILIGENZ suscribirá con dicho comprador un mandato de compra en el que se establecerá que, en caso de adquisición, el comprador abonará a DILIGENZ honorarios equivalentes, normalmente, al CUATRO POR CIENTO (4%) del precio final de compraventa, más los impuestos indirectos aplicables. DILIGENZ será la única entidad legitimada para facturar y percibir dichos honorarios frente al comprador.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4.4  Gestión de la comunicación y coordinación del proceso</w:t>
      </w:r>
      <w:r w:rsidDel="00000000" w:rsidR="00000000" w:rsidRPr="00000000">
        <w:rPr>
          <w:rtl w:val="0"/>
        </w:rPr>
      </w:r>
    </w:p>
    <w:p w:rsidR="00000000" w:rsidDel="00000000" w:rsidP="00000000" w:rsidRDefault="00000000" w:rsidRPr="00000000" w14:paraId="0000002B">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DILIGENZ gestionará la comunicación inicial entre comprador y vendedor, coordinará el proceso de negociación y prestará asistencia profesional en todas las fases hasta el cierre, sin asumir representación legal de las partes salvo pacto expreso.</w:t>
      </w:r>
      <w:r w:rsidDel="00000000" w:rsidR="00000000" w:rsidRPr="00000000">
        <w:rPr>
          <w:rtl w:val="0"/>
        </w:rPr>
      </w:r>
    </w:p>
    <w:p w:rsidR="00000000" w:rsidDel="00000000" w:rsidP="00000000" w:rsidRDefault="00000000" w:rsidRPr="00000000" w14:paraId="0000002C">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4.5  Confidencialidad de la información</w:t>
      </w:r>
      <w:r w:rsidDel="00000000" w:rsidR="00000000" w:rsidRPr="00000000">
        <w:rPr>
          <w:rtl w:val="0"/>
        </w:rPr>
      </w:r>
    </w:p>
    <w:p w:rsidR="00000000" w:rsidDel="00000000" w:rsidP="00000000" w:rsidRDefault="00000000" w:rsidRPr="00000000" w14:paraId="0000002D">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DILIGENZ garantizará la confidencialidad de la información suministrada por EL PROFESIONAL sobre las empresas publicadas, adoptando las medidas técnicas y organizativas necesarias para su protección.</w:t>
      </w:r>
      <w:r w:rsidDel="00000000" w:rsidR="00000000" w:rsidRPr="00000000">
        <w:rPr>
          <w:rtl w:val="0"/>
        </w:rPr>
      </w:r>
    </w:p>
    <w:p w:rsidR="00000000" w:rsidDel="00000000" w:rsidP="00000000" w:rsidRDefault="00000000" w:rsidRPr="00000000" w14:paraId="0000002E">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4.6  Informes de seguimiento</w:t>
      </w:r>
      <w:r w:rsidDel="00000000" w:rsidR="00000000" w:rsidRPr="00000000">
        <w:rPr>
          <w:rtl w:val="0"/>
        </w:rPr>
      </w:r>
    </w:p>
    <w:p w:rsidR="00000000" w:rsidDel="00000000" w:rsidP="00000000" w:rsidRDefault="00000000" w:rsidRPr="00000000" w14:paraId="0000002F">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DILIGENZ informará periódicamente a EL PROFESIONAL sobre el estado de la comercialización de las empresas publicadas, compradores activos e incidencias relevantes del proceso.</w:t>
      </w:r>
      <w:r w:rsidDel="00000000" w:rsidR="00000000" w:rsidRPr="00000000">
        <w:rPr>
          <w:rtl w:val="0"/>
        </w:rPr>
      </w:r>
    </w:p>
    <w:p w:rsidR="00000000" w:rsidDel="00000000" w:rsidP="00000000" w:rsidRDefault="00000000" w:rsidRPr="00000000" w14:paraId="00000030">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5.  Régimen de honorarios y contraprestación económica</w:t>
      </w:r>
      <w:r w:rsidDel="00000000" w:rsidR="00000000" w:rsidRPr="00000000">
        <w:rPr>
          <w:rtl w:val="0"/>
        </w:rPr>
      </w:r>
    </w:p>
    <w:p w:rsidR="00000000" w:rsidDel="00000000" w:rsidP="00000000" w:rsidRDefault="00000000" w:rsidRPr="00000000" w14:paraId="00000031">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5.1  Distribución de honorarios</w:t>
      </w:r>
      <w:r w:rsidDel="00000000" w:rsidR="00000000" w:rsidRPr="00000000">
        <w:rPr>
          <w:rtl w:val="0"/>
        </w:rPr>
      </w:r>
    </w:p>
    <w:p w:rsidR="00000000" w:rsidDel="00000000" w:rsidP="00000000" w:rsidRDefault="00000000" w:rsidRPr="00000000" w14:paraId="00000032">
      <w:pPr>
        <w:spacing w:after="80" w:before="80" w:lineRule="auto"/>
        <w:jc w:val="both"/>
        <w:rPr>
          <w:color w:val="1a1a1a"/>
          <w:sz w:val="18"/>
          <w:szCs w:val="18"/>
          <w:highlight w:val="yellow"/>
        </w:rPr>
      </w:pPr>
      <w:sdt>
        <w:sdtPr>
          <w:id w:val="-244574535"/>
          <w:tag w:val="goog_rdk_2"/>
        </w:sdtPr>
        <w:sdtContent>
          <w:commentRangeStart w:id="1"/>
        </w:sdtContent>
      </w:sdt>
      <w:r w:rsidDel="00000000" w:rsidR="00000000" w:rsidRPr="00000000">
        <w:rPr>
          <w:rFonts w:ascii="Arial" w:cs="Arial" w:eastAsia="Arial" w:hAnsi="Arial"/>
          <w:b w:val="0"/>
          <w:bCs w:val="0"/>
          <w:i w:val="0"/>
          <w:iCs w:val="0"/>
          <w:color w:val="1a1a1a"/>
          <w:sz w:val="18"/>
          <w:szCs w:val="18"/>
          <w:highlight w:val="yellow"/>
          <w:rtl w:val="0"/>
        </w:rPr>
        <w:t xml:space="preserve">Cuando una empresa publicada por EL PROFESIONAL sea adquirida por un comprador aportado por DILIGENZ, los honorarios efectivamente percibidos por DILIGENZ en virtud del mandato de compra (4% del precio total de la operación) serán distribuidos de la siguiente forma:</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highlight w:val="yellow"/>
        </w:rPr>
      </w:pPr>
      <w:r w:rsidDel="00000000" w:rsidR="00000000" w:rsidRPr="00000000">
        <w:rPr>
          <w:rFonts w:ascii="Arial" w:cs="Arial" w:eastAsia="Arial" w:hAnsi="Arial"/>
          <w:b w:val="1"/>
          <w:bCs w:val="1"/>
          <w:i w:val="0"/>
          <w:iCs w:val="0"/>
          <w:smallCaps w:val="0"/>
          <w:strike w:val="0"/>
          <w:color w:val="1a1a1a"/>
          <w:sz w:val="18"/>
          <w:szCs w:val="18"/>
          <w:highlight w:val="yellow"/>
          <w:u w:val="none"/>
          <w:vertAlign w:val="baseline"/>
          <w:rtl w:val="0"/>
        </w:rPr>
        <w:t xml:space="preserve">DOS POR CIENTO (2%)</w:t>
      </w:r>
      <w:r w:rsidDel="00000000" w:rsidR="00000000" w:rsidRPr="00000000">
        <w:rPr>
          <w:rFonts w:ascii="Arial" w:cs="Arial" w:eastAsia="Arial" w:hAnsi="Arial"/>
          <w:b w:val="0"/>
          <w:bCs w:val="0"/>
          <w:i w:val="0"/>
          <w:iCs w:val="0"/>
          <w:smallCaps w:val="0"/>
          <w:strike w:val="0"/>
          <w:color w:val="1a1a1a"/>
          <w:sz w:val="18"/>
          <w:szCs w:val="18"/>
          <w:highlight w:val="yellow"/>
          <w:u w:val="none"/>
          <w:vertAlign w:val="baseline"/>
          <w:rtl w:val="0"/>
        </w:rPr>
        <w:t xml:space="preserve"> del precio de compraventa corresponderá a DILIGENZ.</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highlight w:val="yellow"/>
        </w:rPr>
      </w:pPr>
      <w:r w:rsidDel="00000000" w:rsidR="00000000" w:rsidRPr="00000000">
        <w:rPr>
          <w:rFonts w:ascii="Arial" w:cs="Arial" w:eastAsia="Arial" w:hAnsi="Arial"/>
          <w:b w:val="1"/>
          <w:bCs w:val="1"/>
          <w:i w:val="0"/>
          <w:iCs w:val="0"/>
          <w:smallCaps w:val="0"/>
          <w:strike w:val="0"/>
          <w:color w:val="1a1a1a"/>
          <w:sz w:val="18"/>
          <w:szCs w:val="18"/>
          <w:highlight w:val="yellow"/>
          <w:u w:val="none"/>
          <w:vertAlign w:val="baseline"/>
          <w:rtl w:val="0"/>
        </w:rPr>
        <w:t xml:space="preserve">DOS POR CIENTO (2%)</w:t>
      </w:r>
      <w:r w:rsidDel="00000000" w:rsidR="00000000" w:rsidRPr="00000000">
        <w:rPr>
          <w:rFonts w:ascii="Arial" w:cs="Arial" w:eastAsia="Arial" w:hAnsi="Arial"/>
          <w:b w:val="0"/>
          <w:bCs w:val="0"/>
          <w:i w:val="0"/>
          <w:iCs w:val="0"/>
          <w:smallCaps w:val="0"/>
          <w:strike w:val="0"/>
          <w:color w:val="1a1a1a"/>
          <w:sz w:val="18"/>
          <w:szCs w:val="18"/>
          <w:highlight w:val="yellow"/>
          <w:u w:val="none"/>
          <w:vertAlign w:val="baseline"/>
          <w:rtl w:val="0"/>
        </w:rPr>
        <w:t xml:space="preserve"> del precio de compraventa corresponderá a EL PROFESIONAL.</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5">
      <w:pPr>
        <w:rPr>
          <w:color w:val="1a1a1a"/>
          <w:sz w:val="18"/>
          <w:szCs w:val="18"/>
        </w:rPr>
      </w:pPr>
      <w:r w:rsidDel="00000000" w:rsidR="00000000" w:rsidRPr="00000000">
        <w:rPr>
          <w:rtl w:val="0"/>
        </w:rPr>
      </w:r>
    </w:p>
    <w:p w:rsidR="00000000" w:rsidDel="00000000" w:rsidP="00000000" w:rsidRDefault="00000000" w:rsidRPr="00000000" w14:paraId="00000036">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A estos efectos, se considerará comprador aportado por DILIGENZ aquel cuya identidad haya sido comunicada </w:t>
      </w:r>
      <w:r w:rsidDel="00000000" w:rsidR="00000000" w:rsidRPr="00000000">
        <w:rPr>
          <w:color w:val="1a1a1a"/>
          <w:sz w:val="18"/>
          <w:szCs w:val="18"/>
          <w:rtl w:val="0"/>
        </w:rPr>
        <w:t xml:space="preserve">por cualquier medio </w:t>
      </w:r>
      <w:r w:rsidDel="00000000" w:rsidR="00000000" w:rsidRPr="00000000">
        <w:rPr>
          <w:rFonts w:ascii="Arial" w:cs="Arial" w:eastAsia="Arial" w:hAnsi="Arial"/>
          <w:b w:val="0"/>
          <w:bCs w:val="0"/>
          <w:i w:val="0"/>
          <w:iCs w:val="0"/>
          <w:color w:val="1a1a1a"/>
          <w:sz w:val="18"/>
          <w:szCs w:val="18"/>
          <w:rtl w:val="0"/>
        </w:rPr>
        <w:t xml:space="preserve">a EL PROFESIONAL. El derecho de DILIGENZ al cobro de honorarios subsistirá aunque la operación se formalice fuera de </w:t>
      </w:r>
      <w:r w:rsidDel="00000000" w:rsidR="00000000" w:rsidRPr="00000000">
        <w:rPr>
          <w:color w:val="1a1a1a"/>
          <w:sz w:val="18"/>
          <w:szCs w:val="18"/>
          <w:rtl w:val="0"/>
        </w:rPr>
        <w:t xml:space="preserve">su </w:t>
      </w:r>
      <w:r w:rsidDel="00000000" w:rsidR="00000000" w:rsidRPr="00000000">
        <w:rPr>
          <w:rFonts w:ascii="Arial" w:cs="Arial" w:eastAsia="Arial" w:hAnsi="Arial"/>
          <w:b w:val="0"/>
          <w:bCs w:val="0"/>
          <w:i w:val="0"/>
          <w:iCs w:val="0"/>
          <w:color w:val="1a1a1a"/>
          <w:sz w:val="18"/>
          <w:szCs w:val="18"/>
          <w:rtl w:val="0"/>
        </w:rPr>
        <w:t xml:space="preserve">plataforma o directamente entre las partes.</w:t>
      </w:r>
      <w:r w:rsidDel="00000000" w:rsidR="00000000" w:rsidRPr="00000000">
        <w:rPr>
          <w:rtl w:val="0"/>
        </w:rPr>
      </w:r>
    </w:p>
    <w:p w:rsidR="00000000" w:rsidDel="00000000" w:rsidP="00000000" w:rsidRDefault="00000000" w:rsidRPr="00000000" w14:paraId="00000037">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5.2  Definición de Operación Generadora de Honorarios</w:t>
      </w:r>
      <w:r w:rsidDel="00000000" w:rsidR="00000000" w:rsidRPr="00000000">
        <w:rPr>
          <w:rtl w:val="0"/>
        </w:rPr>
      </w:r>
    </w:p>
    <w:p w:rsidR="00000000" w:rsidDel="00000000" w:rsidP="00000000" w:rsidRDefault="00000000" w:rsidRPr="00000000" w14:paraId="00000038">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Se entenderá por Operación Generadora de Honorarios cualquier negocio jurídico que implique, directa o indirectamente, la transmisión total o parcial de la propiedad, control, gestión, explotación o aprovechamiento económico de una empresa publicada por EL PROFESIONAL y presentada a un comprador aportado por DILIGENZ. Tendrán dicha consideración, entre otras: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Compraventa de acciones, participaciones sociales, activos empresariales o unidades productivas.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Ampliaciones o reducciones de capital que supongan la incorporación de un inversor o adquirente.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Fusiones, escisiones, cesiones globales de activo y pasivo o reestructuraciones societarias equivalentes.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Constitución de joint ventures, cuentas en participación o acuerdos de asociación que permitan al comprador adquirir participación económica relevante en el negocio.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Opciones de compra, préstamos participativos convertibles o cualquier instrumento que permita o facilite la adquisición futura de la empresa.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Cualquier otra operación que produzca sustancialmente el mismo resultado económico que una transmisión empresarial total o parcial.</w:t>
      </w:r>
    </w:p>
    <w:p w:rsidR="00000000" w:rsidDel="00000000" w:rsidP="00000000" w:rsidRDefault="00000000" w:rsidRPr="00000000" w14:paraId="0000003F">
      <w:pPr>
        <w:rPr>
          <w:color w:val="1a1a1a"/>
          <w:sz w:val="18"/>
          <w:szCs w:val="18"/>
        </w:rPr>
      </w:pPr>
      <w:r w:rsidDel="00000000" w:rsidR="00000000" w:rsidRPr="00000000">
        <w:rPr>
          <w:rtl w:val="0"/>
        </w:rPr>
      </w:r>
    </w:p>
    <w:p w:rsidR="00000000" w:rsidDel="00000000" w:rsidP="00000000" w:rsidRDefault="00000000" w:rsidRPr="00000000" w14:paraId="00000040">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Los honorarios se devengarán con independencia de la forma jurídica finalmente utilizada para estructurar la operación.</w:t>
      </w:r>
      <w:r w:rsidDel="00000000" w:rsidR="00000000" w:rsidRPr="00000000">
        <w:rPr>
          <w:rtl w:val="0"/>
        </w:rPr>
      </w:r>
    </w:p>
    <w:p w:rsidR="00000000" w:rsidDel="00000000" w:rsidP="00000000" w:rsidRDefault="00000000" w:rsidRPr="00000000" w14:paraId="00000041">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5.3  Devengo, facturación y liquidación</w:t>
      </w:r>
      <w:r w:rsidDel="00000000" w:rsidR="00000000" w:rsidRPr="00000000">
        <w:rPr>
          <w:rtl w:val="0"/>
        </w:rPr>
      </w:r>
    </w:p>
    <w:p w:rsidR="00000000" w:rsidDel="00000000" w:rsidP="00000000" w:rsidRDefault="00000000" w:rsidRPr="00000000" w14:paraId="00000042">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Los honorarios se devengarán en el momento de la firma del contrato de compraventa o, en su caso, en el momento del cierre efectivo de la operación. DILIGENZ emitirá al comprador la factura por el importe total de los honorarios pactados en el mandato de compra. Una vez producido el cobro efectivo, EL PROFESIONAL emitirá a DILIGENZ la factura por la cantidad que le corresponda conforme a la Cláusula 5.1. DILIGENZ abonará dicha factura en un plazo máximo de </w:t>
      </w:r>
      <w:r w:rsidDel="00000000" w:rsidR="00000000" w:rsidRPr="00000000">
        <w:rPr>
          <w:color w:val="1a1a1a"/>
          <w:sz w:val="18"/>
          <w:szCs w:val="18"/>
          <w:rtl w:val="0"/>
        </w:rPr>
        <w:t xml:space="preserve">TREINTA </w:t>
      </w:r>
      <w:r w:rsidDel="00000000" w:rsidR="00000000" w:rsidRPr="00000000">
        <w:rPr>
          <w:rFonts w:ascii="Arial" w:cs="Arial" w:eastAsia="Arial" w:hAnsi="Arial"/>
          <w:b w:val="0"/>
          <w:bCs w:val="0"/>
          <w:i w:val="0"/>
          <w:iCs w:val="0"/>
          <w:color w:val="1a1a1a"/>
          <w:sz w:val="18"/>
          <w:szCs w:val="18"/>
          <w:rtl w:val="0"/>
        </w:rPr>
        <w:t xml:space="preserve">(</w:t>
      </w:r>
      <w:r w:rsidDel="00000000" w:rsidR="00000000" w:rsidRPr="00000000">
        <w:rPr>
          <w:color w:val="1a1a1a"/>
          <w:sz w:val="18"/>
          <w:szCs w:val="18"/>
          <w:rtl w:val="0"/>
        </w:rPr>
        <w:t xml:space="preserve">30</w:t>
      </w:r>
      <w:r w:rsidDel="00000000" w:rsidR="00000000" w:rsidRPr="00000000">
        <w:rPr>
          <w:rFonts w:ascii="Arial" w:cs="Arial" w:eastAsia="Arial" w:hAnsi="Arial"/>
          <w:b w:val="0"/>
          <w:bCs w:val="0"/>
          <w:i w:val="0"/>
          <w:iCs w:val="0"/>
          <w:color w:val="1a1a1a"/>
          <w:sz w:val="18"/>
          <w:szCs w:val="18"/>
          <w:rtl w:val="0"/>
        </w:rPr>
        <w:t xml:space="preserve">) días hábiles desde su recepción.</w:t>
      </w:r>
      <w:r w:rsidDel="00000000" w:rsidR="00000000" w:rsidRPr="00000000">
        <w:rPr>
          <w:rtl w:val="0"/>
        </w:rPr>
      </w:r>
    </w:p>
    <w:p w:rsidR="00000000" w:rsidDel="00000000" w:rsidP="00000000" w:rsidRDefault="00000000" w:rsidRPr="00000000" w14:paraId="00000043">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5.4  Condición de cobro de EL PROFESIONAL</w:t>
      </w:r>
      <w:r w:rsidDel="00000000" w:rsidR="00000000" w:rsidRPr="00000000">
        <w:rPr>
          <w:rtl w:val="0"/>
        </w:rPr>
      </w:r>
    </w:p>
    <w:p w:rsidR="00000000" w:rsidDel="00000000" w:rsidP="00000000" w:rsidRDefault="00000000" w:rsidRPr="00000000" w14:paraId="00000044">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derecho de EL PROFESIONAL a percibir su participación económica queda expresamente condicionado al cobro efectivo y definitivo por parte de DILIGENZ de los honorarios correspondientes. Mientras DILIGENZ no haya percibido dichos importes, no existirá obligación exigible de pago a favor de EL PROFESIONAL.</w:t>
      </w:r>
      <w:r w:rsidDel="00000000" w:rsidR="00000000" w:rsidRPr="00000000">
        <w:rPr>
          <w:rtl w:val="0"/>
        </w:rPr>
      </w:r>
    </w:p>
    <w:p w:rsidR="00000000" w:rsidDel="00000000" w:rsidP="00000000" w:rsidRDefault="00000000" w:rsidRPr="00000000" w14:paraId="00000045">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DILIGENZ llevará a cabo las actuaciones de gestión y recobro que, conforme a su criterio empresarial, considere razonablemente oportunas. EL PROFESIONAL reconoce expresamente que asume el riesgo de impago, insolvencia o falta de cobro del comprador respecto de la participación económica que pudiera corresponderle. Si DILIGENZ percibiera únicamente una parte de los honorarios pactados, EL PROFESIONAL tendrá derecho exclusivamente a la parte proporcional efectivamente cobrada.</w:t>
      </w:r>
      <w:r w:rsidDel="00000000" w:rsidR="00000000" w:rsidRPr="00000000">
        <w:rPr>
          <w:rtl w:val="0"/>
        </w:rPr>
      </w:r>
    </w:p>
    <w:p w:rsidR="00000000" w:rsidDel="00000000" w:rsidP="00000000" w:rsidRDefault="00000000" w:rsidRPr="00000000" w14:paraId="00000046">
      <w:pPr>
        <w:spacing w:after="100" w:before="200" w:lineRule="auto"/>
        <w:rPr>
          <w:color w:val="1a1a1a"/>
          <w:sz w:val="18"/>
          <w:szCs w:val="18"/>
        </w:rPr>
      </w:pPr>
      <w:r w:rsidDel="00000000" w:rsidR="00000000" w:rsidRPr="00000000">
        <w:rPr>
          <w:rFonts w:ascii="Arial" w:cs="Arial" w:eastAsia="Arial" w:hAnsi="Arial"/>
          <w:b w:val="1"/>
          <w:bCs w:val="1"/>
          <w:color w:val="1a1a1a"/>
          <w:rtl w:val="0"/>
        </w:rPr>
        <w:t xml:space="preserve">5.5  Obligaciones fiscales</w:t>
      </w:r>
      <w:r w:rsidDel="00000000" w:rsidR="00000000" w:rsidRPr="00000000">
        <w:rPr>
          <w:rtl w:val="0"/>
        </w:rPr>
      </w:r>
    </w:p>
    <w:p w:rsidR="00000000" w:rsidDel="00000000" w:rsidP="00000000" w:rsidRDefault="00000000" w:rsidRPr="00000000" w14:paraId="00000047">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Todos los importes se entienden sin IVA, que se repercutirá conforme a la legislación vigente. Cada parte será responsable del cumplimiento de sus propias obligaciones fiscales.</w:t>
      </w:r>
      <w:r w:rsidDel="00000000" w:rsidR="00000000" w:rsidRPr="00000000">
        <w:rPr>
          <w:rtl w:val="0"/>
        </w:rPr>
      </w:r>
    </w:p>
    <w:p w:rsidR="00000000" w:rsidDel="00000000" w:rsidP="00000000" w:rsidRDefault="00000000" w:rsidRPr="00000000" w14:paraId="00000048">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6.  Publicación y retirada de mandatos de venta</w:t>
      </w:r>
      <w:r w:rsidDel="00000000" w:rsidR="00000000" w:rsidRPr="00000000">
        <w:rPr>
          <w:rtl w:val="0"/>
        </w:rPr>
      </w:r>
    </w:p>
    <w:p w:rsidR="00000000" w:rsidDel="00000000" w:rsidP="00000000" w:rsidRDefault="00000000" w:rsidRPr="00000000" w14:paraId="00000049">
      <w:pPr>
        <w:spacing w:after="80" w:before="80" w:lineRule="auto"/>
        <w:jc w:val="both"/>
        <w:rPr>
          <w:color w:val="1a1a1a"/>
          <w:sz w:val="18"/>
          <w:szCs w:val="18"/>
          <w:highlight w:val="yellow"/>
        </w:rPr>
      </w:pPr>
      <w:sdt>
        <w:sdtPr>
          <w:id w:val="463729765"/>
          <w:tag w:val="goog_rdk_3"/>
        </w:sdtPr>
        <w:sdtContent>
          <w:commentRangeStart w:id="2"/>
        </w:sdtContent>
      </w:sdt>
      <w:r w:rsidDel="00000000" w:rsidR="00000000" w:rsidRPr="00000000">
        <w:rPr>
          <w:rFonts w:ascii="Arial" w:cs="Arial" w:eastAsia="Arial" w:hAnsi="Arial"/>
          <w:b w:val="0"/>
          <w:bCs w:val="0"/>
          <w:i w:val="0"/>
          <w:iCs w:val="0"/>
          <w:color w:val="1a1a1a"/>
          <w:sz w:val="18"/>
          <w:szCs w:val="18"/>
          <w:highlight w:val="yellow"/>
          <w:rtl w:val="0"/>
        </w:rPr>
        <w:t xml:space="preserve">EL PROFESIONAL tendrá plena libertad para publicar en la plataforma de DILIGENZ cuantos mandatos de venta considere oportuno, directamente o a través de DILIGENZ, sin necesidad de autorización previa ni suscripción de anexo alguno. Cada empresa publicada quedará automáticamente sujeta, de forma individual e independiente, a las condiciones del presente Acuerdo desde el momento de su publicación.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A">
      <w:pPr>
        <w:spacing w:after="80" w:before="80" w:lineRule="auto"/>
        <w:jc w:val="both"/>
        <w:rPr>
          <w:color w:val="1a1a1a"/>
          <w:sz w:val="18"/>
          <w:szCs w:val="18"/>
          <w:highlight w:val="yellow"/>
        </w:rPr>
      </w:pPr>
      <w:sdt>
        <w:sdtPr>
          <w:id w:val="-442989616"/>
          <w:tag w:val="goog_rdk_4"/>
        </w:sdtPr>
        <w:sdtContent>
          <w:commentRangeStart w:id="3"/>
        </w:sdtContent>
      </w:sdt>
      <w:r w:rsidDel="00000000" w:rsidR="00000000" w:rsidRPr="00000000">
        <w:rPr>
          <w:rFonts w:ascii="Arial" w:cs="Arial" w:eastAsia="Arial" w:hAnsi="Arial"/>
          <w:b w:val="0"/>
          <w:bCs w:val="0"/>
          <w:i w:val="0"/>
          <w:iCs w:val="0"/>
          <w:color w:val="1a1a1a"/>
          <w:sz w:val="18"/>
          <w:szCs w:val="18"/>
          <w:highlight w:val="yellow"/>
          <w:rtl w:val="0"/>
        </w:rPr>
        <w:t xml:space="preserve">EL PROFESIONAL podrá igualmente retirar de la plataforma cualquier empresa en el momento que estime conveniente, comunicándolo a DILIGENZ. La retirada surtirá efectos desde el momento de dicha comunicación.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B">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La retirada de una empresa de la plataforma no extinguirá los derechos de DILIGENZ respecto de compradores que ya hubieran sido identificados, contactados o presentados con anterioridad a dicha retirada. El periodo de protección de DOCE (12) meses previsto en la Cláusula 7 comenzará a computarse desde la fecha efectiva de retirada.</w:t>
      </w:r>
      <w:r w:rsidDel="00000000" w:rsidR="00000000" w:rsidRPr="00000000">
        <w:rPr>
          <w:rtl w:val="0"/>
        </w:rPr>
      </w:r>
    </w:p>
    <w:p w:rsidR="00000000" w:rsidDel="00000000" w:rsidP="00000000" w:rsidRDefault="00000000" w:rsidRPr="00000000" w14:paraId="0000004C">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En el supuesto de que en el momento de la retirada existan compradores activos en proceso de negociación o análisis de la empresa, EL PROFESIONAL deberá notificarlo de forma fehaciente tanto a DILIGENZ como a dichos compradores. </w:t>
      </w:r>
      <w:sdt>
        <w:sdtPr>
          <w:id w:val="-81410048"/>
          <w:tag w:val="goog_rdk_5"/>
        </w:sdtPr>
        <w:sdtContent>
          <w:commentRangeStart w:id="4"/>
        </w:sdtContent>
      </w:sdt>
      <w:r w:rsidDel="00000000" w:rsidR="00000000" w:rsidRPr="00000000">
        <w:rPr>
          <w:rFonts w:ascii="Arial" w:cs="Arial" w:eastAsia="Arial" w:hAnsi="Arial"/>
          <w:b w:val="0"/>
          <w:bCs w:val="0"/>
          <w:i w:val="0"/>
          <w:iCs w:val="0"/>
          <w:color w:val="1a1a1a"/>
          <w:sz w:val="18"/>
          <w:szCs w:val="18"/>
          <w:rtl w:val="0"/>
        </w:rPr>
        <w:t xml:space="preserve">Si la retirada se produjera sin causa justificada, el PROFESIONAL o el vendedor de la empresa podrán quedar obligados a asumir los costes extraordinarios que dichos compradores hubieran incurrido razonablemente en el marco del proceso de adquisición, tales como honorarios de asesores, gastos de due diligence o desplazamientos, sin perjuicio de las acciones que procedan conforme a derecho.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D">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7.  Naturaleza no exclusiva y periodo de protección</w:t>
      </w:r>
      <w:r w:rsidDel="00000000" w:rsidR="00000000" w:rsidRPr="00000000">
        <w:rPr>
          <w:rtl w:val="0"/>
        </w:rPr>
      </w:r>
    </w:p>
    <w:p w:rsidR="00000000" w:rsidDel="00000000" w:rsidP="00000000" w:rsidRDefault="00000000" w:rsidRPr="00000000" w14:paraId="0000004E">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La relación entre las partes tendrá carácter NO EXCLUSIVO. EL PROFESIONAL podrá colaborar con terceros y DILIGENZ podrá trabajar con otros profesionales y mandatos de venta de forma simultánea.</w:t>
      </w:r>
      <w:r w:rsidDel="00000000" w:rsidR="00000000" w:rsidRPr="00000000">
        <w:rPr>
          <w:rtl w:val="0"/>
        </w:rPr>
      </w:r>
    </w:p>
    <w:p w:rsidR="00000000" w:rsidDel="00000000" w:rsidP="00000000" w:rsidRDefault="00000000" w:rsidRPr="00000000" w14:paraId="0000004F">
      <w:pPr>
        <w:spacing w:after="80" w:before="80" w:lineRule="auto"/>
        <w:jc w:val="both"/>
        <w:rPr>
          <w:color w:val="1a1a1a"/>
          <w:sz w:val="18"/>
          <w:szCs w:val="18"/>
        </w:rPr>
      </w:pPr>
      <w:r w:rsidDel="00000000" w:rsidR="00000000" w:rsidRPr="00000000">
        <w:rPr>
          <w:rFonts w:ascii="Arial" w:cs="Arial" w:eastAsia="Arial" w:hAnsi="Arial"/>
          <w:color w:val="1a1a1a"/>
          <w:sz w:val="18"/>
          <w:szCs w:val="18"/>
          <w:rtl w:val="0"/>
        </w:rPr>
        <w:t xml:space="preserve">Por cada empresa publicada, DILIGENZ conservará el derecho a percibir los honorarios previstos durante el tiempo que </w:t>
      </w:r>
      <w:r w:rsidDel="00000000" w:rsidR="00000000" w:rsidRPr="00000000">
        <w:rPr>
          <w:color w:val="1a1a1a"/>
          <w:sz w:val="18"/>
          <w:szCs w:val="18"/>
          <w:rtl w:val="0"/>
        </w:rPr>
        <w:t xml:space="preserve">esta </w:t>
      </w:r>
      <w:r w:rsidDel="00000000" w:rsidR="00000000" w:rsidRPr="00000000">
        <w:rPr>
          <w:rFonts w:ascii="Arial" w:cs="Arial" w:eastAsia="Arial" w:hAnsi="Arial"/>
          <w:color w:val="1a1a1a"/>
          <w:sz w:val="18"/>
          <w:szCs w:val="18"/>
          <w:rtl w:val="0"/>
        </w:rPr>
        <w:t xml:space="preserve">permanezca publicada y durante los </w:t>
      </w:r>
      <w:r w:rsidDel="00000000" w:rsidR="00000000" w:rsidRPr="00000000">
        <w:rPr>
          <w:rFonts w:ascii="Arial" w:cs="Arial" w:eastAsia="Arial" w:hAnsi="Arial"/>
          <w:b w:val="1"/>
          <w:bCs w:val="1"/>
          <w:color w:val="1a1a1a"/>
          <w:sz w:val="18"/>
          <w:szCs w:val="18"/>
          <w:rtl w:val="0"/>
        </w:rPr>
        <w:t xml:space="preserve">DOCE (12) meses siguientes a su retirada de la plataforma</w:t>
      </w:r>
      <w:r w:rsidDel="00000000" w:rsidR="00000000" w:rsidRPr="00000000">
        <w:rPr>
          <w:rFonts w:ascii="Arial" w:cs="Arial" w:eastAsia="Arial" w:hAnsi="Arial"/>
          <w:color w:val="1a1a1a"/>
          <w:sz w:val="18"/>
          <w:szCs w:val="18"/>
          <w:rtl w:val="0"/>
        </w:rPr>
        <w:t xml:space="preserve">, respecto de cualquier operación formalizada con compradores que DILIGENZ haya identificado, contactado o presentado.</w:t>
      </w:r>
      <w:r w:rsidDel="00000000" w:rsidR="00000000" w:rsidRPr="00000000">
        <w:rPr>
          <w:rtl w:val="0"/>
        </w:rPr>
      </w:r>
    </w:p>
    <w:p w:rsidR="00000000" w:rsidDel="00000000" w:rsidP="00000000" w:rsidRDefault="00000000" w:rsidRPr="00000000" w14:paraId="00000050">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8.  Confidencialidad y protección de información reservada</w:t>
      </w:r>
      <w:r w:rsidDel="00000000" w:rsidR="00000000" w:rsidRPr="00000000">
        <w:rPr>
          <w:rtl w:val="0"/>
        </w:rPr>
      </w:r>
    </w:p>
    <w:p w:rsidR="00000000" w:rsidDel="00000000" w:rsidP="00000000" w:rsidRDefault="00000000" w:rsidRPr="00000000" w14:paraId="00000051">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Las partes mantendrán absoluta confidencialidad respecto de toda información económica, financiera, comercial, técnica o jurídica conocida durante la ejecución del presente Acuerdo. Esta obligación permanecerá vigente indefinidamente incluso tras la terminación de la relación contractual.</w:t>
      </w:r>
      <w:r w:rsidDel="00000000" w:rsidR="00000000" w:rsidRPr="00000000">
        <w:rPr>
          <w:rtl w:val="0"/>
        </w:rPr>
      </w:r>
    </w:p>
    <w:p w:rsidR="00000000" w:rsidDel="00000000" w:rsidP="00000000" w:rsidRDefault="00000000" w:rsidRPr="00000000" w14:paraId="00000052">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La confidencialidad no resultará aplicable cuando la información deba revelarse por imperativo legal, requerimiento administrativo o judicial, o resulte necesaria para el ejercicio de derechos en un procedimiento.</w:t>
      </w:r>
      <w:r w:rsidDel="00000000" w:rsidR="00000000" w:rsidRPr="00000000">
        <w:rPr>
          <w:rtl w:val="0"/>
        </w:rPr>
      </w:r>
    </w:p>
    <w:p w:rsidR="00000000" w:rsidDel="00000000" w:rsidP="00000000" w:rsidRDefault="00000000" w:rsidRPr="00000000" w14:paraId="00000053">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9.  Duración, resolución y efectos</w:t>
      </w:r>
      <w:r w:rsidDel="00000000" w:rsidR="00000000" w:rsidRPr="00000000">
        <w:rPr>
          <w:rtl w:val="0"/>
        </w:rPr>
      </w:r>
    </w:p>
    <w:p w:rsidR="00000000" w:rsidDel="00000000" w:rsidP="00000000" w:rsidRDefault="00000000" w:rsidRPr="00000000" w14:paraId="00000054">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Acuerdo entrará en vigor en la fecha de su firma y tendrá una duración inicial de UN (1) año natural. Transcurrido dicho periodo, se prorrogará automáticamente por periodos anuales sucesivos, salvo denuncia expresa de cualquiera de las partes comunicada fehacientemente con una antelación mínima de TREINTA (30) días naturales al vencimiento del periodo en curso.</w:t>
      </w:r>
      <w:r w:rsidDel="00000000" w:rsidR="00000000" w:rsidRPr="00000000">
        <w:rPr>
          <w:rtl w:val="0"/>
        </w:rPr>
      </w:r>
    </w:p>
    <w:p w:rsidR="00000000" w:rsidDel="00000000" w:rsidP="00000000" w:rsidRDefault="00000000" w:rsidRPr="00000000" w14:paraId="00000055">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Son causas de resolución anticipada:</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El mutuo acuerdo de las partes, manifestado por escrito.</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El incumplimiento grave de las obligaciones contractuales por cualquiera de las partes, previa notificación fehaciente y concesión de un plazo de 15 días naturales para su subsanación.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color w:val="1a1a1a"/>
          <w:sz w:val="18"/>
          <w:szCs w:val="18"/>
        </w:rPr>
      </w:pPr>
      <w:sdt>
        <w:sdtPr>
          <w:id w:val="-1598739081"/>
          <w:tag w:val="goog_rdk_6"/>
        </w:sdtPr>
        <w:sdtContent>
          <w:commentRangeStart w:id="5"/>
        </w:sdtContent>
      </w:sdt>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La pérdida sobrevenida de todos los encargos de venta sobre las empresas publicadas, sin incorporación de nuevas empresas en un plazo razonable</w:t>
      </w:r>
      <w:commentRangeEnd w:id="5"/>
      <w:r w:rsidDel="00000000" w:rsidR="00000000" w:rsidRPr="00000000">
        <w:commentReference w:id="5"/>
      </w:r>
      <w:r w:rsidDel="00000000" w:rsidR="00000000" w:rsidRPr="00000000">
        <w:rPr>
          <w:rFonts w:ascii="Arial" w:cs="Arial" w:eastAsia="Arial" w:hAnsi="Arial"/>
          <w:b w:val="0"/>
          <w:bCs w:val="0"/>
          <w:i w:val="0"/>
          <w:iCs w:val="0"/>
          <w:smallCaps w:val="0"/>
          <w:strike w:val="0"/>
          <w:color w:val="1a1a1a"/>
          <w:sz w:val="18"/>
          <w:szCs w:val="18"/>
          <w:u w:val="none"/>
          <w:shd w:fill="auto" w:val="clear"/>
          <w:vertAlign w:val="baseline"/>
          <w:rtl w:val="0"/>
        </w:rPr>
        <w:t xml:space="preserve">.</w:t>
      </w:r>
    </w:p>
    <w:p w:rsidR="00000000" w:rsidDel="00000000" w:rsidP="00000000" w:rsidRDefault="00000000" w:rsidRPr="00000000" w14:paraId="00000059">
      <w:pPr>
        <w:rPr>
          <w:color w:val="1a1a1a"/>
        </w:rPr>
      </w:pPr>
      <w:r w:rsidDel="00000000" w:rsidR="00000000" w:rsidRPr="00000000">
        <w:rPr>
          <w:rtl w:val="0"/>
        </w:rPr>
      </w:r>
    </w:p>
    <w:p w:rsidR="00000000" w:rsidDel="00000000" w:rsidP="00000000" w:rsidRDefault="00000000" w:rsidRPr="00000000" w14:paraId="0000005A">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La terminación del Acuerdo, por cualquier causa, no afectará al periodo de protección de DOCE (12) meses establecido en la Cláusula 7 respecto de cada empresa publicada, ni eximirá del pago de los honorarios devengados conforme a la Cláusula 5, ni extinguirá el deber de confidencialidad de la Cláusula 8.</w:t>
      </w:r>
      <w:r w:rsidDel="00000000" w:rsidR="00000000" w:rsidRPr="00000000">
        <w:rPr>
          <w:rtl w:val="0"/>
        </w:rPr>
      </w:r>
    </w:p>
    <w:p w:rsidR="00000000" w:rsidDel="00000000" w:rsidP="00000000" w:rsidRDefault="00000000" w:rsidRPr="00000000" w14:paraId="0000005B">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10.  Cesión del contrato</w:t>
      </w:r>
      <w:r w:rsidDel="00000000" w:rsidR="00000000" w:rsidRPr="00000000">
        <w:rPr>
          <w:rtl w:val="0"/>
        </w:rPr>
      </w:r>
    </w:p>
    <w:p w:rsidR="00000000" w:rsidDel="00000000" w:rsidP="00000000" w:rsidRDefault="00000000" w:rsidRPr="00000000" w14:paraId="0000005C">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PROFESIONAL no podrá ceder total o parcialmente sus derechos u obligaciones derivados del presente Acuerdo sin consentimiento previo y escrito de DILIGENZ.</w:t>
      </w:r>
      <w:r w:rsidDel="00000000" w:rsidR="00000000" w:rsidRPr="00000000">
        <w:rPr>
          <w:rtl w:val="0"/>
        </w:rPr>
      </w:r>
    </w:p>
    <w:p w:rsidR="00000000" w:rsidDel="00000000" w:rsidP="00000000" w:rsidRDefault="00000000" w:rsidRPr="00000000" w14:paraId="0000005D">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DILIGENZ podrá ceder el presente Acuerdo, total o parcialmente, a cualquier sociedad de su grupo empresarial o a un tercero que continúe con la actividad de intermediación, comunicando dicha cesión y la identidad del nuevo titular a EL PROFESIONAL con una antelación mínima de QUINCE (15) días naturales. EL PROFESIONAL no podrá oponerse a dicha cesión, sin perjuicio de su derecho a denunciar el Acuerdo conforme a lo previsto en la Cláusula 9.</w:t>
      </w:r>
      <w:r w:rsidDel="00000000" w:rsidR="00000000" w:rsidRPr="00000000">
        <w:rPr>
          <w:rtl w:val="0"/>
        </w:rPr>
      </w:r>
    </w:p>
    <w:p w:rsidR="00000000" w:rsidDel="00000000" w:rsidP="00000000" w:rsidRDefault="00000000" w:rsidRPr="00000000" w14:paraId="0000005E">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11.  Notificaciones y comunicaciones</w:t>
      </w:r>
      <w:r w:rsidDel="00000000" w:rsidR="00000000" w:rsidRPr="00000000">
        <w:rPr>
          <w:rtl w:val="0"/>
        </w:rPr>
      </w:r>
    </w:p>
    <w:p w:rsidR="00000000" w:rsidDel="00000000" w:rsidP="00000000" w:rsidRDefault="00000000" w:rsidRPr="00000000" w14:paraId="0000005F">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Las notificaciones que impliquen modificación contractual, reclamación de honorarios, denuncia del Acuerdo, ejercicio de derechos u obligaciones con efectos jurídicos, o cualquier otra comunicación que requiera constancia fehaciente, deberán realizarse por escrito mediante burofax, correo certificado con acuse de recibo o correo electrónico con confirmación de lectura, a las direcciones indicadas en el Acuerdo de Colaboración.</w:t>
      </w:r>
      <w:r w:rsidDel="00000000" w:rsidR="00000000" w:rsidRPr="00000000">
        <w:rPr>
          <w:rtl w:val="0"/>
        </w:rPr>
      </w:r>
    </w:p>
    <w:p w:rsidR="00000000" w:rsidDel="00000000" w:rsidP="00000000" w:rsidRDefault="00000000" w:rsidRPr="00000000" w14:paraId="00000060">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Las comunicaciones ordinarias derivadas del cumplimiento del Acuerdo, tales como el seguimiento de los procesos activos, la coordinación de reuniones, el intercambio de información o la tramitación de consultas, podrán realizarse por vía telefónica o correo electrónico ordinario.</w:t>
      </w:r>
      <w:r w:rsidDel="00000000" w:rsidR="00000000" w:rsidRPr="00000000">
        <w:rPr>
          <w:rtl w:val="0"/>
        </w:rPr>
      </w:r>
    </w:p>
    <w:p w:rsidR="00000000" w:rsidDel="00000000" w:rsidP="00000000" w:rsidRDefault="00000000" w:rsidRPr="00000000" w14:paraId="00000061">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12.  Modificación, nulidad parcial e integridad del acuerdo</w:t>
      </w:r>
      <w:r w:rsidDel="00000000" w:rsidR="00000000" w:rsidRPr="00000000">
        <w:rPr>
          <w:rtl w:val="0"/>
        </w:rPr>
      </w:r>
    </w:p>
    <w:p w:rsidR="00000000" w:rsidDel="00000000" w:rsidP="00000000" w:rsidRDefault="00000000" w:rsidRPr="00000000" w14:paraId="00000062">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Toda modificación que afecte al Acuerdo deberá formalizarse por escrito y ser suscrita por ambas partes.</w:t>
      </w:r>
      <w:r w:rsidDel="00000000" w:rsidR="00000000" w:rsidRPr="00000000">
        <w:rPr>
          <w:rtl w:val="0"/>
        </w:rPr>
      </w:r>
    </w:p>
    <w:p w:rsidR="00000000" w:rsidDel="00000000" w:rsidP="00000000" w:rsidRDefault="00000000" w:rsidRPr="00000000" w14:paraId="00000063">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La nulidad de cualquier cláusula no afectará a la validez del resto del Acuerdo, que permanecerá íntegro y vigente. Las partes negociarán de buena fe para sustituir la cláusula afectada por otra de efecto equivalente.</w:t>
      </w:r>
      <w:r w:rsidDel="00000000" w:rsidR="00000000" w:rsidRPr="00000000">
        <w:rPr>
          <w:rtl w:val="0"/>
        </w:rPr>
      </w:r>
    </w:p>
    <w:p w:rsidR="00000000" w:rsidDel="00000000" w:rsidP="00000000" w:rsidRDefault="00000000" w:rsidRPr="00000000" w14:paraId="00000064">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Acuerdo, integrado por las Condiciones Particulares y las presentes Condiciones Generales, constituye el acuerdo completo entre las partes y sustituye cualquier negociación o acuerdo anterior sobre su objeto.</w:t>
      </w:r>
      <w:r w:rsidDel="00000000" w:rsidR="00000000" w:rsidRPr="00000000">
        <w:rPr>
          <w:rtl w:val="0"/>
        </w:rPr>
      </w:r>
    </w:p>
    <w:p w:rsidR="00000000" w:rsidDel="00000000" w:rsidP="00000000" w:rsidRDefault="00000000" w:rsidRPr="00000000" w14:paraId="00000065">
      <w:pPr>
        <w:spacing w:after="160" w:before="300" w:lineRule="auto"/>
        <w:rPr>
          <w:color w:val="341f60"/>
          <w:sz w:val="18"/>
          <w:szCs w:val="18"/>
        </w:rPr>
      </w:pPr>
      <w:r w:rsidDel="00000000" w:rsidR="00000000" w:rsidRPr="00000000">
        <w:rPr>
          <w:rFonts w:ascii="Arial" w:cs="Arial" w:eastAsia="Arial" w:hAnsi="Arial"/>
          <w:b w:val="1"/>
          <w:bCs w:val="1"/>
          <w:color w:val="341f60"/>
          <w:sz w:val="26"/>
          <w:szCs w:val="26"/>
          <w:rtl w:val="0"/>
        </w:rPr>
        <w:t xml:space="preserve">13.  Ley aplicable y jurisdicción</w:t>
      </w:r>
      <w:r w:rsidDel="00000000" w:rsidR="00000000" w:rsidRPr="00000000">
        <w:rPr>
          <w:rtl w:val="0"/>
        </w:rPr>
      </w:r>
    </w:p>
    <w:p w:rsidR="00000000" w:rsidDel="00000000" w:rsidP="00000000" w:rsidRDefault="00000000" w:rsidRPr="00000000" w14:paraId="00000066">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El presente Acuerdo se rige e interpreta de acuerdo con la legislación española.</w:t>
      </w:r>
      <w:r w:rsidDel="00000000" w:rsidR="00000000" w:rsidRPr="00000000">
        <w:rPr>
          <w:rtl w:val="0"/>
        </w:rPr>
      </w:r>
    </w:p>
    <w:p w:rsidR="00000000" w:rsidDel="00000000" w:rsidP="00000000" w:rsidRDefault="00000000" w:rsidRPr="00000000" w14:paraId="00000067">
      <w:pPr>
        <w:spacing w:after="80" w:before="80" w:lineRule="auto"/>
        <w:jc w:val="both"/>
        <w:rPr>
          <w:color w:val="1a1a1a"/>
          <w:sz w:val="18"/>
          <w:szCs w:val="18"/>
        </w:rPr>
      </w:pPr>
      <w:r w:rsidDel="00000000" w:rsidR="00000000" w:rsidRPr="00000000">
        <w:rPr>
          <w:rFonts w:ascii="Arial" w:cs="Arial" w:eastAsia="Arial" w:hAnsi="Arial"/>
          <w:b w:val="0"/>
          <w:bCs w:val="0"/>
          <w:i w:val="0"/>
          <w:iCs w:val="0"/>
          <w:color w:val="1a1a1a"/>
          <w:sz w:val="18"/>
          <w:szCs w:val="18"/>
          <w:rtl w:val="0"/>
        </w:rPr>
        <w:t xml:space="preserve">Para la resolución de cuantas controversias pudieran derivarse del Acuerdo, las partes se someten, con renuncia expresa a cualquier otro fuero que pudiera corresponderles, a la jurisdicción de los Juzgados y Tribunales de Valencia.</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60" w:before="240" w:lineRule="auto"/>
        <w:jc w:val="both"/>
        <w:rPr>
          <w:color w:val="1a1a1a"/>
          <w:sz w:val="18"/>
          <w:szCs w:val="18"/>
        </w:rPr>
      </w:pPr>
      <w:r w:rsidDel="00000000" w:rsidR="00000000" w:rsidRPr="00000000">
        <w:rPr>
          <w:rtl w:val="0"/>
        </w:rPr>
      </w:r>
    </w:p>
    <w:sdt>
      <w:sdtPr>
        <w:lock w:val="contentLocked"/>
        <w:id w:val="-519469395"/>
        <w:tag w:val="goog_rdk_7"/>
      </w:sdtPr>
      <w:sdtContent>
        <w:tbl>
          <w:tblPr>
            <w:tblStyle w:val="Table3"/>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45"/>
            <w:tblGridChange w:id="0">
              <w:tblGrid>
                <w:gridCol w:w="9945"/>
              </w:tblGrid>
            </w:tblGridChange>
          </w:tblGrid>
          <w:tr>
            <w:trPr>
              <w:cantSplit w:val="0"/>
              <w:tblHeader w:val="0"/>
            </w:trPr>
            <w:tc>
              <w:tcPr>
                <w:tcBorders>
                  <w:top w:color="c5d5e8" w:space="0" w:sz="4" w:val="single"/>
                  <w:left w:color="c5d5e8" w:space="0" w:sz="4" w:val="single"/>
                  <w:bottom w:color="c5d5e8" w:space="0" w:sz="4" w:val="single"/>
                  <w:right w:color="c5d5e8" w:space="0" w:sz="4" w:val="single"/>
                </w:tcBorders>
                <w:shd w:fill="f5f3ff" w:val="clear"/>
                <w:tcMar>
                  <w:top w:w="160.0" w:type="dxa"/>
                  <w:left w:w="280.0" w:type="dxa"/>
                  <w:bottom w:w="160.0" w:type="dxa"/>
                  <w:right w:w="280.0" w:type="dxa"/>
                </w:tcMar>
              </w:tcPr>
              <w:p w:rsidR="00000000" w:rsidDel="00000000" w:rsidP="00000000" w:rsidRDefault="00000000" w:rsidRPr="00000000" w14:paraId="0000006A">
                <w:pPr>
                  <w:spacing w:after="80" w:lineRule="auto"/>
                  <w:jc w:val="center"/>
                  <w:rPr>
                    <w:color w:val="1a1a1a"/>
                    <w:sz w:val="18"/>
                    <w:szCs w:val="18"/>
                  </w:rPr>
                </w:pPr>
                <w:r w:rsidDel="00000000" w:rsidR="00000000" w:rsidRPr="00000000">
                  <w:rPr>
                    <w:i w:val="1"/>
                    <w:iCs w:val="1"/>
                    <w:color w:val="1a1a1a"/>
                    <w:sz w:val="16"/>
                    <w:szCs w:val="16"/>
                    <w:rtl w:val="0"/>
                  </w:rPr>
                  <w:t xml:space="preserve">Las presentes Condiciones Generales forman parte inseparable del Acuerdo de Colaboración firmado entre las partes.</w:t>
                </w:r>
                <w:r w:rsidDel="00000000" w:rsidR="00000000" w:rsidRPr="00000000">
                  <w:rPr>
                    <w:rtl w:val="0"/>
                  </w:rPr>
                </w:r>
              </w:p>
              <w:p w:rsidR="00000000" w:rsidDel="00000000" w:rsidP="00000000" w:rsidRDefault="00000000" w:rsidRPr="00000000" w14:paraId="0000006B">
                <w:pPr>
                  <w:jc w:val="center"/>
                  <w:rPr>
                    <w:color w:val="1a1a1a"/>
                    <w:sz w:val="18"/>
                    <w:szCs w:val="18"/>
                  </w:rPr>
                </w:pPr>
                <w:r w:rsidDel="00000000" w:rsidR="00000000" w:rsidRPr="00000000">
                  <w:rPr>
                    <w:b w:val="1"/>
                    <w:bCs w:val="1"/>
                    <w:color w:val="341f60"/>
                    <w:sz w:val="16"/>
                    <w:szCs w:val="16"/>
                    <w:rtl w:val="0"/>
                  </w:rPr>
                  <w:t xml:space="preserve">La aceptación del Acuerdo de Colaboración implica la aceptación íntegra del presente documento.</w:t>
                </w:r>
                <w:r w:rsidDel="00000000" w:rsidR="00000000" w:rsidRPr="00000000">
                  <w:rPr>
                    <w:rtl w:val="0"/>
                  </w:rPr>
                </w:r>
              </w:p>
            </w:tc>
          </w:tr>
        </w:tbl>
      </w:sdtContent>
    </w:sdt>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0"/>
        <w:gridCol w:w="720"/>
        <w:gridCol w:w="4320"/>
        <w:tblGridChange w:id="0">
          <w:tblGrid>
            <w:gridCol w:w="4320"/>
            <w:gridCol w:w="720"/>
            <w:gridCol w:w="43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80.0" w:type="dxa"/>
            </w:tcMar>
          </w:tcPr>
          <w:p w:rsidR="00000000" w:rsidDel="00000000" w:rsidP="00000000" w:rsidRDefault="00000000" w:rsidRPr="00000000" w14:paraId="0000006F">
            <w:pPr>
              <w:jc w:val="center"/>
              <w:rPr>
                <w:color w:val="1a1a1a"/>
              </w:rPr>
            </w:pPr>
            <w:r w:rsidDel="00000000" w:rsidR="00000000" w:rsidRPr="00000000">
              <w:rPr>
                <w:b w:val="1"/>
                <w:bCs w:val="1"/>
                <w:color w:val="341f60"/>
                <w:rtl w:val="0"/>
              </w:rPr>
              <w:t xml:space="preserve">Por DILIGENZ</w:t>
            </w:r>
            <w:r w:rsidDel="00000000" w:rsidR="00000000" w:rsidRPr="00000000">
              <w:rPr>
                <w:rtl w:val="0"/>
              </w:rPr>
            </w:r>
          </w:p>
          <w:p w:rsidR="00000000" w:rsidDel="00000000" w:rsidP="00000000" w:rsidRDefault="00000000" w:rsidRPr="00000000" w14:paraId="00000070">
            <w:pPr>
              <w:spacing w:after="200" w:before="40" w:lineRule="auto"/>
              <w:rPr>
                <w:color w:val="1a1a1a"/>
              </w:rPr>
            </w:pPr>
            <w:r w:rsidDel="00000000" w:rsidR="00000000" w:rsidRPr="00000000">
              <w:rPr>
                <w:rtl w:val="0"/>
              </w:rPr>
            </w:r>
          </w:p>
          <w:p w:rsidR="00000000" w:rsidDel="00000000" w:rsidP="00000000" w:rsidRDefault="00000000" w:rsidRPr="00000000" w14:paraId="00000071">
            <w:pPr>
              <w:spacing w:after="200" w:before="40" w:lineRule="auto"/>
              <w:rPr>
                <w:color w:val="1a1a1a"/>
              </w:rPr>
            </w:pPr>
            <w:r w:rsidDel="00000000" w:rsidR="00000000" w:rsidRPr="00000000">
              <w:rPr>
                <w:rtl w:val="0"/>
              </w:rPr>
            </w:r>
          </w:p>
          <w:p w:rsidR="00000000" w:rsidDel="00000000" w:rsidP="00000000" w:rsidRDefault="00000000" w:rsidRPr="00000000" w14:paraId="00000072">
            <w:pPr>
              <w:spacing w:after="200" w:before="40" w:lineRule="auto"/>
              <w:rPr>
                <w:color w:val="1a1a1a"/>
              </w:rPr>
            </w:pPr>
            <w:r w:rsidDel="00000000" w:rsidR="00000000" w:rsidRPr="00000000">
              <w:rPr>
                <w:rtl w:val="0"/>
              </w:rPr>
            </w:r>
          </w:p>
          <w:p w:rsidR="00000000" w:rsidDel="00000000" w:rsidP="00000000" w:rsidRDefault="00000000" w:rsidRPr="00000000" w14:paraId="00000073">
            <w:pPr>
              <w:spacing w:after="200" w:before="40" w:lineRule="auto"/>
              <w:rPr>
                <w:color w:val="1a1a1a"/>
              </w:rPr>
            </w:pPr>
            <w:r w:rsidDel="00000000" w:rsidR="00000000" w:rsidRPr="00000000">
              <w:rPr>
                <w:rtl w:val="0"/>
              </w:rPr>
            </w:r>
          </w:p>
          <w:p w:rsidR="00000000" w:rsidDel="00000000" w:rsidP="00000000" w:rsidRDefault="00000000" w:rsidRPr="00000000" w14:paraId="00000074">
            <w:pPr>
              <w:pBdr>
                <w:bottom w:color="1a1a1a" w:space="0" w:sz="6" w:val="single"/>
              </w:pBdr>
              <w:rPr>
                <w:color w:val="1a1a1a"/>
              </w:rPr>
            </w:pPr>
            <w:r w:rsidDel="00000000" w:rsidR="00000000" w:rsidRPr="00000000">
              <w:rPr>
                <w:rtl w:val="0"/>
              </w:rPr>
            </w:r>
          </w:p>
          <w:p w:rsidR="00000000" w:rsidDel="00000000" w:rsidP="00000000" w:rsidRDefault="00000000" w:rsidRPr="00000000" w14:paraId="00000075">
            <w:pPr>
              <w:spacing w:after="40" w:before="40" w:lineRule="auto"/>
              <w:rPr>
                <w:color w:val="1a1a1a"/>
              </w:rPr>
            </w:pPr>
            <w:r w:rsidDel="00000000" w:rsidR="00000000" w:rsidRPr="00000000">
              <w:rPr>
                <w:rtl w:val="0"/>
              </w:rPr>
            </w:r>
          </w:p>
          <w:p w:rsidR="00000000" w:rsidDel="00000000" w:rsidP="00000000" w:rsidRDefault="00000000" w:rsidRPr="00000000" w14:paraId="00000076">
            <w:pPr>
              <w:jc w:val="center"/>
              <w:rPr>
                <w:color w:val="1a1a1a"/>
              </w:rPr>
            </w:pPr>
            <w:r w:rsidDel="00000000" w:rsidR="00000000" w:rsidRPr="00000000">
              <w:rPr>
                <w:color w:val="1a1a1a"/>
                <w:sz w:val="18"/>
                <w:szCs w:val="18"/>
                <w:rtl w:val="0"/>
              </w:rPr>
              <w:t xml:space="preserve">Jose Ángel Cañizares Llorca</w:t>
            </w:r>
            <w:r w:rsidDel="00000000" w:rsidR="00000000" w:rsidRPr="00000000">
              <w:rPr>
                <w:rtl w:val="0"/>
              </w:rPr>
            </w:r>
          </w:p>
          <w:p w:rsidR="00000000" w:rsidDel="00000000" w:rsidP="00000000" w:rsidRDefault="00000000" w:rsidRPr="00000000" w14:paraId="00000077">
            <w:pPr>
              <w:jc w:val="center"/>
              <w:rPr>
                <w:color w:val="1a1a1a"/>
              </w:rPr>
            </w:pPr>
            <w:r w:rsidDel="00000000" w:rsidR="00000000" w:rsidRPr="00000000">
              <w:rPr>
                <w:color w:val="6b7280"/>
                <w:sz w:val="16"/>
                <w:szCs w:val="16"/>
                <w:rtl w:val="0"/>
              </w:rPr>
              <w:t xml:space="preserve">NIF: 23848753F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color w:val="1a1a1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80.0" w:type="dxa"/>
              <w:bottom w:w="80.0" w:type="dxa"/>
              <w:right w:w="0.0" w:type="dxa"/>
            </w:tcMar>
          </w:tcPr>
          <w:p w:rsidR="00000000" w:rsidDel="00000000" w:rsidP="00000000" w:rsidRDefault="00000000" w:rsidRPr="00000000" w14:paraId="00000079">
            <w:pPr>
              <w:jc w:val="center"/>
              <w:rPr>
                <w:color w:val="1a1a1a"/>
              </w:rPr>
            </w:pPr>
            <w:r w:rsidDel="00000000" w:rsidR="00000000" w:rsidRPr="00000000">
              <w:rPr>
                <w:b w:val="1"/>
                <w:bCs w:val="1"/>
                <w:color w:val="341f60"/>
                <w:rtl w:val="0"/>
              </w:rPr>
              <w:t xml:space="preserve">Por EL VENDEDOR</w:t>
            </w:r>
            <w:r w:rsidDel="00000000" w:rsidR="00000000" w:rsidRPr="00000000">
              <w:rPr>
                <w:rtl w:val="0"/>
              </w:rPr>
            </w:r>
          </w:p>
          <w:p w:rsidR="00000000" w:rsidDel="00000000" w:rsidP="00000000" w:rsidRDefault="00000000" w:rsidRPr="00000000" w14:paraId="0000007A">
            <w:pPr>
              <w:spacing w:after="200" w:before="40" w:lineRule="auto"/>
              <w:rPr>
                <w:color w:val="1a1a1a"/>
              </w:rPr>
            </w:pPr>
            <w:r w:rsidDel="00000000" w:rsidR="00000000" w:rsidRPr="00000000">
              <w:rPr>
                <w:rtl w:val="0"/>
              </w:rPr>
            </w:r>
          </w:p>
          <w:p w:rsidR="00000000" w:rsidDel="00000000" w:rsidP="00000000" w:rsidRDefault="00000000" w:rsidRPr="00000000" w14:paraId="0000007B">
            <w:pPr>
              <w:spacing w:after="200" w:before="40" w:lineRule="auto"/>
              <w:rPr>
                <w:color w:val="1a1a1a"/>
              </w:rPr>
            </w:pPr>
            <w:r w:rsidDel="00000000" w:rsidR="00000000" w:rsidRPr="00000000">
              <w:rPr>
                <w:rtl w:val="0"/>
              </w:rPr>
            </w:r>
          </w:p>
          <w:p w:rsidR="00000000" w:rsidDel="00000000" w:rsidP="00000000" w:rsidRDefault="00000000" w:rsidRPr="00000000" w14:paraId="0000007C">
            <w:pPr>
              <w:spacing w:after="200" w:before="40" w:lineRule="auto"/>
              <w:rPr>
                <w:color w:val="1a1a1a"/>
              </w:rPr>
            </w:pPr>
            <w:r w:rsidDel="00000000" w:rsidR="00000000" w:rsidRPr="00000000">
              <w:rPr>
                <w:rtl w:val="0"/>
              </w:rPr>
            </w:r>
          </w:p>
          <w:p w:rsidR="00000000" w:rsidDel="00000000" w:rsidP="00000000" w:rsidRDefault="00000000" w:rsidRPr="00000000" w14:paraId="0000007D">
            <w:pPr>
              <w:spacing w:after="200" w:before="40" w:lineRule="auto"/>
              <w:rPr>
                <w:color w:val="1a1a1a"/>
              </w:rPr>
            </w:pPr>
            <w:r w:rsidDel="00000000" w:rsidR="00000000" w:rsidRPr="00000000">
              <w:rPr>
                <w:rtl w:val="0"/>
              </w:rPr>
            </w:r>
          </w:p>
          <w:p w:rsidR="00000000" w:rsidDel="00000000" w:rsidP="00000000" w:rsidRDefault="00000000" w:rsidRPr="00000000" w14:paraId="0000007E">
            <w:pPr>
              <w:pBdr>
                <w:bottom w:color="1a1a1a" w:space="0" w:sz="6" w:val="single"/>
              </w:pBdr>
              <w:rPr>
                <w:color w:val="1a1a1a"/>
              </w:rPr>
            </w:pPr>
            <w:r w:rsidDel="00000000" w:rsidR="00000000" w:rsidRPr="00000000">
              <w:rPr>
                <w:rtl w:val="0"/>
              </w:rPr>
            </w:r>
          </w:p>
          <w:p w:rsidR="00000000" w:rsidDel="00000000" w:rsidP="00000000" w:rsidRDefault="00000000" w:rsidRPr="00000000" w14:paraId="0000007F">
            <w:pPr>
              <w:spacing w:after="40" w:before="40" w:lineRule="auto"/>
              <w:rPr>
                <w:color w:val="1a1a1a"/>
              </w:rPr>
            </w:pPr>
            <w:r w:rsidDel="00000000" w:rsidR="00000000" w:rsidRPr="00000000">
              <w:rPr>
                <w:rtl w:val="0"/>
              </w:rPr>
            </w:r>
          </w:p>
          <w:p w:rsidR="00000000" w:rsidDel="00000000" w:rsidP="00000000" w:rsidRDefault="00000000" w:rsidRPr="00000000" w14:paraId="00000080">
            <w:pPr>
              <w:jc w:val="center"/>
              <w:rPr>
                <w:color w:val="1a1a1a"/>
              </w:rPr>
            </w:pPr>
            <w:r w:rsidDel="00000000" w:rsidR="00000000" w:rsidRPr="00000000">
              <w:rPr>
                <w:color w:val="1a1a1a"/>
                <w:sz w:val="18"/>
                <w:szCs w:val="18"/>
                <w:rtl w:val="0"/>
              </w:rPr>
              <w:t xml:space="preserve">Nombre: ____________________________</w:t>
            </w:r>
            <w:r w:rsidDel="00000000" w:rsidR="00000000" w:rsidRPr="00000000">
              <w:rPr>
                <w:rtl w:val="0"/>
              </w:rPr>
            </w:r>
          </w:p>
          <w:p w:rsidR="00000000" w:rsidDel="00000000" w:rsidP="00000000" w:rsidRDefault="00000000" w:rsidRPr="00000000" w14:paraId="00000081">
            <w:pPr>
              <w:jc w:val="center"/>
              <w:rPr>
                <w:color w:val="1a1a1a"/>
              </w:rPr>
            </w:pPr>
            <w:r w:rsidDel="00000000" w:rsidR="00000000" w:rsidRPr="00000000">
              <w:rPr>
                <w:color w:val="6b7280"/>
                <w:sz w:val="16"/>
                <w:szCs w:val="16"/>
                <w:rtl w:val="0"/>
              </w:rPr>
              <w:t xml:space="preserve">NIF: _______________________________</w:t>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default"/>
      <w:footerReference r:id="rId10" w:type="default"/>
      <w:pgSz w:h="16838" w:w="11906" w:orient="portrait"/>
      <w:pgMar w:bottom="1000" w:top="1000" w:left="1000" w:right="10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se Angel" w:id="4" w:date="2026-06-17T13:07:26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 VEZ SEA DEMASIADO AGRESIVO.</w:t>
      </w:r>
    </w:p>
  </w:comment>
  <w:comment w:author="Jose Angel" w:id="0" w:date="2026-06-17T13:07:21Z">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CABE LA POSIBILIDAD DE QUE LA COMISIÓN PACTADA NO SEA DEL 4% Y SEA OTRA, O SEA EL MÍNIMO DE 5.000€. HAY QUE ADAPTARLO.</w:t>
      </w:r>
    </w:p>
  </w:comment>
  <w:comment w:author="Jose Angel" w:id="1" w:date="2026-06-17T13:07:22Z">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PENDIENTE DE ADAPTAR CONFORME AL PUNTO 4.3. CUANDO LA COMISIÓN DEL COMPRADOR NO SEA DEL 4%, NO CORRESPONDERÁ ESE 2%. ES DECIR, LA COMISIÓN SERÁ AL 50%.</w:t>
      </w:r>
    </w:p>
  </w:comment>
  <w:comment w:author="Jose Angel" w:id="5" w:date="2026-06-17T13:07:28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MODIFICAR POR, EL CESE DE LA ACTIVIDAD POR PARTE DE CUALQUIERA DE LAS PARTES.</w:t>
      </w:r>
    </w:p>
  </w:comment>
  <w:comment w:author="Jose Angel" w:id="2" w:date="2026-06-17T13:07:24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VEZ COMPLETADO, AL MENOS, LOS DATOS MÍNIMOS NECESARIOS DE CADA UNA DE LAS EMPRESAS.</w:t>
      </w:r>
    </w:p>
  </w:comment>
  <w:comment w:author="Jose Angel" w:id="3" w:date="2026-06-17T13:07:25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SERÁ NECESARIO QUE LO COMUNIQUE, LA PLATAFORMA LO COMUNICARÁ AUTOMÁTICAMENTE Y DILIGENZ LO ACEPTARÁ. UNA VEZ RETIRADA LA EMPRESA, SE ENVIARÁ UN MAIL AUTOMÁTICO COMUNICANDO LA RETIRADA PARA CUMPLIR CON EL SIGUIENTE PÁRRAFO.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A" w15:done="0"/>
  <w15:commentEx w15:paraId="0000008B" w15:done="0"/>
  <w15:commentEx w15:paraId="0000008C" w15:done="0"/>
  <w15:commentEx w15:paraId="0000008D" w15:done="0"/>
  <w15:commentEx w15:paraId="0000008E" w15:done="0"/>
  <w15:commentEx w15:paraId="0000008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pBdr>
        <w:top w:color="9146ff" w:space="0" w:sz="6" w:val="single"/>
      </w:pBdr>
      <w:spacing w:before="80" w:lineRule="auto"/>
      <w:jc w:val="center"/>
      <w:rPr>
        <w:color w:val="6b7280"/>
        <w:sz w:val="16"/>
        <w:szCs w:val="16"/>
      </w:rPr>
    </w:pPr>
    <w:r w:rsidDel="00000000" w:rsidR="00000000" w:rsidRPr="00000000">
      <w:rPr>
        <w:rtl w:val="0"/>
      </w:rPr>
    </w:r>
  </w:p>
  <w:p w:rsidR="00000000" w:rsidDel="00000000" w:rsidP="00000000" w:rsidRDefault="00000000" w:rsidRPr="00000000" w14:paraId="00000089">
    <w:pPr>
      <w:pBdr>
        <w:top w:color="9146ff" w:space="0" w:sz="6" w:val="single"/>
      </w:pBdr>
      <w:spacing w:before="80" w:lineRule="auto"/>
      <w:jc w:val="center"/>
      <w:rPr>
        <w:i w:val="1"/>
        <w:iCs w:val="1"/>
        <w:color w:val="555555"/>
        <w:sz w:val="16"/>
        <w:szCs w:val="16"/>
      </w:rPr>
    </w:pPr>
    <w:r w:rsidDel="00000000" w:rsidR="00000000" w:rsidRPr="00000000">
      <w:rPr>
        <w:color w:val="6b7280"/>
        <w:sz w:val="16"/>
        <w:szCs w:val="16"/>
        <w:rtl w:val="0"/>
      </w:rPr>
      <w:t xml:space="preserve">Condiciones Generales del Acuerdo de Colaboración  ·  Página </w:t>
    </w:r>
    <w:r w:rsidDel="00000000" w:rsidR="00000000" w:rsidRPr="00000000">
      <w:rPr>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rPr>
        <w:color w:val="1a1a1a"/>
      </w:rPr>
    </w:pPr>
    <w:r w:rsidDel="00000000" w:rsidR="00000000" w:rsidRPr="00000000">
      <w:rPr>
        <w:color w:val="6b7280"/>
        <w:sz w:val="16"/>
        <w:szCs w:val="16"/>
      </w:rPr>
      <w:drawing>
        <wp:inline distB="114300" distT="114300" distL="114300" distR="114300">
          <wp:extent cx="1546112" cy="28860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46112" cy="288608"/>
                  </a:xfrm>
                  <a:prstGeom prst="rect"/>
                  <a:ln/>
                </pic:spPr>
              </pic:pic>
            </a:graphicData>
          </a:graphic>
        </wp:inline>
      </w:drawing>
    </w:r>
    <w:r w:rsidDel="00000000" w:rsidR="00000000" w:rsidRPr="00000000">
      <w:rPr>
        <w:rtl w:val="0"/>
      </w:rPr>
    </w:r>
  </w:p>
  <w:sdt>
    <w:sdtPr>
      <w:lock w:val="contentLocked"/>
      <w:id w:val="2110755622"/>
      <w:tag w:val="goog_rdk_8"/>
    </w:sdtPr>
    <w:sdtContent>
      <w:tbl>
        <w:tblPr>
          <w:tblStyle w:val="Table5"/>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638"/>
          <w:tblGridChange w:id="0">
            <w:tblGrid>
              <w:gridCol w:w="5000"/>
              <w:gridCol w:w="463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4">
              <w:pPr>
                <w:rPr>
                  <w:color w:val="1a1a1a"/>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5">
              <w:pPr>
                <w:jc w:val="right"/>
                <w:rPr>
                  <w:color w:val="1a1a1a"/>
                </w:rPr>
              </w:pPr>
              <w:r w:rsidDel="00000000" w:rsidR="00000000" w:rsidRPr="00000000">
                <w:rPr>
                  <w:color w:val="6b7280"/>
                  <w:sz w:val="16"/>
                  <w:szCs w:val="16"/>
                  <w:rtl w:val="0"/>
                </w:rPr>
                <w:t xml:space="preserve">CONDICIONES GENERALES — 2026</w:t>
              </w:r>
              <w:r w:rsidDel="00000000" w:rsidR="00000000" w:rsidRPr="00000000">
                <w:rPr>
                  <w:rtl w:val="0"/>
                </w:rPr>
              </w:r>
            </w:p>
          </w:tc>
        </w:tr>
      </w:tbl>
    </w:sdtContent>
  </w:sdt>
  <w:p w:rsidR="00000000" w:rsidDel="00000000" w:rsidP="00000000" w:rsidRDefault="00000000" w:rsidRPr="00000000" w14:paraId="00000086">
    <w:pPr>
      <w:pBdr>
        <w:bottom w:color="341f60" w:space="0" w:sz="12" w:val="single"/>
      </w:pBdr>
      <w:spacing w:after="60" w:before="60" w:lineRule="auto"/>
      <w:rPr>
        <w:color w:val="1a1a1a"/>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lXmCjrfPzR2DY6IvwVS2OKnQMQ==">CgMxLjAaHwoBMBIaChgICVIUChJ0YWJsZS5scDVpbWxiNXZrbTQaJwoBMRIiCiAIBCocCgtBQUFCOXdod29hSRAIGgtBQUFCOXdod29hSRonCgEyEiIKIAgEKhwKC0FBQUI5d2h3b2FNEAgaC0FBQUI5d2h3b2FNGicKATMSIgogCAQqHAoLQUFBQjl3aHdvYVEQCBoLQUFBQjl3aHdvYVEaJwoBNBIiCiAIBCocCgtBQUFCOXdod29hVRAIGgtBQUFCOXdod29hVRonCgE1EiIKIAgEKhwKC0FBQUI5d2h3b2FZEAgaC0FBQUI5d2h3b2FZGicKATYSIgogCAQqHAoLQUFBQjl3aHdvYWMQCBoLQUFBQjl3aHdvYWMaHwoBNxIaChgICVIUChJ0YWJsZS52MzhhNXF3OG5tMDEaHwoBOBIaChgICVIUChJ0YWJsZS5oeG85bG8yZGVoaG0irgUKC0FBQUI5d2h3b2FZEv4ECgtBQUFCOXdod29hWRILQUFBQjl3aHdvYVkaLAoJdGV4dC9odG1sEh9UQUwgVkVaIFNFQSBERU1BU0lBRE8gQUdSRVNJVk8uIi0KCnRleHQvcGxhaW4SH1RBTCBWRVogU0VBIERFTUFTSUFETyBBR1JFU0lWTy4qGyIVMTA1NTM1ODU3OTQ0MDA2ODMxNTg4KAA4ADCKssat7TM4irLGre0zSpgDCgp0ZXh0L3BsYWluEokDU2kgbGEgcmV0aXJhZGEgc2UgcHJvZHVqZXJhIHNpbiBjYXVzYSBqdXN0aWZpY2FkYSwgZWwgUFJPRkVTSU9OQUwgbyBlbCB2ZW5kZWRvciBkZSBsYSBlbXByZXNhIHBvZHLDoW4gcXVlZGFyIG9ibGlnYWRvcyBhIGFzdW1pciBsb3MgY29zdGVzIGV4dHJhb3JkaW5hcmlvcyBxdWUgZGljaG9zIGNvbXByYWRvcmVzIGh1YmllcmFuIGluY3VycmlkbyByYXpvbmFibGVtZW50ZSBlbiBlbCBtYXJjbyBkZWwgcHJvY2VzbyBkZSBhZHF1aXNpY2nDs24sIHRhbGVzIGNvbW8gaG9ub3JhcmlvcyBkZSBhc2Vzb3JlcywgZ2FzdG9zIGRlIGR1ZSBkaWxpZ2VuY2UgbyBkZXNwbGF6YW1pZW50b3MsIHNpbiBwZXJqdWljaW8gZGUgbGFzIGFjY2lvbmVzIHF1ZSBwcm9jZWRhbiBjb25mb3JtZSBhIGRlcmVjaG8uWgxrcTdhbTMxaHRhMXRyAiAAeACaAQYIABAAGACqASESH1RBTCBWRVogU0VBIERFTUFTSUFETyBBR1JFU0lWTy4YirLGre0zIIqyxq3tM0IQa2l4LmZmaHIyNmdzZ3B2NiL+BwoLQUFBQjl3aHdvYUkSzgcKC0FBQUI5d2h3b2FJEgtBQUFCOXdod29hSRqHAQoJdGV4dC9odG1sEnpDQUJFIExBIFBPU0lCSUxJREFEIERFIFFVRSBMQSBDT01JU0nDk04gUEFDVEFEQSBOTyBTRUEgREVMIDQlIFkgU0VBIE9UUkEsIE8gU0VBIEVMIE3DjU5JTU8gREUgNS4wMDDigqwuIEhBWSBRVUUgQURBUFRBUkxPLiKIAQoKdGV4dC9wbGFpbhJ6Q0FCRSBMQSBQT1NJQklMSURBRCBERSBRVUUgTEEgQ09NSVNJw5NOIFBBQ1RBREEgTk8gU0VBIERFTCA0JSBZIFNFQSBPVFJBLCBPIFNFQSBFTCBNw41OSU1PIERFIDUuMDAw4oKsLiBIQVkgUVVFIEFEQVBUQVJMTy4qGyIVMTA1NTM1ODU3OTQ0MDA2ODMxNTg4KAA4ADDEh8at7TM4xIfGre0zStUDCgp0ZXh0L3BsYWluEsYDQW50ZXMgZGUgcHJlc2VudGFyIGN1YWxxdWllciBjb21wcmFkb3IgYSBFTCBQUk9GRVNJT05BTCwgRElMSUdFTlogc3VzY3JpYmlyw6EgY29uIGRpY2hvIGNvbXByYWRvciB1biBtYW5kYXRvIGRlIGNvbXByYSBlbiBlbCBxdWUgc2UgZXN0YWJsZWNlcsOhIHF1ZSwgZW4gY2FzbyBkZSBhZHF1aXNpY2nDs24sIGVsIGNvbXByYWRvciBhYm9uYXLDoSBhIERJTElHRU5aIGhvbm9yYXJpb3MgZXF1aXZhbGVudGVzLCBub3JtYWxtZW50ZSwgYWwgQ1VBVFJPIFBPUiBDSUVOVE8gKDQlKSBkZWwgcHJlY2lvIGZpbmFsIGRlIGNvbXByYXZlbnRhLCBtw6FzIGxvcyBpbXB1ZXN0b3MgaW5kaXJlY3RvcyBhcGxpY2FibGVzLiBESUxJR0VOWiBzZXLDoSBsYSDDum5pY2EgZW50aWRhZCBsZWdpdGltYWRhIHBhcmEgZmFjdHVyYXIgeSBwZXJjaWJpciBkaWNob3MgaG9ub3JhcmlvcyBmcmVudGUgYWwgY29tcHJhZG9yLloMNW40eGd3bDd1bnQ5cgIgAHgAmgEGCAAQABgAqgF8EnpDQUJFIExBIFBPU0lCSUxJREFEIERFIFFVRSBMQSBDT01JU0nDk04gUEFDVEFEQSBOTyBTRUEgREVMIDQlIFkgU0VBIE9UUkEsIE8gU0VBIEVMIE3DjU5JTU8gREUgNS4wMDDigqwuIEhBWSBRVUUgQURBUFRBUkxPLhjEh8at7TMgxIfGre0zQhBraXguY3Y2NHF3eG5neG8wIsMICgtBQUFCOXdod29hTRKTCAoLQUFBQjl3aHdvYU0SC0FBQUI5d2h3b2FNGqkBCgl0ZXh0L2h0bWwSmwFQRU5ESUVOVEUgREUgQURBUFRBUiBDT05GT1JNRSBBTCBQVU5UTyA0LjMuIENVQU5ETyBMQSBDT01JU0nDk04gREVMIENPTVBSQURPUiBOTyBTRUEgREVMIDQlLCBOTyBDT1JSRVNQT05ERVLDgSBFU0UgMiUuIEVTIERFQ0lSLCBMQSBDT01JU0nDk04gU0VSw4EgQUwgNTAlLiKqAQoKdGV4dC9wbGFpbhKbAVBFTkRJRU5URSBERSBBREFQVEFSIENPTkZPUk1FIEFMIFBVTlRPIDQuMy4gQ1VBTkRPIExBIENPTUlTScOTTiBERUwgQ09NUFJBRE9SIE5PIFNFQSBERUwgNCUsIE5PIENPUlJFU1BPTkRFUsOBIEVTRSAyJS4gRVMgREVDSVIsIExBIENPTUlTScOTTiBTRVLDgSBBTCA1MCUuKhsiFTEwNTUzNTg1Nzk0NDAwNjgzMTU4OCgAOAAww5TGre0zOMOUxq3tM0qzAwoKdGV4dC9wbGFpbhKkA0N1YW5kbyB1bmEgZW1wcmVzYSBwdWJsaWNhZGEgcG9yIEVMIFBST0ZFU0lPTkFMIHNlYSBhZHF1aXJpZGEgcG9yIHVuIGNvbXByYWRvciBhcG9ydGFkbyBwb3IgRElMSUdFTlosIGxvcyBob25vcmFyaW9zIGVmZWN0aXZhbWVudGUgcGVyY2liaWRvcyBwb3IgRElMSUdFTlogZW4gdmlydHVkIGRlbCBtYW5kYXRvIGRlIGNvbXByYSAoNCUgZGVsIHByZWNpbyB0b3RhbCBkZSBsYSBvcGVyYWNpw7NuKSBzZXLDoW4gZGlzdHJpYnVpZG9zIGRlIGxhIHNpZ3VpZW50ZSBmb3JtYToKRE9TIFBPUiBDSUVOVE8gKDIlKSBkZWwgcHJlY2lvIGRlIGNvbXByYXZlbnRhIGNvcnJlc3BvbmRlcsOhIGEgRElMSUdFTlouCkRPUyBQT1IgQ0lFTlRPICgyJSkgZGVsIHByZWNpbyBkZSBjb21wcmF2ZW50YSBjb3JyZXNwb25kZXLDoSBhIEVMIFBST0ZFU0lPTkFMLloMYTBua3ZndmZrcWF3cgIgAHgAmgEGCAAQABgAqgGeARKbAVBFTkRJRU5URSBERSBBREFQVEFSIENPTkZPUk1FIEFMIFBVTlRPIDQuMy4gQ1VBTkRPIExBIENPTUlTScOTTiBERUwgQ09NUFJBRE9SIE5PIFNFQSBERUwgNCUsIE5PIENPUlJFU1BPTkRFUsOBIEVTRSAyJS4gRVMgREVDSVIsIExBIENPTUlTScOTTiBTRVLDgSBBTCA1MCUuGMOUxq3tMyDDlMat7TNCEGtpeC52OThqMjE3OXI2YTkiwAQKC0FBQUI5d2h3b2FjEpAECgtBQUFCOXdod29hYxILQUFBQjl3aHdvYWMaWgoJdGV4dC9odG1sEk1NT0RJRklDQVIgUE9SLCBFTCBDRVNFIERFIExBIEFDVElWSURBRCBQT1IgUEFSVEUgREUgQ1VBTFFVSUVSQSBERSBMQVMgUEFSVEVTLiJbCgp0ZXh0L3BsYWluEk1NT0RJRklDQVIgUE9SLCBFTCBDRVNFIERFIExBIEFDVElWSURBRCBQT1IgUEFSVEUgREUgQ1VBTFFVSUVSQSBERSBMQVMgUEFSVEVTLiobIhUxMDU1MzU4NTc5NDQwMDY4MzE1ODgoADgAMITAxq3tMziEwMat7TNKoAEKCnRleHQvcGxhaW4SkQFMYSBww6lyZGlkYSBzb2JyZXZlbmlkYSBkZSB0b2RvcyBsb3MgZW5jYXJnb3MgZGUgdmVudGEgc29icmUgbGFzIGVtcHJlc2FzIHB1YmxpY2FkYXMsIHNpbiBpbmNvcnBvcmFjacOzbiBkZSBudWV2YXMgZW1wcmVzYXMgZW4gdW4gcGxhem8gcmF6b25hYmxlWgx0anBqeW5jbDdrMGNyAiAAeACaAQYIABAAGACqAU8STU1PRElGSUNBUiBQT1IsIEVMIENFU0UgREUgTEEgQUNUSVZJREFEIFBPUiBQQVJURSBERSBDVUFMUVVJRVJBIERFIExBUyBQQVJURVMuGITAxq3tMyCEwMat7TNCEGtpeC40bm95Z2ltaWZvcmwi5QYKC0FBQUI5d2h3b2FRErUGCgtBQUFCOXdod29hURILQUFBQjl3aHdvYVEaZQoJdGV4dC9odG1sElhVTkEgVkVaIENPTVBMRVRBRE8sIEFMIE1FTk9TLCBMT1MgREFUT1MgTcONTklNT1MgTkVDRVNBUklPUyBERSBDQURBIFVOQSBERSBMQVMgRU1QUkVTQVMuImYKCnRleHQvcGxhaW4SWFVOQSBWRVogQ09NUExFVEFETywgQUwgTUVOT1MsIExPUyBEQVRPUyBNw41OSU1PUyBORUNFU0FSSU9TIERFIENBREEgVU5BIERFIExBUyBFTVBSRVNBUy4qGyIVMTA1NTM1ODU3OTQ0MDA2ODMxNTg4KAA4ADCHoMat7TM4h6DGre0zSqQDCgp0ZXh0L3BsYWluEpUDRUwgUFJPRkVTSU9OQUwgdGVuZHLDoSBwbGVuYSBsaWJlcnRhZCBwYXJhIHB1YmxpY2FyIGVuIGxhIHBsYXRhZm9ybWEgZGUgRElMSUdFTlogY3VhbnRvcyBtYW5kYXRvcyBkZSB2ZW50YSBjb25zaWRlcmUgb3BvcnR1bm8sIGRpcmVjdGFtZW50ZSBvIGEgdHJhdsOpcyBkZSBESUxJR0VOWiwgc2luIG5lY2VzaWRhZCBkZSBhdXRvcml6YWNpw7NuIHByZXZpYSBuaSBzdXNjcmlwY2nDs24gZGUgYW5leG8gYWxndW5vLiBDYWRhIGVtcHJlc2EgcHVibGljYWRhIHF1ZWRhcsOhIGF1dG9tw6F0aWNhbWVudGUgc3VqZXRhLCBkZSBmb3JtYSBpbmRpdmlkdWFsIGUgaW5kZXBlbmRpZW50ZSwgYSBsYXMgY29uZGljaW9uZXMgZGVsIHByZXNlbnRlIEFjdWVyZG8gZGVzZGUgZWwgbW9tZW50byBkZSBzdSBwdWJsaWNhY2nDs24uWgxpZGJkNWI2ZXJrZWRyAiAAeACaAQYIABAAGACqAVoSWFVOQSBWRVogQ09NUExFVEFETywgQUwgTUVOT1MsIExPUyBEQVRPUyBNw41OSU1PUyBORUNFU0FSSU9TIERFIENBREEgVU5BIERFIExBUyBFTVBSRVNBUy4Yh6DGre0zIIegxq3tM0IQa2l4LnVmY3NzdmQ0bnUyOSLYCAoLQUFBQjl3aHdvYVUSqAgKC0FBQUI5d2h3b2FVEgtBQUFCOXdod29hVRr2AQoJdGV4dC9odG1sEugBTk8gU0VSw4EgTkVDRVNBUklPIFFVRSBMTyBDT01VTklRVUUsIExBIFBMQVRBRk9STUEgTE8gQ09NVU5JQ0FSw4EgQVVUT03DgVRJQ0FNRU5URSBZIERJTElHRU5aIExPIEFDRVBUQVLDgS4gVU5BIFZFWiBSRVRJUkFEQSBMQSBFTVBSRVNBLCBTRSBFTlZJQVLDgSBVTiBNQUlMIEFVVE9Nw4FUSUNPIENPTVVOSUNBTkRPIExBIFJFVElSQURBIFBBUkEgQ1VNUExJUiBDT04gRUwgU0lHVUlFTlRFIFDDgVJSQUZPLiL3AQoKdGV4dC9wbGFpbhLoAU5PIFNFUsOBIE5FQ0VTQVJJTyBRVUUgTE8gQ09NVU5JUVVFLCBMQSBQTEFUQUZPUk1BIExPIENPTVVOSUNBUsOBIEFVVE9Nw4FUSUNBTUVOVEUgWSBESUxJR0VOWiBMTyBBQ0VQVEFSw4EuIFVOQSBWRVogUkVUSVJBREEgTEEgRU1QUkVTQSwgU0UgRU5WSUFSw4EgVU4gTUFJTCBBVVRPTcOBVElDTyBDT01VTklDQU5ETyBMQSBSRVRJUkFEQSBQQVJBIENVTVBMSVIgQ09OIEVMIFNJR1VJRU5URSBQw4FSUkFGTy4qGyIVMTA1NTM1ODU3OTQ0MDA2ODMxNTg4KAA4ADDwq8at7TM48KvGre0zSuEBCgp0ZXh0L3BsYWluEtIBRUwgUFJPRkVTSU9OQUwgcG9kcsOhIGlndWFsbWVudGUgcmV0aXJhciBkZSBsYSBwbGF0YWZvcm1hIGN1YWxxdWllciBlbXByZXNhIGVuIGVsIG1vbWVudG8gcXVlIGVzdGltZSBjb252ZW5pZW50ZSwgY29tdW5pY8OhbmRvbG8gYSBESUxJR0VOWi4gTGEgcmV0aXJhZGEgc3VydGlyw6EgZWZlY3RvcyBkZXNkZSBlbCBtb21lbnRvIGRlIGRpY2hhIGNvbXVuaWNhY2nDs24uWgxzbmd0cnc0c2xoY3lyAiAAeACaAQYIABAAGACqAesBEugBTk8gU0VSw4EgTkVDRVNBUklPIFFVRSBMTyBDT01VTklRVUUsIExBIFBMQVRBRk9STUEgTE8gQ09NVU5JQ0FSw4EgQVVUT03DgVRJQ0FNRU5URSBZIERJTElHRU5aIExPIEFDRVBUQVLDgS4gVU5BIFZFWiBSRVRJUkFEQSBMQSBFTVBSRVNBLCBTRSBFTlZJQVLDgSBVTiBNQUlMIEFVVE9Nw4FUSUNPIENPTVVOSUNBTkRPIExBIFJFVElSQURBIFBBUkEgQ1VNUExJUiBDT04gRUwgU0lHVUlFTlRFIFDDgVJSQUZPLhjwq8at7TMg8KvGre0zQhBraXgueXB6aXVkY3Fsc2FkOAByITFhaVgzeUM4Z1dLbGwyR2dUenJKUVRzdEFuTVNVNzg5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