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Diarrhea after challenge</w:t>
      </w:r>
    </w:p>
    <w:p>
      <w:pPr>
        <w:pStyle w:val="Normal"/>
      </w:pPr>
      <w:r>
        <w:t xml:space="preserve">Generated on 2026-09-27 with R version 4.6.0 (2026-04-24 ucrt).</w:t>
      </w:r>
    </w:p>
    <w:p>
      <w:pPr>
        <w:pStyle w:val="Titre2"/>
      </w:pPr>
      <w:r>
        <w:t xml:space="preserve">Draft text for Section 3.6</w:t>
      </w:r>
    </w:p>
    <w:p>
      <w:pPr>
        <w:pStyle w:val="Normal"/>
      </w:pPr>
      <w:r>
        <w:t xml:space="preserve">Kruskal–Wallis: H = 12.05, df = 4, p = 0.017.</w:t>
      </w:r>
    </w:p>
    <w:p>
      <w:pPr>
        <w:pStyle w:val="Normal"/>
      </w:pPr>
      <w:r>
        <w:t xml:space="preserve">Median (IQR): Control 18.00 (17.75–18.25); 25 µg 4.50 (4.00–7.75); 50 µg 10.25 (8.25–12.00); 100 µg 9.50 (3.75–12.25); Comm. 17.00 (14.75–19.50).</w:t>
      </w:r>
    </w:p>
    <w:p>
      <w:pPr>
        <w:pStyle w:val="Normal"/>
      </w:pPr>
      <w:r>
        <w:t xml:space="preserve">Mean ± SD: Control 18.00 ± 0.71; 25 µg 5.93 ± 3.27; 50 µg 10.00 ± 2.35; 100 µg 8.29 ± 5.92; Comm. 17.17 ± 4.75.</w:t>
      </w:r>
    </w:p>
    <w:p>
      <w:pPr>
        <w:pStyle w:val="Normal"/>
      </w:pPr>
      <w:r>
        <w:t xml:space="preserve">25 µg vs commercial: Dunn-BH p = 0.046.</w:t>
      </w:r>
    </w:p>
    <w:p>
      <w:pPr>
        <w:pStyle w:val="Normal"/>
      </w:pPr>
      <w:r>
        <w:t xml:space="preserve">25 µg vs control (descriptive): Dunn-BH p = 0.046.</w:t>
      </w:r>
    </w:p>
    <w:p>
      <w:pPr>
        <w:pStyle w:val="Normal"/>
      </w:pPr>
      <w:r>
        <w:t xml:space="preserve">Other comparisons: All other adjusted p ≥ 0.097.</w:t>
      </w:r>
    </w:p>
    <w:p>
      <w:pPr>
        <w:pStyle w:val="Normal"/>
      </w:pPr>
      <w:r>
        <w:t xml:space="preserve">Sensitivity (excluding days 0–3): Kruskal–Wallis p = 0.018; 25 µg vs commercial, Dunn-BH p = 0.048; 25 µg vs control, Dunn-BH p = 0.048.</w:t>
      </w:r>
    </w:p>
    <w:p>
      <w:pPr>
        <w:pStyle w:val="Normal"/>
      </w:pPr>
      <w:r>
        <w:t xml:space="preserve">Animal-days with diarrhea: Control 33 of 58 (57%); 25 µg 36 of 203 (18%); 50 µg 30 of 116 (26%); 100 µg 45 of 203 (22%); Comm. 39 of 87 (45%).</w:t>
      </w:r>
    </w:p>
    <w:p>
      <w:pPr>
        <w:pStyle w:val="Titre2"/>
      </w:pPr>
      <w:r>
        <w:t xml:space="preserve">AUC by group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91"/>
        <w:gridCol w:w="511"/>
        <w:gridCol w:w="2032"/>
        <w:gridCol w:w="1410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(IQR)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Mean ± SD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18.00 (17.75–18.25)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18.00 ± 0.71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µg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4.50 (4.00–7.75)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5.93 ± 3.27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 µg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10.25 (8.25–12.00)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10.00 ± 2.35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 µg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9.50 (3.75–12.25)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8.29 ± 5.92</w:t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Comm.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17.00 (14.75–19.50)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17.17 ± 4.75</w:t>
            </w:r>
          </w:p>
        </w:tc>
      </w:tr>
    </w:tbl>
    <w:p>
      <w:pPr>
        <w:pStyle w:val="Titre3"/>
      </w:pPr>
      <w:r>
        <w:t xml:space="preserve">Kruskal–Wallis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972"/>
        <w:gridCol w:w="611"/>
        <w:gridCol w:w="861"/>
        <w:gridCol w:w="561"/>
        <w:gridCol w:w="961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Analysis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Days 0–28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12.05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0.0170</w:t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Excluding days 0–3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11.95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0.0177</w:t>
            </w:r>
          </w:p>
        </w:tc>
      </w:tr>
    </w:tbl>
    <w:p>
      <w:pPr>
        <w:pStyle w:val="Titre3"/>
      </w:pPr>
      <w:r>
        <w:t xml:space="preserve">Dunn's test (BH)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972"/>
        <w:gridCol w:w="991"/>
        <w:gridCol w:w="991"/>
        <w:gridCol w:w="821"/>
        <w:gridCol w:w="961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Analysis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group1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group2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z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Days 0–28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µg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-2.61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0.0459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Days 0–28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 µg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0.2096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Days 0–28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 µg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0.0971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Days 0–28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Comm.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0.8292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Days 0–28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µg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 µg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0.3556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Days 0–28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µg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 µg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0.5230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Days 0–28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µg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Comm.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0.0459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Days 0–28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 µg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 µg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0.7150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Days 0–28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 µg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Comm.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0.2096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Days 0–28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 µg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Comm.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0.0971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Excluding days 0–3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µg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0.0479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Excluding days 0–3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 µg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0.1225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Excluding days 0–3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 µg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0.1225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Excluding days 0–3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Comm.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0.9448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Excluding days 0–3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µg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 µg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0.5003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Excluding days 0–3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µg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 µg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0.4910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Excluding days 0–3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µg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Comm.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0.0479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Excluding days 0–3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 µg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 µg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0.9732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Excluding days 0–3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 µg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Comm.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0.1225</w:t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Excluding days 0–3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 µg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Comm.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0.1225</w:t>
            </w:r>
          </w:p>
        </w:tc>
      </w:tr>
    </w:tbl>
    <w:p>
      <w:pPr>
        <w:pStyle w:val="Titre2"/>
      </w:pPr>
      <w:r>
        <w:t xml:space="preserve">Table 4: diarrhea rows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91"/>
        <w:gridCol w:w="511"/>
        <w:gridCol w:w="1946"/>
        <w:gridCol w:w="1940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Diarrhea, score &gt; 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Diarrhea, score ≥ 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µg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 µg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 µg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Comm.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</w:tr>
    </w:tbl>
    <w:p>
      <w:pPr/>
      <w:r>
        <w:br w:type="page"/>
      </w:r>
    </w:p>
    <w:p>
      <w:pPr>
        <w:pStyle w:val="Titre2"/>
      </w:pPr>
      <w:r>
        <w:t xml:space="preserve">Figure 8C–D</w:t>
      </w:r>
    </w:p>
    <w:p>
      <w:pPr>
        <w:pStyle w:val="Normal"/>
      </w:pPr>
      <w:r>
        <w:rPr/>
        <w:drawing>
          <wp:inline distT="0" distB="0" distL="0" distR="0">
            <wp:extent cx="5760720" cy="3190553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905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rPr/>
        <w:drawing>
          <wp:inline distT="0" distB="0" distL="0" distR="0">
            <wp:extent cx="2194560" cy="3207434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32074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Relationship Id="rId7" Type="http://schemas.openxmlformats.org/officeDocument/2006/relationships/image" Target="media/525d716b8418647190ac91c2f6754314c755982e.png"/>
<Relationship Id="rId8" Type="http://schemas.openxmlformats.org/officeDocument/2006/relationships/image" Target="media/34e9ca86df5d30e62ae2d139f1c56b90c940682b.png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2026-09-27T17:07:32Z</dcterms:modified>
  <cp:category/>
</cp:coreProperties>
</file>