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Cellular response before challenge: E2-stimulated PBMC cytokines</w:t>
      </w:r>
    </w:p>
    <w:p>
      <w:pPr>
        <w:pStyle w:val="Normal"/>
      </w:pPr>
      <w:r>
        <w:t xml:space="preserve">Generated on 2026-09-27 with R version 4.6.0 (2026-04-24 ucrt).</w:t>
      </w:r>
    </w:p>
    <w:p>
      <w:pPr>
        <w:pStyle w:val="Titre2"/>
      </w:pPr>
      <w:r>
        <w:t xml:space="preserve">Analysis</w:t>
      </w:r>
    </w:p>
    <w:p>
      <w:pPr>
        <w:pStyle w:val="Normal"/>
      </w:pPr>
      <w:r>
        <w:t xml:space="preserve">Net cytokine concentrations (E2-stimulated minus unstimulated) were log10(x + 1)-transformed and analyzed with linear mixed-effects models (nlme::lme, REML) including time, group and their interaction as fixed effects and animal as a random intercept. Day 56 was compared with day 0 within each group, and groups were compared within each day with Tukey's adjustment (emmeans).</w:t>
      </w:r>
    </w:p>
    <w:p>
      <w:pPr>
        <w:pStyle w:val="Titre3"/>
      </w:pPr>
      <w:r>
        <w:t xml:space="preserve">Negative net values set to 0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11"/>
        <w:gridCol w:w="160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Cytokine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Values set to 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IFN-γ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IL-17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TNF-α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</w:tbl>
    <w:p>
      <w:pPr>
        <w:pStyle w:val="Titre2"/>
      </w:pPr>
      <w:r>
        <w:t xml:space="preserve">Draft text for Section 3.3</w:t>
      </w:r>
    </w:p>
    <w:p>
      <w:pPr>
        <w:pStyle w:val="Normal"/>
      </w:pPr>
      <w:r>
        <w:t xml:space="preserve">IFN-γ: group × time interaction, F4,18 = 1.43, p = 0.266. Day 56 vs day 0 — Control, p = 0.262; 25 µg, p = 0.001; 50 µg, p = 0.004; 100 µg, p = 0.026; Comm., p = 0.858.</w:t>
      </w:r>
    </w:p>
    <w:p>
      <w:pPr>
        <w:pStyle w:val="Normal"/>
      </w:pPr>
      <w:r>
        <w:t xml:space="preserve">TNF-α: group × time interaction, F4,18 = 1.89, p = 0.156. Day 56 vs day 0 — Control, p = 0.771; 25 µg, p = 0.001; 50 µg, p &lt; 0.001; 100 µg, p = 0.062; Comm., p = 0.141.</w:t>
      </w:r>
    </w:p>
    <w:p>
      <w:pPr>
        <w:pStyle w:val="Normal"/>
      </w:pPr>
      <w:r>
        <w:t xml:space="preserve">IL-17: group × time interaction, F4,18 = 6.68, p = 0.002. Day 56 vs day 0 — Control, p = 0.533; 25 µg, p &lt; 0.001; 50 µg, p &lt; 0.001; 100 µg, p = 0.008; Comm., p = 0.098.</w:t>
      </w:r>
    </w:p>
    <w:p>
      <w:pPr>
        <w:pStyle w:val="Titre2"/>
      </w:pPr>
      <w:r>
        <w:t xml:space="preserve">IFN-γ</w:t>
      </w:r>
    </w:p>
    <w:p>
      <w:pPr>
        <w:pStyle w:val="Titre3"/>
      </w:pPr>
      <w:r>
        <w:t xml:space="preserve">Fixed effects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56"/>
        <w:gridCol w:w="1001"/>
        <w:gridCol w:w="951"/>
        <w:gridCol w:w="1051"/>
        <w:gridCol w:w="11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0.3810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 × time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0.2659</w:t>
            </w:r>
          </w:p>
        </w:tc>
      </w:tr>
    </w:tbl>
    <w:p>
      <w:pPr>
        <w:pStyle w:val="Titre3"/>
      </w:pPr>
      <w:r>
        <w:t xml:space="preserve">Day 56 vs day 0 within each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91"/>
        <w:gridCol w:w="1721"/>
        <w:gridCol w:w="861"/>
        <w:gridCol w:w="611"/>
        <w:gridCol w:w="761"/>
        <w:gridCol w:w="1401"/>
        <w:gridCol w:w="96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Estimate (log10)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Fold 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0.0264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0.8580</w:t>
            </w:r>
          </w:p>
        </w:tc>
      </w:tr>
    </w:tbl>
    <w:p>
      <w:pPr>
        <w:pStyle w:val="Titre2"/>
      </w:pPr>
      <w:r>
        <w:t xml:space="preserve">TNF-α</w:t>
      </w:r>
    </w:p>
    <w:p>
      <w:pPr>
        <w:pStyle w:val="Titre3"/>
      </w:pPr>
      <w:r>
        <w:t xml:space="preserve">Fixed effects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56"/>
        <w:gridCol w:w="1001"/>
        <w:gridCol w:w="951"/>
        <w:gridCol w:w="1051"/>
        <w:gridCol w:w="11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0.2187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 × time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0.1562</w:t>
            </w:r>
          </w:p>
        </w:tc>
      </w:tr>
    </w:tbl>
    <w:p>
      <w:pPr>
        <w:pStyle w:val="Titre3"/>
      </w:pPr>
      <w:r>
        <w:t xml:space="preserve">Day 56 vs day 0 within each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91"/>
        <w:gridCol w:w="1721"/>
        <w:gridCol w:w="861"/>
        <w:gridCol w:w="611"/>
        <w:gridCol w:w="761"/>
        <w:gridCol w:w="1401"/>
        <w:gridCol w:w="96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Estimate (log10)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Fold 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0.7709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0.0617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0.1409</w:t>
            </w:r>
          </w:p>
        </w:tc>
      </w:tr>
    </w:tbl>
    <w:p>
      <w:pPr>
        <w:pStyle w:val="Titre2"/>
      </w:pPr>
      <w:r>
        <w:t xml:space="preserve">IL-17</w:t>
      </w:r>
    </w:p>
    <w:p>
      <w:pPr>
        <w:pStyle w:val="Titre3"/>
      </w:pPr>
      <w:r>
        <w:t xml:space="preserve">Fixed effects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56"/>
        <w:gridCol w:w="1001"/>
        <w:gridCol w:w="951"/>
        <w:gridCol w:w="1051"/>
        <w:gridCol w:w="11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 0.0001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0.0425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 × time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0.0018</w:t>
            </w:r>
          </w:p>
        </w:tc>
      </w:tr>
    </w:tbl>
    <w:p>
      <w:pPr>
        <w:pStyle w:val="Titre3"/>
      </w:pPr>
      <w:r>
        <w:t xml:space="preserve">Day 56 vs day 0 within each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91"/>
        <w:gridCol w:w="1721"/>
        <w:gridCol w:w="861"/>
        <w:gridCol w:w="611"/>
        <w:gridCol w:w="821"/>
        <w:gridCol w:w="1401"/>
        <w:gridCol w:w="96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Estimate (log10)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Fold 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0.5333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µg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0.0082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Comm.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0.0979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Figure 4</w:t>
      </w:r>
    </w:p>
    <w:p>
      <w:pPr>
        <w:pStyle w:val="Normal"/>
      </w:pPr>
      <w:r>
        <w:rPr/>
        <w:drawing>
          <wp:inline distT="0" distB="0" distL="0" distR="0">
            <wp:extent cx="5760720" cy="680085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80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Cytokine secretion by E2-stimulated PBMCs at day 0 and day 56. Bars show mean ± SEM (pg/mL); symbols show individual animals. p-values: day 56 vs day 0 from the linear mixed model on log10(x + 1)-transformed data (shown when p &lt; 0.05).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a9dfec806c466572a0a9b12251353233d6057464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2026-09-27T15:33:28Z</dcterms:modified>
  <cp:category/>
</cp:coreProperties>
</file>