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Viremia after challenge</w:t>
      </w:r>
    </w:p>
    <w:p>
      <w:pPr>
        <w:pStyle w:val="Normal"/>
      </w:pPr>
      <w:r>
        <w:t xml:space="preserve">Generated on 2026-09-27 with R version 4.6.0 (2026-04-24 ucrt).</w:t>
      </w:r>
    </w:p>
    <w:p>
      <w:pPr>
        <w:pStyle w:val="Titre2"/>
      </w:pPr>
      <w:r>
        <w:t xml:space="preserve">Analysis</w:t>
      </w:r>
    </w:p>
    <w:p>
      <w:pPr>
        <w:pStyle w:val="Normal"/>
      </w:pPr>
      <w:r>
        <w:t xml:space="preserve">Viral load was analyzed as log10(copies/mL + 1). Cumulative exposure (trapezoidal AUC, days 0–21) was compared with one-way ANOVA and Tukey's test, with the Kruskal–Wallis test as a sensitivity analysis. Peak viral load and the number of positive sampling days were compared with the Kruskal–Wallis test followed by Dunn's test with Benjamini–Hochberg adjustment. The prevalence of viremia (days 3, 6 and 14) was analyzed with a penalized binomial generalized linear mixed model (blme::bglmer) including group, day and their interaction as fixed effects and animal as a random intercept; pairwise odds ratios averaged over days are reported with Tukey-adjusted 95% confidence intervals.</w:t>
      </w:r>
    </w:p>
    <w:p>
      <w:pPr>
        <w:pStyle w:val="Titre2"/>
      </w:pPr>
      <w:r>
        <w:t xml:space="preserve">Draft text for Section 3.4</w:t>
      </w:r>
    </w:p>
    <w:p>
      <w:pPr>
        <w:pStyle w:val="Normal"/>
      </w:pPr>
      <w:r>
        <w:t xml:space="preserve">AUC (ANOVA): One-way ANOVA, F4,18 = 4.81, p = 0.008.</w:t>
      </w:r>
    </w:p>
    <w:p>
      <w:pPr>
        <w:pStyle w:val="Normal"/>
      </w:pPr>
      <w:r>
        <w:t xml:space="preserve">AUC vs commercial (Tukey): Control - Commercial, p = 0.111; 25ug - Commercial, p = 0.017; 50ug - Commercial, p = 0.007; 100ug - Commercial, p = 0.206.</w:t>
      </w:r>
    </w:p>
    <w:p>
      <w:pPr>
        <w:pStyle w:val="Normal"/>
      </w:pPr>
      <w:r>
        <w:t xml:space="preserve">AUC (sensitivity): Kruskal–Wallis, H = 9.8, p = 0.044; Control vs Commercial, Dunn-BH p = 0.270; 25ug vs Commercial, Dunn-BH p = 0.056; 50ug vs Commercial, Dunn-BH p = 0.055; 100ug vs Commercial, Dunn-BH p = 0.270.</w:t>
      </w:r>
    </w:p>
    <w:p>
      <w:pPr>
        <w:pStyle w:val="Normal"/>
      </w:pPr>
      <w:r>
        <w:t xml:space="preserve">Peak: Kruskal–Wallis, H = 9.47, p = 0.050; Control vs Commercial, Dunn-BH p = 0.557; 25ug vs Commercial, Dunn-BH p = 0.159; 50ug vs Commercial, Dunn-BH p = 0.058; 100ug vs Commercial, Dunn-BH p = 0.384.</w:t>
      </w:r>
    </w:p>
    <w:p>
      <w:pPr>
        <w:pStyle w:val="Normal"/>
      </w:pPr>
      <w:r>
        <w:t xml:space="preserve">Days positive: Kruskal–Wallis, H = 10.17, p = 0.038; Control vs Commercial, Dunn-BH p = 0.120; 25ug vs Commercial, Dunn-BH p = 0.068; 50ug vs Commercial, Dunn-BH p = 0.036; 100ug vs Commercial, Dunn-BH p = 0.190.</w:t>
      </w:r>
    </w:p>
    <w:p>
      <w:pPr>
        <w:pStyle w:val="Normal"/>
      </w:pPr>
      <w:r>
        <w:t xml:space="preserve">Daily prevalence (Fisher): Smallest BH-adjusted p = 0.333 (day 14, 25ug 1/7 vs Commercial 3/3).</w:t>
      </w:r>
    </w:p>
    <w:p>
      <w:pPr>
        <w:pStyle w:val="Titre2"/>
      </w:pPr>
      <w:r>
        <w:t xml:space="preserve">Metrics by group (mean ± SD)</w:t>
      </w:r>
    </w:p>
    <w:tbl xmlns:a="http://schemas.openxmlformats.org/drawingml/2006/main" xmlns:pic="http://schemas.openxmlformats.org/drawingml/2006/picture">
      <w:tblPr>
        <w:tblLayout w:type="fixed"/>
        <w:jc w:val="center"/>
        <w:tblLook w:firstRow="1" w:lastRow="0" w:firstColumn="0" w:lastColumn="0" w:noHBand="0" w:noVBand="1"/>
      </w:tblPr>
      <w:tblGrid>
        <w:gridCol w:w="991"/>
        <w:gridCol w:w="511"/>
        <w:gridCol w:w="2857"/>
        <w:gridCol w:w="2302"/>
        <w:gridCol w:w="1911"/>
        <w:gridCol w:w="148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 (log10 copies/mL × days)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 (log10 copies/mL)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 (copies/mL)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Days positive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25.36 ± 3.84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4.61 ± 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70,304 ±  80,883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 0.00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24.25 ± 12.53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3.84 ±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15,380 ±  15,262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1.14 ± 0.38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14.91 ± 12.40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2.75 ±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  4,755 ±   5,737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0.75 ± 0.50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38.74 ± 23.38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4.04 ±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166,755 ± 260,650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1.57 ± 0.98</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63.94 ± 4.14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5.26 ± 0.43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239,112 ± 193,882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2.67 ± 0.58</w:t>
            </w:r>
          </w:p>
        </w:tc>
      </w:tr>
    </w:tbl>
    <w:p>
      <w:pPr>
        <w:pStyle w:val="Titre3"/>
      </w:pPr>
      <w:r>
        <w:t xml:space="preserve">AUC: ANOVA assumptions</w:t>
      </w:r>
    </w:p>
    <w:tbl xmlns:a="http://schemas.openxmlformats.org/drawingml/2006/main" xmlns:pic="http://schemas.openxmlformats.org/drawingml/2006/picture">
      <w:tblPr>
        <w:tblLayout w:type="fixed"/>
        <w:jc w:val="center"/>
        <w:tblLook w:firstRow="1" w:lastRow="0" w:firstColumn="0" w:lastColumn="0" w:noHBand="0" w:noVBand="1"/>
      </w:tblPr>
      <w:tblGrid>
        <w:gridCol w:w="2361"/>
        <w:gridCol w:w="104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p_value</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Shapiro–Wilk (residuals)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0.4949</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Levene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0.1608</w:t>
            </w:r>
          </w:p>
        </w:tc>
      </w:tr>
    </w:tbl>
    <w:p>
      <w:pPr>
        <w:pStyle w:val="Titre3"/>
      </w:pPr>
      <w:r>
        <w:t xml:space="preserve">Kruskal–Wallis tests</w:t>
      </w:r>
    </w:p>
    <w:tbl xmlns:a="http://schemas.openxmlformats.org/drawingml/2006/main" xmlns:pic="http://schemas.openxmlformats.org/drawingml/2006/picture">
      <w:tblPr>
        <w:tblLayout w:type="fixed"/>
        <w:jc w:val="center"/>
        <w:tblLook w:firstRow="1" w:lastRow="0" w:firstColumn="0" w:lastColumn="0" w:noHBand="0" w:noVBand="1"/>
      </w:tblPr>
      <w:tblGrid>
        <w:gridCol w:w="1461"/>
        <w:gridCol w:w="611"/>
        <w:gridCol w:w="861"/>
        <w:gridCol w:w="561"/>
        <w:gridCol w:w="96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auc_log10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0.0440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peak_log10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0.0504</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viremic_days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0.0377</w:t>
            </w:r>
          </w:p>
        </w:tc>
      </w:tr>
    </w:tbl>
    <w:p>
      <w:pPr>
        <w:pStyle w:val="Titre2"/>
      </w:pPr>
      <w:r>
        <w:t xml:space="preserve">Table 3. Pairwise odds ratios of viremia (days 3, 6 and 14)</w:t>
      </w:r>
    </w:p>
    <w:tbl xmlns:a="http://schemas.openxmlformats.org/drawingml/2006/main" xmlns:pic="http://schemas.openxmlformats.org/drawingml/2006/picture">
      <w:tblPr>
        <w:tblLayout w:type="fixed"/>
        <w:jc w:val="center"/>
        <w:tblLook w:firstRow="1" w:lastRow="0" w:firstColumn="0" w:lastColumn="0" w:noHBand="0" w:noVBand="1"/>
      </w:tblPr>
      <w:tblGrid>
        <w:gridCol w:w="2231"/>
        <w:gridCol w:w="861"/>
        <w:gridCol w:w="1612"/>
        <w:gridCol w:w="126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Comparison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Adjusted p</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 vs 25 µg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0.170–73.389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0.7891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 vs 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0.261–121.685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0.5397</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 vs 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0.090–20.464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0.9981</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Control vs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0.003–6.470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0.6100</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 vs 50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0.086–29.574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0.9924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 vs 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0.030–4.973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0.8468</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 µg vs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0.001–2.146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0.1735</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 vs 100 µg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0.018–3.207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0.5622</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 µg vs Commercial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0.000–1.384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0.0880</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100 µg vs Commercial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0.002–4.223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0.4389</w:t>
            </w:r>
          </w:p>
        </w:tc>
      </w:tr>
    </w:tbl>
    <w:p>
      <w:pPr/>
      <w:r>
        <w:br w:type="page"/>
      </w:r>
    </w:p>
    <w:p>
      <w:pPr>
        <w:pStyle w:val="Titre2"/>
      </w:pPr>
      <w:r>
        <w:t xml:space="preserve">Figure 5</w:t>
      </w:r>
    </w:p>
    <w:p>
      <w:pPr>
        <w:pStyle w:val="Normal"/>
      </w:pPr>
      <w:r>
        <w:rPr/>
        <w:drawing>
          <wp:inline distT="0" distB="0" distL="0" distR="0">
            <wp:extent cx="5943600" cy="488696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4886960"/>
                    </a:xfrm>
                    <a:prstGeom prst="rect">
                      <a:avLst/>
                    </a:prstGeom>
                    <a:noFill/>
                  </pic:spPr>
                </pic:pic>
              </a:graphicData>
            </a:graphic>
          </wp:inline>
        </w:drawing>
      </w:r>
    </w:p>
    <w:p>
      <w:pPr>
        <w:pStyle w:val="Normal"/>
      </w:pPr>
      <w:r>
        <w:t xml:space="preserve">Viremia kinetics after challenge. (A) Serum viral load (log10 copies/mL + 1); lines and error bars show group means and SEM. (B) Prevalence of viremia. (C) Cumulative exposure (AUC), (D) peak viral load and (E) number of sampling days with detectable viremia. Boxplots show median and IQR. Brackets show adjusted p &lt; 0.05 (Tukey for AUC; Dunn-BH for peak and days).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432ddbf5edaa2accdf7c05b81afc4c4b1d74600c.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2026-09-27T16:32:21Z</dcterms:modified>
  <cp:category/>
</cp:coreProperties>
</file>