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Rectal temperature and lymphocytes</w:t>
      </w:r>
    </w:p>
    <w:p>
      <w:pPr>
        <w:pStyle w:val="Normal"/>
      </w:pPr>
      <w:r>
        <w:t xml:space="preserve">Generated on 2026-09-27 with R version 4.6.0 (2026-04-24 ucrt).</w:t>
      </w:r>
    </w:p>
    <w:p>
      <w:pPr>
        <w:pStyle w:val="Titre2"/>
      </w:pPr>
      <w:r>
        <w:t xml:space="preserve">Draft text</w:t>
      </w:r>
    </w:p>
    <w:p>
      <w:pPr>
        <w:pStyle w:val="Normal"/>
      </w:pPr>
      <w:r>
        <w:t xml:space="preserve">Temperature LMM: Time, F30,540 = 10.70, p &lt; 0.001; group × time, F120,540 = 2.45, p &lt; 0.001; group, F4,18 = 0.23, p = 0.919.</w:t>
      </w:r>
    </w:p>
    <w:p>
      <w:pPr>
        <w:pStyle w:val="Normal"/>
      </w:pPr>
      <w:r>
        <w:t xml:space="preserve">Day 8: One-way ANOVA, F4,18 = 17.13, p &lt; 0.001. Tukey vs commercial: 25 µg - Commercial, p &lt; 0.001; 50 µg - Commercial, p &lt; 0.001; 100 µg - Commercial, p &lt; 0.001. Among recombinant doses: all p &gt; 0.9.</w:t>
      </w:r>
    </w:p>
    <w:p>
      <w:pPr>
        <w:pStyle w:val="Normal"/>
      </w:pPr>
      <w:r>
        <w:t xml:space="preserve">Day 8 control: Control (n = 2): 39.90 ± 1.70 °C (mean ± SD).</w:t>
      </w:r>
    </w:p>
    <w:p>
      <w:pPr>
        <w:pStyle w:val="Normal"/>
      </w:pPr>
      <w:r>
        <w:t xml:space="preserve">Fever ≥ 39.2 °C on day 8: Recombinant 0/18 vs commercial 3/3 (Fisher, p &lt; 0.001).</w:t>
      </w:r>
    </w:p>
    <w:p>
      <w:pPr>
        <w:pStyle w:val="Normal"/>
      </w:pPr>
      <w:r>
        <w:t xml:space="preserve">Temperature &gt; 40 °C, whole period: Recombinant 3/18 vs commercial 3/3 (Fisher, p = 0.015).</w:t>
      </w:r>
    </w:p>
    <w:p>
      <w:pPr>
        <w:pStyle w:val="Normal"/>
      </w:pPr>
      <w:r>
        <w:t xml:space="preserve">Post-vaccination, first dose: &gt; 40 °C: recombinant 2/18 vs commercial 3/3 (Fisher, p = 0.008).</w:t>
      </w:r>
    </w:p>
    <w:p>
      <w:pPr>
        <w:pStyle w:val="Normal"/>
      </w:pPr>
      <w:r>
        <w:t xml:space="preserve">Post-vaccination, booster: &gt; 40 °C: recombinant 7/18 vs commercial 3/3; sustained fever: recombinant 3/18 vs commercial 1/3.</w:t>
      </w:r>
    </w:p>
    <w:p>
      <w:pPr>
        <w:pStyle w:val="Titre2"/>
      </w:pPr>
      <w:r>
        <w:t xml:space="preserve">Mixed models (temperature)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1"/>
        <w:gridCol w:w="1456"/>
        <w:gridCol w:w="1031"/>
        <w:gridCol w:w="981"/>
        <w:gridCol w:w="1051"/>
        <w:gridCol w:w="11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 ×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 ×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 × time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0.6515</w:t>
            </w:r>
          </w:p>
        </w:tc>
      </w:tr>
    </w:tbl>
    <w:p>
      <w:pPr>
        <w:pStyle w:val="Titre3"/>
      </w:pPr>
      <w:r>
        <w:t xml:space="preserve">Sensitivity: CAR(1) within-animal correlation (challenge)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1"/>
        <w:gridCol w:w="1001"/>
        <w:gridCol w:w="951"/>
        <w:gridCol w:w="1051"/>
        <w:gridCol w:w="1116"/>
        <w:gridCol w:w="8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Grupo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Grupo:TimeF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</w:tbl>
    <w:p>
      <w:pPr>
        <w:pStyle w:val="Titre2"/>
      </w:pPr>
      <w:r>
        <w:t xml:space="preserve">Day 8: Tukey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1111"/>
        <w:gridCol w:w="821"/>
        <w:gridCol w:w="11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 - 25 µg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 - 50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 - 100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 - 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 - 50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 - 100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 - 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 - 100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 - 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 - Commercial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-7.06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</w:tbl>
    <w:p>
      <w:pPr>
        <w:pStyle w:val="Titre2"/>
      </w:pPr>
      <w:r>
        <w:t xml:space="preserve">Incidence by group (Table 4 and post-vaccination)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1"/>
        <w:gridCol w:w="991"/>
        <w:gridCol w:w="511"/>
        <w:gridCol w:w="1160"/>
        <w:gridCol w:w="1090"/>
        <w:gridCol w:w="716"/>
        <w:gridCol w:w="1206"/>
        <w:gridCol w:w="1350"/>
        <w:gridCol w:w="1567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≥39.2 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≥39.2 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&gt;40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&gt;40 day 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≥39.2 day 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Sustained &gt;40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Fisher's exact tests (recombinant pooled vs commercial)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1"/>
        <w:gridCol w:w="1992"/>
        <w:gridCol w:w="1471"/>
        <w:gridCol w:w="1371"/>
        <w:gridCol w:w="9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Recombinant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ge_fever_day_peak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any_gt_40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any_ge_fever_am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11/18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sustained_gt_40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any_gt_40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any_gt_40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7/18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0.0902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Booster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sustained_gt_40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0.4887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Figure 8A–B</w:t>
      </w:r>
    </w:p>
    <w:p>
      <w:pPr>
        <w:pStyle w:val="Normal"/>
      </w:pPr>
      <w:r>
        <w:rPr/>
        <w:drawing>
          <wp:inline distT="0" distB="0" distL="0" distR="0">
            <wp:extent cx="5760720" cy="3190553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0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2194560" cy="3207434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207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Figure S1: post-vaccination temperature</w:t>
      </w:r>
    </w:p>
    <w:p>
      <w:pPr>
        <w:pStyle w:val="Normal"/>
      </w:pPr>
      <w:r>
        <w:rPr/>
        <w:drawing>
          <wp:inline distT="0" distB="0" distL="0" distR="0">
            <wp:extent cx="5760720" cy="2765146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5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Figure S3: lymphocytes (group means)</w:t>
      </w:r>
    </w:p>
    <w:p>
      <w:pPr>
        <w:pStyle w:val="Normal"/>
      </w:pPr>
      <w:r>
        <w:rPr/>
        <w:drawing>
          <wp:inline distT="0" distB="0" distL="0" distR="0">
            <wp:extent cx="5760720" cy="2962656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62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db3d2ecd9fe2a8ffa84cdf4c901d30741bff2751.png"/>
<Relationship Id="rId8" Type="http://schemas.openxmlformats.org/officeDocument/2006/relationships/image" Target="media/f77a517ba6421d5c7bcd8f692e96b7c1d9f68781.png"/>
<Relationship Id="rId9" Type="http://schemas.openxmlformats.org/officeDocument/2006/relationships/image" Target="media/9cbb16302b6719f1971b31e8a9378ce9a041dd19.png"/>
<Relationship Id="rId10" Type="http://schemas.openxmlformats.org/officeDocument/2006/relationships/image" Target="media/31ccb7d841359b4937b7f4d8fbad1e8e2bc3f39e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2026-09-27T22:37:32Z</dcterms:modified>
  <cp:category/>
</cp:coreProperties>
</file>