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 signs and composite clinical score after challenge</w:t>
      </w:r>
    </w:p>
    <w:p>
      <w:pPr>
        <w:pStyle w:val="Normal"/>
      </w:pPr>
      <w:r>
        <w:t xml:space="preserve">Generated on 2026-09-27 with R version 4.6.0 (2026-04-24 ucrt).</w:t>
      </w:r>
    </w:p>
    <w:p>
      <w:pPr>
        <w:pStyle w:val="Titre2"/>
      </w:pPr>
      <w:r>
        <w:t xml:space="preserve">Draft text for Section 3.6</w:t>
      </w:r>
    </w:p>
    <w:p>
      <w:pPr>
        <w:pStyle w:val="Normal"/>
      </w:pPr>
      <w:r>
        <w:t xml:space="preserve">Nasal discharge (animals): Control (n = 2): 2; 25 µg (n = 7): 0; 50 µg (n = 4): 0; 100 µg (n = 7): 0; Comm. (n = 3): 1</w:t>
      </w:r>
    </w:p>
    <w:p>
      <w:pPr>
        <w:pStyle w:val="Normal"/>
      </w:pPr>
      <w:r>
        <w:t xml:space="preserve">Ocular discharge (animals): Control (n = 2): 1; 25 µg (n = 7): 4; 50 µg (n = 4): 1; 100 µg (n = 7): 0; Comm. (n = 3): 2</w:t>
      </w:r>
    </w:p>
    <w:p>
      <w:pPr>
        <w:pStyle w:val="Normal"/>
      </w:pPr>
      <w:r>
        <w:t xml:space="preserve">Cough (animals): Control (n = 2): 2; 25 µg (n = 7): 1; 50 µg (n = 4): 1; 100 µg (n = 7): 1; Comm. (n = 3): 1</w:t>
      </w:r>
    </w:p>
    <w:p>
      <w:pPr>
        <w:pStyle w:val="Normal"/>
      </w:pPr>
      <w:r>
        <w:t xml:space="preserve">Animal with most days of cough: ID7766 (Control) on 12 of 29 days (days 7, 9, 10, 11, 13, 15, 17, 18, 19, 20, 21, 22)</w:t>
      </w:r>
    </w:p>
    <w:p>
      <w:pPr>
        <w:pStyle w:val="Normal"/>
      </w:pPr>
      <w:r>
        <w:t xml:space="preserve">Behavior and appetite: Appetite: ID4926 (Control), days 5, max score 1.0; Behavior: ID4926 (Control), days 5, 13, max score 1.5</w:t>
      </w:r>
    </w:p>
    <w:p>
      <w:pPr>
        <w:pStyle w:val="Normal"/>
      </w:pPr>
      <w:r>
        <w:t xml:space="preserve">Diarrhea share of composite AUC: Control 63%; 25 µg 90%; 50 µg 96%; 100 µg 98%; Comm. 94%.</w:t>
      </w:r>
    </w:p>
    <w:p>
      <w:pPr>
        <w:pStyle w:val="Normal"/>
      </w:pPr>
      <w:r>
        <w:t xml:space="preserve">Composite score, Kruskal–Wallis: H = 12.24, df = 4, p = 0.016.</w:t>
      </w:r>
    </w:p>
    <w:p>
      <w:pPr>
        <w:pStyle w:val="Normal"/>
      </w:pPr>
      <w:r>
        <w:t xml:space="preserve">Composite score, median (IQR): Control 28.75 (26.62–30.88); 25 µg 5.00 (4.50–8.50); 50 µg 10.25 (8.38–12.25); 100 µg 9.50 (3.75–12.75); Comm. 18.00 (16.00–20.25).</w:t>
      </w:r>
    </w:p>
    <w:p>
      <w:pPr>
        <w:pStyle w:val="Normal"/>
      </w:pPr>
      <w:r>
        <w:t xml:space="preserve">Composite score, mean ± SD: Control 28.75 ± 6.01; 25 µg 6.57 ± 3.28; 50 µg 10.38 ± 2.50; 100 µg 8.43 ± 6.04; Comm. 18.17 ± 4.25.</w:t>
      </w:r>
    </w:p>
    <w:p>
      <w:pPr>
        <w:pStyle w:val="Normal"/>
      </w:pPr>
      <w:r>
        <w:t xml:space="preserve">Composite: 25 µg vs control (descriptive): Dunn-BH p = 0.051.</w:t>
      </w:r>
    </w:p>
    <w:p>
      <w:pPr>
        <w:pStyle w:val="Normal"/>
      </w:pPr>
      <w:r>
        <w:t xml:space="preserve">Composite: 25 µg vs commercial: Dunn-BH p = 0.051.</w:t>
      </w:r>
    </w:p>
    <w:p>
      <w:pPr>
        <w:pStyle w:val="Normal"/>
      </w:pPr>
      <w:r>
        <w:t xml:space="preserve">Composite: other comparisons: All other adjusted p ≥ 0.067.</w:t>
      </w:r>
    </w:p>
    <w:p>
      <w:pPr>
        <w:pStyle w:val="Normal"/>
      </w:pPr>
      <w:r>
        <w:t xml:space="preserve">Temperature score AUC (am/pm maximum): Kruskal–Wallis H = 2.43, df = 4, p = 0.658.</w:t>
      </w:r>
    </w:p>
    <w:p>
      <w:pPr>
        <w:pStyle w:val="Normal"/>
      </w:pPr>
      <w:r>
        <w:t xml:space="preserve">Temperature score AUC (morning only): Kruskal–Wallis H = 4.01, df = 4, p = 0.405.</w:t>
      </w:r>
    </w:p>
    <w:p>
      <w:pPr>
        <w:pStyle w:val="Normal"/>
      </w:pPr>
      <w:r>
        <w:t xml:space="preserve">Descriptive entries: 17 text entries counted as absent (see sheet 'Anotaciones_texto').</w:t>
      </w:r>
    </w:p>
    <w:p>
      <w:pPr>
        <w:pStyle w:val="Titre2"/>
      </w:pPr>
      <w:r>
        <w:t xml:space="preserve">Table 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9"/>
        <w:gridCol w:w="1566"/>
        <w:gridCol w:w="1440"/>
        <w:gridCol w:w="1440"/>
        <w:gridCol w:w="1540"/>
        <w:gridCol w:w="156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 (n = 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 (n = 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 (n = 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 (n = 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 (n = 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Diarrhea, score &gt;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Diarrhea, score ≥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≥ 39.2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&gt; 40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&gt; 40 °C on day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Dyspnea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Depression (behavior)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Reduced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Dehydration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>Temperature rows use the morning score (Table 2). Text-only entries were counted as absent.</w:t>
      </w:r>
    </w:p>
    <w:p>
      <w:pPr>
        <w:pStyle w:val="Titre3"/>
      </w:pPr>
      <w:r>
        <w:t xml:space="preserve">Fisher's exact tests (recombinant pooled vs commercial)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83"/>
        <w:gridCol w:w="1471"/>
        <w:gridCol w:w="1371"/>
        <w:gridCol w:w="9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Recombinant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≥ 39.2 °C on day 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&gt; 40 °C on day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&gt; 40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≥ 39.2 °C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11/18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0.5211</w:t>
            </w:r>
          </w:p>
        </w:tc>
      </w:tr>
    </w:tbl>
    <w:p>
      <w:pPr>
        <w:pStyle w:val="Titre2"/>
      </w:pPr>
      <w:r>
        <w:t xml:space="preserve">Composite score AUC by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1"/>
        <w:gridCol w:w="511"/>
        <w:gridCol w:w="2032"/>
        <w:gridCol w:w="1410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(IQR)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± SD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28.75 (26.62–30.88)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28.75 ± 6.01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 (4.50–8.50)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6.57 ± 3.28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10.25 (8.38–12.25)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10.38 ± 2.50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9.50 (3.75–12.75)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8.43 ± 6.04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18.00 (16.00–20.25)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18.17 ± 4.25</w:t>
            </w:r>
          </w:p>
        </w:tc>
      </w:tr>
    </w:tbl>
    <w:p>
      <w:pPr>
        <w:pStyle w:val="Titre3"/>
      </w:pPr>
      <w:r>
        <w:t xml:space="preserve">Kruskal–Wallis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73"/>
        <w:gridCol w:w="611"/>
        <w:gridCol w:w="861"/>
        <w:gridCol w:w="561"/>
        <w:gridCol w:w="9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 score (excluding temperature)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Diarrhea score (cross-check with Diarrea_post_desafio.R)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score (daily maximum of morning and evening readings)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score (morning readings only)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0.4050</w:t>
            </w:r>
          </w:p>
        </w:tc>
      </w:tr>
    </w:tbl>
    <w:p>
      <w:pPr>
        <w:pStyle w:val="Titre3"/>
      </w:pPr>
      <w:r>
        <w:t xml:space="preserve">Dunn's test (BH)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2"/>
        <w:gridCol w:w="991"/>
        <w:gridCol w:w="991"/>
        <w:gridCol w:w="821"/>
        <w:gridCol w:w="9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Temperature_AUC_am_pm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0.7530</w:t>
            </w:r>
          </w:p>
        </w:tc>
      </w:tr>
    </w:tbl>
    <w:p>
      <w:pPr>
        <w:pStyle w:val="Titre3"/>
      </w:pPr>
      <w:r>
        <w:t xml:space="preserve">Share of the composite AUC by sign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71"/>
        <w:gridCol w:w="991"/>
        <w:gridCol w:w="865"/>
        <w:gridCol w:w="865"/>
        <w:gridCol w:w="965"/>
        <w:gridCol w:w="99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Appetite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Diarrhea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Dyspnea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</w:tr>
    </w:tbl>
    <w:p>
      <w:pPr>
        <w:pStyle w:val="Titre3"/>
      </w:pPr>
      <w:r>
        <w:t xml:space="preserve">Other clinical signs by animal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71"/>
        <w:gridCol w:w="991"/>
        <w:gridCol w:w="961"/>
        <w:gridCol w:w="1641"/>
        <w:gridCol w:w="1631"/>
        <w:gridCol w:w="1291"/>
        <w:gridCol w:w="3713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Animal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days_with_sign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days_observed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max_score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Appetite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5, 13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7, 9, 10, 11, 13, 15, 17, 18, 19, 20, 21, 22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11, 13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Dyspnea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15, 16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</w:tbl>
    <w:p>
      <w:pPr>
        <w:pStyle w:val="Titre3"/>
      </w:pPr>
      <w:r>
        <w:t xml:space="preserve">Text-only entries (counted as absent unless coded)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31"/>
        <w:gridCol w:w="961"/>
        <w:gridCol w:w="991"/>
        <w:gridCol w:w="1791"/>
        <w:gridCol w:w="2692"/>
        <w:gridCol w:w="85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Animal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raw_text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score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productiva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Dyspnea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sonido respiratorio por moco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costras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moco blanco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S/moco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moco blanco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Nasal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ojo seco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ojo seco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pocas costras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poca costra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pocas costras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pocas costras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pocas costras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pocas costras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Ocular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pocas costras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Temperature_pm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Figure S5: composite clinical score</w:t>
      </w:r>
    </w:p>
    <w:p>
      <w:pPr>
        <w:pStyle w:val="Normal"/>
      </w:pPr>
      <w:r>
        <w:rPr/>
        <w:drawing>
          <wp:inline distT="0" distB="0" distL="0" distR="0">
            <wp:extent cx="5760720" cy="5431536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31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3e53bceb55a392de488b8d424e7ced9ec3f4c3a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2026-09-27T17:23:32Z</dcterms:modified>
  <cp:category/>
</cp:coreProperties>
</file>