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72"/>
        </w:rPr>
        <w:t>PLATAFORMA PEVI</w:t>
      </w:r>
    </w:p>
    <w:p>
      <w:pPr>
        <w:spacing w:after="80"/>
        <w:jc w:val="center"/>
      </w:pPr>
      <w:r>
        <w:rPr>
          <w:color w:val="0284C7"/>
          <w:sz w:val="24"/>
        </w:rPr>
        <w:t>━━━━━━━━━━━━━━━━━━━━━━━━</w:t>
      </w:r>
    </w:p>
    <w:p>
      <w:pPr>
        <w:jc w:val="center"/>
      </w:pPr>
      <w:r>
        <w:rPr>
          <w:color w:val="0284C7"/>
          <w:sz w:val="36"/>
        </w:rPr>
        <w:t>Informe de Capacidades e Impacto</w:t>
      </w:r>
    </w:p>
    <w:p>
      <w:pPr>
        <w:jc w:val="center"/>
      </w:pPr>
      <w:r>
        <w:rPr>
          <w:color w:val="64748B"/>
          <w:sz w:val="22"/>
        </w:rPr>
        <w:t>Sistema Integral de Gestión de Auditorías Energéticas Industriales</w:t>
      </w:r>
    </w:p>
    <w:p/>
    <w:p/>
    <w:p/>
    <w:p/>
    <w:p>
      <w:pPr>
        <w:jc w:val="center"/>
      </w:pPr>
      <w:r>
        <w:rPr>
          <w:color w:val="475569"/>
          <w:sz w:val="22"/>
        </w:rPr>
        <w:t>Programa de Evaluación de Eficiencia Energética Industrial</w:t>
      </w:r>
    </w:p>
    <w:p>
      <w:pPr>
        <w:jc w:val="center"/>
      </w:pPr>
      <w:r>
        <w:rPr>
          <w:color w:val="64748B"/>
          <w:sz w:val="20"/>
        </w:rPr>
        <w:t>UPME  •  Ministerio de Energía  •  ONUDI</w:t>
      </w:r>
    </w:p>
    <w:p/>
    <w:p/>
    <w:p>
      <w:pPr>
        <w:jc w:val="center"/>
      </w:pPr>
      <w:r>
        <w:rPr>
          <w:color w:val="94A3B8"/>
          <w:sz w:val="20"/>
        </w:rPr>
        <w:t>Colombia, 2026</w:t>
      </w:r>
    </w:p>
    <w:p>
      <w:r>
        <w:br w:type="page"/>
      </w:r>
    </w:p>
    <w:p/>
    <w:p>
      <w:r>
        <w:rPr>
          <w:b/>
          <w:color w:val="0284C7"/>
          <w:sz w:val="28"/>
        </w:rPr>
        <w:t xml:space="preserve">01  </w:t>
      </w:r>
      <w:r>
        <w:rPr>
          <w:b/>
          <w:color w:val="0F172A"/>
          <w:sz w:val="28"/>
        </w:rPr>
        <w:t>RESUMEN EJECUTIVO</w:t>
      </w:r>
    </w:p>
    <w:p>
      <w:r>
        <w:rPr>
          <w:i/>
          <w:color w:val="64748B"/>
          <w:sz w:val="20"/>
        </w:rPr>
        <w:t>La plataforma que transforma la gestión energética industrial en Colombia</w:t>
      </w:r>
    </w:p>
    <w:p>
      <w:r>
        <w:rPr>
          <w:color w:val="0284C7"/>
          <w:sz w:val="12"/>
        </w:rPr>
        <w:t>━━━━━━━━━━━━━━━━━━━━━━━━━━━━━━━━━━━━━━━━━━━━━━━━━━━━━━━━━━━━</w:t>
      </w:r>
    </w:p>
    <w:p>
      <w:pPr>
        <w:spacing w:after="120"/>
      </w:pPr>
      <w:r>
        <w:rPr>
          <w:rFonts w:ascii="Calibri" w:hAnsi="Calibri"/>
          <w:sz w:val="20"/>
        </w:rPr>
        <w:t>La Plataforma PEVI es un sistema web de última generación diseñado para gestionar, analizar y reportar auditorías energéticas industriales a escala nacional. Desarrollada para el Programa de Eficiencia Energética Industrial (PEVI) de la UPME, la plataforma conecta una red de 5 centros universitarios que realizan diagnósticos energéticos a empresas de todo el país.</w:t>
      </w:r>
    </w:p>
    <w:p>
      <w:pPr>
        <w:spacing w:before="320" w:after="320"/>
        <w:ind w:left="850" w:right="850"/>
        <w:jc w:val="center"/>
      </w:pPr>
      <w:r>
        <w:rPr>
          <w:i/>
          <w:color w:val="0369A1"/>
          <w:sz w:val="24"/>
        </w:rPr>
        <w:t>« Una sola plataforma. 5 universidades. Todo el país. Datos energéticos en tiempo real. »</w:t>
      </w:r>
    </w:p>
    <w:p>
      <w:pPr>
        <w:spacing w:after="120"/>
      </w:pPr>
      <w:r>
        <w:rPr>
          <w:rFonts w:ascii="Calibri" w:hAnsi="Calibri"/>
          <w:sz w:val="20"/>
        </w:rPr>
        <w:t>El sistema no es una simple base de datos: es un ecosistema completo que automatiza conversiones energéticas, calcula emisiones de CO2, genera informes profesionales, y ofrece dashboards de inteligencia de negocios para la toma de decisiones a nivel estratégico y nacional.</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351"/>
        <w:gridCol w:w="2351"/>
        <w:gridCol w:w="2351"/>
        <w:gridCol w:w="2351"/>
      </w:tblGrid>
      <w:tr>
        <w:tc>
          <w:tcPr>
            <w:tcW w:type="dxa" w:w="2351"/>
            <w:shd w:fill="e0f2fe"/>
            <w:tcBorders>
              <w:top w:val="single" w:sz="4" w:color="e0f2fe"/>
              <w:left w:val="single" w:sz="4" w:color="e0f2fe"/>
              <w:bottom w:val="single" w:sz="4" w:color="e0f2fe"/>
              <w:right w:val="single" w:sz="4" w:color="e0f2fe"/>
            </w:tcBorders>
            <w:vAlign w:val="center"/>
          </w:tcPr>
          <w:p>
            <w:pPr>
              <w:jc w:val="center"/>
            </w:pPr>
            <w:r>
              <w:rPr>
                <w:b/>
                <w:color w:val="0F172A"/>
                <w:sz w:val="40"/>
              </w:rPr>
              <w:t>5</w:t>
            </w:r>
          </w:p>
          <w:p>
            <w:pPr>
              <w:jc w:val="center"/>
            </w:pPr>
            <w:r>
              <w:rPr>
                <w:b/>
                <w:caps/>
                <w:color w:val="475569"/>
                <w:sz w:val="16"/>
              </w:rPr>
              <w:t>CENTROS</w:t>
              <w:br/>
              <w:t>UNIVERSITARIOS</w:t>
            </w:r>
          </w:p>
        </w:tc>
        <w:tc>
          <w:tcPr>
            <w:tcW w:type="dxa" w:w="2351"/>
            <w:shd w:fill="fef3c7"/>
            <w:tcBorders>
              <w:top w:val="single" w:sz="4" w:color="fef3c7"/>
              <w:left w:val="single" w:sz="4" w:color="fef3c7"/>
              <w:bottom w:val="single" w:sz="4" w:color="fef3c7"/>
              <w:right w:val="single" w:sz="4" w:color="fef3c7"/>
            </w:tcBorders>
            <w:vAlign w:val="center"/>
          </w:tcPr>
          <w:p>
            <w:pPr>
              <w:jc w:val="center"/>
            </w:pPr>
            <w:r>
              <w:rPr>
                <w:b/>
                <w:color w:val="0F172A"/>
                <w:sz w:val="40"/>
              </w:rPr>
              <w:t>6</w:t>
            </w:r>
          </w:p>
          <w:p>
            <w:pPr>
              <w:jc w:val="center"/>
            </w:pPr>
            <w:r>
              <w:rPr>
                <w:b/>
                <w:caps/>
                <w:color w:val="475569"/>
                <w:sz w:val="16"/>
              </w:rPr>
              <w:t>FUENTES</w:t>
              <w:br/>
              <w:t>ENERGÉTICAS</w:t>
            </w:r>
          </w:p>
        </w:tc>
        <w:tc>
          <w:tcPr>
            <w:tcW w:type="dxa" w:w="2351"/>
            <w:shd w:fill="dcfce7"/>
            <w:tcBorders>
              <w:top w:val="single" w:sz="4" w:color="dcfce7"/>
              <w:left w:val="single" w:sz="4" w:color="dcfce7"/>
              <w:bottom w:val="single" w:sz="4" w:color="dcfce7"/>
              <w:right w:val="single" w:sz="4" w:color="dcfce7"/>
            </w:tcBorders>
            <w:vAlign w:val="center"/>
          </w:tcPr>
          <w:p>
            <w:pPr>
              <w:jc w:val="center"/>
            </w:pPr>
            <w:r>
              <w:rPr>
                <w:b/>
                <w:color w:val="0F172A"/>
                <w:sz w:val="40"/>
              </w:rPr>
              <w:t>4</w:t>
            </w:r>
          </w:p>
          <w:p>
            <w:pPr>
              <w:jc w:val="center"/>
            </w:pPr>
            <w:r>
              <w:rPr>
                <w:b/>
                <w:caps/>
                <w:color w:val="475569"/>
                <w:sz w:val="16"/>
              </w:rPr>
              <w:t>DASHBOARDS</w:t>
              <w:br/>
              <w:t>INTERACTIVOS</w:t>
            </w:r>
          </w:p>
        </w:tc>
        <w:tc>
          <w:tcPr>
            <w:tcW w:type="dxa" w:w="2351"/>
            <w:shd w:fill="fee2e2"/>
            <w:tcBorders>
              <w:top w:val="single" w:sz="4" w:color="fee2e2"/>
              <w:left w:val="single" w:sz="4" w:color="fee2e2"/>
              <w:bottom w:val="single" w:sz="4" w:color="fee2e2"/>
              <w:right w:val="single" w:sz="4" w:color="fee2e2"/>
            </w:tcBorders>
            <w:vAlign w:val="center"/>
          </w:tcPr>
          <w:p>
            <w:pPr>
              <w:jc w:val="center"/>
            </w:pPr>
            <w:r>
              <w:rPr>
                <w:b/>
                <w:color w:val="0F172A"/>
                <w:sz w:val="40"/>
              </w:rPr>
              <w:t>1</w:t>
            </w:r>
          </w:p>
          <w:p>
            <w:pPr>
              <w:jc w:val="center"/>
            </w:pPr>
            <w:r>
              <w:rPr>
                <w:b/>
                <w:caps/>
                <w:color w:val="475569"/>
                <w:sz w:val="16"/>
              </w:rPr>
              <w:t>INFORME PDF</w:t>
              <w:br/>
              <w:t>AUTOMÁTICO</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Vista general de la Plataforma — Página de Inicio / Landing Page</w:t>
            </w:r>
          </w:p>
          <w:p>
            <w:pPr>
              <w:jc w:val="center"/>
            </w:pPr>
            <w:r>
              <w:rPr>
                <w:i/>
                <w:color w:val="94A3B8"/>
                <w:sz w:val="16"/>
              </w:rPr>
              <w:t>Clic derecho → Insertar imagen → Seleccionar archivo</w:t>
            </w:r>
          </w:p>
        </w:tc>
      </w:tr>
    </w:tbl>
    <w:p/>
    <w:p>
      <w:r>
        <w:br w:type="page"/>
      </w:r>
    </w:p>
    <w:p/>
    <w:p>
      <w:r>
        <w:rPr>
          <w:b/>
          <w:color w:val="0284C7"/>
          <w:sz w:val="28"/>
        </w:rPr>
        <w:t xml:space="preserve">02  </w:t>
      </w:r>
      <w:r>
        <w:rPr>
          <w:b/>
          <w:color w:val="0F172A"/>
          <w:sz w:val="28"/>
        </w:rPr>
        <w:t>IMPACTO Y ALCANCE NACIONAL</w:t>
      </w:r>
    </w:p>
    <w:p>
      <w:r>
        <w:rPr>
          <w:i/>
          <w:color w:val="64748B"/>
          <w:sz w:val="20"/>
        </w:rPr>
        <w:t>Una red universitaria conectada para la eficiencia energética de Colombia</w:t>
      </w:r>
    </w:p>
    <w:p>
      <w:r>
        <w:rPr>
          <w:color w:val="0284C7"/>
          <w:sz w:val="12"/>
        </w:rPr>
        <w:t>━━━━━━━━━━━━━━━━━━━━━━━━━━━━━━━━━━━━━━━━━━━━━━━━━━━━━━━━━━━━</w:t>
      </w:r>
    </w:p>
    <w:p>
      <w:pPr>
        <w:spacing w:after="120"/>
      </w:pPr>
      <w:r>
        <w:rPr>
          <w:rFonts w:ascii="Calibri" w:hAnsi="Calibri"/>
          <w:sz w:val="20"/>
        </w:rPr>
        <w:t>La Plataforma PEVI materializa la visión de un sistema nacional unificado donde múltiples instituciones académicas colaboran en tiempo real para mejorar la eficiencia energética del sector industrial colombiano.</w:t>
      </w:r>
    </w:p>
    <w:p>
      <w:pPr>
        <w:pStyle w:val="Heading2"/>
      </w:pPr>
      <w:r>
        <w:rPr>
          <w:color w:val="0F172A"/>
        </w:rPr>
        <w:t>Red de Centros PEVI</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fill="0f172a"/>
          </w:tcPr>
          <w:p>
            <w:r/>
            <w:r>
              <w:rPr>
                <w:rFonts w:ascii="Calibri" w:hAnsi="Calibri"/>
                <w:b/>
                <w:color w:val="FFFFFF"/>
                <w:sz w:val="17"/>
              </w:rPr>
              <w:t>Centro PEVI</w:t>
            </w:r>
          </w:p>
        </w:tc>
        <w:tc>
          <w:tcPr>
            <w:tcW w:type="dxa" w:w="1984"/>
            <w:shd w:fill="0f172a"/>
          </w:tcPr>
          <w:p>
            <w:r/>
            <w:r>
              <w:rPr>
                <w:rFonts w:ascii="Calibri" w:hAnsi="Calibri"/>
                <w:b/>
                <w:color w:val="FFFFFF"/>
                <w:sz w:val="17"/>
              </w:rPr>
              <w:t>Ubicación</w:t>
            </w:r>
          </w:p>
        </w:tc>
        <w:tc>
          <w:tcPr>
            <w:tcW w:type="dxa" w:w="2835"/>
            <w:shd w:fill="0f172a"/>
          </w:tcPr>
          <w:p>
            <w:r/>
            <w:r>
              <w:rPr>
                <w:rFonts w:ascii="Calibri" w:hAnsi="Calibri"/>
                <w:b/>
                <w:color w:val="FFFFFF"/>
                <w:sz w:val="17"/>
              </w:rPr>
              <w:t>Cobertura Regional</w:t>
            </w:r>
          </w:p>
        </w:tc>
      </w:tr>
      <w:tr>
        <w:tc>
          <w:tcPr>
            <w:tcW w:type="dxa" w:w="3402"/>
          </w:tcPr>
          <w:p>
            <w:r/>
            <w:r>
              <w:rPr>
                <w:rFonts w:ascii="Calibri" w:hAnsi="Calibri"/>
                <w:sz w:val="18"/>
              </w:rPr>
              <w:t>Universidad del Atlántico</w:t>
            </w:r>
          </w:p>
        </w:tc>
        <w:tc>
          <w:tcPr>
            <w:tcW w:type="dxa" w:w="1984"/>
          </w:tcPr>
          <w:p>
            <w:r/>
            <w:r>
              <w:rPr>
                <w:rFonts w:ascii="Calibri" w:hAnsi="Calibri"/>
                <w:sz w:val="18"/>
              </w:rPr>
              <w:t>Barranquilla</w:t>
            </w:r>
          </w:p>
        </w:tc>
        <w:tc>
          <w:tcPr>
            <w:tcW w:type="dxa" w:w="2835"/>
          </w:tcPr>
          <w:p>
            <w:r/>
            <w:r>
              <w:rPr>
                <w:rFonts w:ascii="Calibri" w:hAnsi="Calibri"/>
                <w:sz w:val="18"/>
              </w:rPr>
              <w:t>Costa Caribe</w:t>
            </w:r>
          </w:p>
        </w:tc>
      </w:tr>
      <w:tr>
        <w:tc>
          <w:tcPr>
            <w:tcW w:type="dxa" w:w="3402"/>
            <w:shd w:fill="f8fafc"/>
          </w:tcPr>
          <w:p>
            <w:r/>
            <w:r>
              <w:rPr>
                <w:rFonts w:ascii="Calibri" w:hAnsi="Calibri"/>
                <w:sz w:val="18"/>
              </w:rPr>
              <w:t>Universidad Autónoma de Occidente (UAO)</w:t>
            </w:r>
          </w:p>
        </w:tc>
        <w:tc>
          <w:tcPr>
            <w:tcW w:type="dxa" w:w="1984"/>
            <w:shd w:fill="f8fafc"/>
          </w:tcPr>
          <w:p>
            <w:r/>
            <w:r>
              <w:rPr>
                <w:rFonts w:ascii="Calibri" w:hAnsi="Calibri"/>
                <w:sz w:val="18"/>
              </w:rPr>
              <w:t>Cali</w:t>
            </w:r>
          </w:p>
        </w:tc>
        <w:tc>
          <w:tcPr>
            <w:tcW w:type="dxa" w:w="2835"/>
            <w:shd w:fill="f8fafc"/>
          </w:tcPr>
          <w:p>
            <w:r/>
            <w:r>
              <w:rPr>
                <w:rFonts w:ascii="Calibri" w:hAnsi="Calibri"/>
                <w:sz w:val="18"/>
              </w:rPr>
              <w:t>Valle del Cauca y Suroccidente</w:t>
            </w:r>
          </w:p>
        </w:tc>
      </w:tr>
      <w:tr>
        <w:tc>
          <w:tcPr>
            <w:tcW w:type="dxa" w:w="3402"/>
          </w:tcPr>
          <w:p>
            <w:r/>
            <w:r>
              <w:rPr>
                <w:rFonts w:ascii="Calibri" w:hAnsi="Calibri"/>
                <w:sz w:val="18"/>
              </w:rPr>
              <w:t>Universidad de Vigo</w:t>
            </w:r>
          </w:p>
        </w:tc>
        <w:tc>
          <w:tcPr>
            <w:tcW w:type="dxa" w:w="1984"/>
          </w:tcPr>
          <w:p>
            <w:r/>
            <w:r>
              <w:rPr>
                <w:rFonts w:ascii="Calibri" w:hAnsi="Calibri"/>
                <w:sz w:val="18"/>
              </w:rPr>
              <w:t>Vigo, España</w:t>
            </w:r>
          </w:p>
        </w:tc>
        <w:tc>
          <w:tcPr>
            <w:tcW w:type="dxa" w:w="2835"/>
          </w:tcPr>
          <w:p>
            <w:r/>
            <w:r>
              <w:rPr>
                <w:rFonts w:ascii="Calibri" w:hAnsi="Calibri"/>
                <w:sz w:val="18"/>
              </w:rPr>
              <w:t>Cooperación Internacional</w:t>
            </w:r>
          </w:p>
        </w:tc>
      </w:tr>
      <w:tr>
        <w:tc>
          <w:tcPr>
            <w:tcW w:type="dxa" w:w="3402"/>
            <w:shd w:fill="f8fafc"/>
          </w:tcPr>
          <w:p>
            <w:r/>
            <w:r>
              <w:rPr>
                <w:rFonts w:ascii="Calibri" w:hAnsi="Calibri"/>
                <w:sz w:val="18"/>
              </w:rPr>
              <w:t>Universidad Tecnológica de Pereira (UTP)</w:t>
            </w:r>
          </w:p>
        </w:tc>
        <w:tc>
          <w:tcPr>
            <w:tcW w:type="dxa" w:w="1984"/>
            <w:shd w:fill="f8fafc"/>
          </w:tcPr>
          <w:p>
            <w:r/>
            <w:r>
              <w:rPr>
                <w:rFonts w:ascii="Calibri" w:hAnsi="Calibri"/>
                <w:sz w:val="18"/>
              </w:rPr>
              <w:t>Pereira</w:t>
            </w:r>
          </w:p>
        </w:tc>
        <w:tc>
          <w:tcPr>
            <w:tcW w:type="dxa" w:w="2835"/>
            <w:shd w:fill="f8fafc"/>
          </w:tcPr>
          <w:p>
            <w:r/>
            <w:r>
              <w:rPr>
                <w:rFonts w:ascii="Calibri" w:hAnsi="Calibri"/>
                <w:sz w:val="18"/>
              </w:rPr>
              <w:t>Eje Cafetero</w:t>
            </w:r>
          </w:p>
        </w:tc>
      </w:tr>
      <w:tr>
        <w:tc>
          <w:tcPr>
            <w:tcW w:type="dxa" w:w="3402"/>
          </w:tcPr>
          <w:p>
            <w:r/>
            <w:r>
              <w:rPr>
                <w:rFonts w:ascii="Calibri" w:hAnsi="Calibri"/>
                <w:sz w:val="18"/>
              </w:rPr>
              <w:t>Universidad Francisco de Paula Santander (UFPS)</w:t>
            </w:r>
          </w:p>
        </w:tc>
        <w:tc>
          <w:tcPr>
            <w:tcW w:type="dxa" w:w="1984"/>
          </w:tcPr>
          <w:p>
            <w:r/>
            <w:r>
              <w:rPr>
                <w:rFonts w:ascii="Calibri" w:hAnsi="Calibri"/>
                <w:sz w:val="18"/>
              </w:rPr>
              <w:t>Cúcuta</w:t>
            </w:r>
          </w:p>
        </w:tc>
        <w:tc>
          <w:tcPr>
            <w:tcW w:type="dxa" w:w="2835"/>
          </w:tcPr>
          <w:p>
            <w:r/>
            <w:r>
              <w:rPr>
                <w:rFonts w:ascii="Calibri" w:hAnsi="Calibri"/>
                <w:sz w:val="18"/>
              </w:rPr>
              <w:t>Nororiente</w:t>
            </w:r>
          </w:p>
        </w:tc>
      </w:tr>
    </w:tbl>
    <w:p/>
    <w:p>
      <w:pPr>
        <w:spacing w:after="120"/>
      </w:pPr>
      <w:r>
        <w:rPr>
          <w:rFonts w:ascii="Calibri" w:hAnsi="Calibri"/>
          <w:b/>
          <w:color w:val="0F172A"/>
          <w:sz w:val="22"/>
        </w:rPr>
        <w:t>Impacto clave de la plataforma:</w:t>
      </w:r>
    </w:p>
    <w:p>
      <w:pPr>
        <w:spacing w:before="80" w:after="40"/>
        <w:ind w:left="283"/>
      </w:pPr>
      <w:r>
        <w:rPr>
          <w:b/>
          <w:color w:val="0284C7"/>
          <w:sz w:val="22"/>
        </w:rPr>
        <w:t>⚡  Estandarización Nacional</w:t>
      </w:r>
    </w:p>
    <w:p>
      <w:pPr>
        <w:spacing w:after="160"/>
        <w:ind w:left="283"/>
      </w:pPr>
      <w:r>
        <w:rPr>
          <w:color w:val="475569"/>
          <w:sz w:val="19"/>
        </w:rPr>
        <w:t>Todos los centros utilizan la misma metodología de registro, conversión y reporte. Los datos son comparables entre regiones, sectores y periodos.</w:t>
      </w:r>
    </w:p>
    <w:p>
      <w:pPr>
        <w:spacing w:before="80" w:after="40"/>
        <w:ind w:left="283"/>
      </w:pPr>
      <w:r>
        <w:rPr>
          <w:b/>
          <w:color w:val="16A34A"/>
          <w:sz w:val="22"/>
        </w:rPr>
        <w:t>🌍  Huella de Carbono Medible</w:t>
      </w:r>
    </w:p>
    <w:p>
      <w:pPr>
        <w:spacing w:after="160"/>
        <w:ind w:left="283"/>
      </w:pPr>
      <w:r>
        <w:rPr>
          <w:color w:val="475569"/>
          <w:sz w:val="19"/>
        </w:rPr>
        <w:t>Cálculo automático de emisiones TonCO2 para cada fuente energética, permitiendo cuantificar el impacto ambiental de cada empresa auditada.</w:t>
      </w:r>
    </w:p>
    <w:p>
      <w:pPr>
        <w:spacing w:before="80" w:after="40"/>
        <w:ind w:left="283"/>
      </w:pPr>
      <w:r>
        <w:rPr>
          <w:b/>
          <w:color w:val="0891B2"/>
          <w:sz w:val="22"/>
        </w:rPr>
        <w:t>📊  Inteligencia de Negocios</w:t>
      </w:r>
    </w:p>
    <w:p>
      <w:pPr>
        <w:spacing w:after="160"/>
        <w:ind w:left="283"/>
      </w:pPr>
      <w:r>
        <w:rPr>
          <w:color w:val="475569"/>
          <w:sz w:val="19"/>
        </w:rPr>
        <w:t>Dashboards estratégico y nacional con visión consolidada de todos los proyectos, permitiendo decisiones basadas en datos a nivel de centro, región y país.</w:t>
      </w:r>
    </w:p>
    <w:p>
      <w:pPr>
        <w:spacing w:before="80" w:after="40"/>
        <w:ind w:left="283"/>
      </w:pPr>
      <w:r>
        <w:rPr>
          <w:b/>
          <w:color w:val="DC2626"/>
          <w:sz w:val="22"/>
        </w:rPr>
        <w:t>🔒  Gobernanza y Seguridad</w:t>
      </w:r>
    </w:p>
    <w:p>
      <w:pPr>
        <w:spacing w:after="160"/>
        <w:ind w:left="283"/>
      </w:pPr>
      <w:r>
        <w:rPr>
          <w:color w:val="475569"/>
          <w:sz w:val="19"/>
        </w:rPr>
        <w:t>Modelo de roles jerárquico con aislamiento de datos por centro. Cada universidad gestiona solo su información, con visión consolidada para la dirección nacional.</w:t>
      </w:r>
    </w:p>
    <w:p>
      <w:pPr>
        <w:spacing w:before="80" w:after="40"/>
        <w:ind w:left="283"/>
      </w:pPr>
      <w:r>
        <w:rPr>
          <w:b/>
          <w:color w:val="D97706"/>
          <w:sz w:val="22"/>
        </w:rPr>
        <w:t>📄  Reportes Profesionales Automáticos</w:t>
      </w:r>
    </w:p>
    <w:p>
      <w:pPr>
        <w:spacing w:after="160"/>
        <w:ind w:left="283"/>
      </w:pPr>
      <w:r>
        <w:rPr>
          <w:color w:val="475569"/>
          <w:sz w:val="19"/>
        </w:rPr>
        <w:t>Generación instantánea de informes PDF con gráficos, KPIs y análisis completo listos para entregar a la empresa auditada y a la UPME.</w:t>
      </w:r>
    </w:p>
    <w:p>
      <w:r>
        <w:br w:type="page"/>
      </w:r>
    </w:p>
    <w:p/>
    <w:p>
      <w:r>
        <w:rPr>
          <w:b/>
          <w:color w:val="0284C7"/>
          <w:sz w:val="28"/>
        </w:rPr>
        <w:t xml:space="preserve">03  </w:t>
      </w:r>
      <w:r>
        <w:rPr>
          <w:b/>
          <w:color w:val="0F172A"/>
          <w:sz w:val="28"/>
        </w:rPr>
        <w:t>ACCESO Y AUTENTICACIÓN</w:t>
      </w:r>
    </w:p>
    <w:p>
      <w:r>
        <w:rPr>
          <w:i/>
          <w:color w:val="64748B"/>
          <w:sz w:val="20"/>
        </w:rPr>
        <w:t>Diseño moderno con identidad visual del programa PEVI</w:t>
      </w:r>
    </w:p>
    <w:p>
      <w:r>
        <w:rPr>
          <w:color w:val="0284C7"/>
          <w:sz w:val="12"/>
        </w:rPr>
        <w:t>━━━━━━━━━━━━━━━━━━━━━━━━━━━━━━━━━━━━━━━━━━━━━━━━━━━━━━━━━━━━</w:t>
      </w:r>
    </w:p>
    <w:p>
      <w:pPr>
        <w:spacing w:after="120"/>
      </w:pPr>
      <w:r>
        <w:rPr>
          <w:rFonts w:ascii="Calibri" w:hAnsi="Calibri"/>
          <w:sz w:val="20"/>
        </w:rPr>
        <w:t>La pantalla de inicio de sesión presenta un diseño profesional que refleja la identidad del programa. Un panel lateral muestra los logos de las 5 universidades participantes sobre un fondo energético, mientras que el panel principal ofrece autenticación por usuario o correo electrónico.</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Pantalla de Login — Diseño a dos paneles con logos universitarios</w:t>
            </w:r>
          </w:p>
          <w:p>
            <w:pPr>
              <w:jc w:val="center"/>
            </w:pPr>
            <w:r>
              <w:rPr>
                <w:i/>
                <w:color w:val="94A3B8"/>
                <w:sz w:val="16"/>
              </w:rPr>
              <w:t>Clic derecho → Insertar imagen → Seleccionar archivo</w:t>
            </w:r>
          </w:p>
        </w:tc>
      </w:tr>
    </w:tbl>
    <w:p/>
    <w:p>
      <w:pPr>
        <w:spacing w:after="120"/>
      </w:pPr>
      <w:r>
        <w:rPr>
          <w:rFonts w:ascii="Calibri" w:hAnsi="Calibri"/>
          <w:b/>
          <w:color w:val="0F172A"/>
          <w:sz w:val="20"/>
        </w:rPr>
        <w:t>Características de seguridad del acceso:</w:t>
      </w:r>
    </w:p>
    <w:p>
      <w:pPr>
        <w:pStyle w:val="ListBullet"/>
      </w:pPr>
      <w:r>
        <w:rPr>
          <w:b/>
          <w:sz w:val="20"/>
        </w:rPr>
        <w:t>Doble vía de acceso:</w:t>
      </w:r>
      <w:r>
        <w:rPr>
          <w:sz w:val="20"/>
        </w:rPr>
        <w:t xml:space="preserve"> Autenticación dual: usuario tradicional o correo electrónico</w:t>
      </w:r>
    </w:p>
    <w:p>
      <w:pPr>
        <w:pStyle w:val="ListBullet"/>
      </w:pPr>
      <w:r>
        <w:rPr>
          <w:b/>
          <w:sz w:val="20"/>
        </w:rPr>
        <w:t>Recuperación de contraseña:</w:t>
      </w:r>
      <w:r>
        <w:rPr>
          <w:sz w:val="20"/>
        </w:rPr>
        <w:t xml:space="preserve"> Restablecimiento por email con enlace seguro</w:t>
      </w:r>
    </w:p>
    <w:p>
      <w:pPr>
        <w:pStyle w:val="ListBullet"/>
      </w:pPr>
      <w:r>
        <w:rPr>
          <w:b/>
          <w:sz w:val="20"/>
        </w:rPr>
        <w:t>Roles jerárquicos:</w:t>
      </w:r>
      <w:r>
        <w:rPr>
          <w:sz w:val="20"/>
        </w:rPr>
        <w:t xml:space="preserve"> 4 niveles: Estudiante → Profesor → Director Centro → Director Nacional</w:t>
      </w:r>
    </w:p>
    <w:p>
      <w:pPr>
        <w:pStyle w:val="ListBullet"/>
      </w:pPr>
      <w:r>
        <w:rPr>
          <w:b/>
          <w:sz w:val="20"/>
        </w:rPr>
        <w:t>Aislamiento por centro:</w:t>
      </w:r>
      <w:r>
        <w:rPr>
          <w:sz w:val="20"/>
        </w:rPr>
        <w:t xml:space="preserve"> Cada centro solo ve y gestiona sus propios datos</w:t>
      </w:r>
    </w:p>
    <w:p>
      <w:r>
        <w:br w:type="page"/>
      </w:r>
    </w:p>
    <w:p/>
    <w:p>
      <w:r>
        <w:rPr>
          <w:b/>
          <w:color w:val="0284C7"/>
          <w:sz w:val="28"/>
        </w:rPr>
        <w:t xml:space="preserve">04  </w:t>
      </w:r>
      <w:r>
        <w:rPr>
          <w:b/>
          <w:color w:val="0F172A"/>
          <w:sz w:val="28"/>
        </w:rPr>
        <w:t>DASHBOARD INTELIGENTE</w:t>
      </w:r>
    </w:p>
    <w:p>
      <w:r>
        <w:rPr>
          <w:i/>
          <w:color w:val="64748B"/>
          <w:sz w:val="20"/>
        </w:rPr>
        <w:t>Vista ejecutiva con indicadores clave en tiempo real</w:t>
      </w:r>
    </w:p>
    <w:p>
      <w:r>
        <w:rPr>
          <w:color w:val="0284C7"/>
          <w:sz w:val="12"/>
        </w:rPr>
        <w:t>━━━━━━━━━━━━━━━━━━━━━━━━━━━━━━━━━━━━━━━━━━━━━━━━━━━━━━━━━━━━</w:t>
      </w:r>
    </w:p>
    <w:p>
      <w:pPr>
        <w:spacing w:after="120"/>
      </w:pPr>
      <w:r>
        <w:rPr>
          <w:rFonts w:ascii="Calibri" w:hAnsi="Calibri"/>
          <w:sz w:val="20"/>
        </w:rPr>
        <w:t>Al ingresar, cada usuario recibe un dashboard personalizado según su rol. Los directores ven una vista ejecutiva con KPIs consolidados, mientras que profesores y estudiantes acceden a un panel operativo orientado a la acción.</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Dashboard Principal — Vista ejecutiva con 4 KPI cards y tabla de actividad reciente</w:t>
            </w:r>
          </w:p>
          <w:p>
            <w:pPr>
              <w:jc w:val="center"/>
            </w:pPr>
            <w:r>
              <w:rPr>
                <w:i/>
                <w:color w:val="94A3B8"/>
                <w:sz w:val="16"/>
              </w:rPr>
              <w:t>Clic derecho → Insertar imagen → Seleccionar archivo</w:t>
            </w:r>
          </w:p>
        </w:tc>
      </w:tr>
    </w:tbl>
    <w:p/>
    <w:p>
      <w:pPr>
        <w:spacing w:after="120"/>
      </w:pPr>
      <w:r>
        <w:rPr>
          <w:rFonts w:ascii="Calibri" w:hAnsi="Calibri"/>
          <w:b/>
          <w:color w:val="0F172A"/>
          <w:sz w:val="20"/>
        </w:rPr>
        <w:t>Indicadores en tiempo real:</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351"/>
        <w:gridCol w:w="2351"/>
        <w:gridCol w:w="2351"/>
        <w:gridCol w:w="2351"/>
      </w:tblGrid>
      <w:tr>
        <w:tc>
          <w:tcPr>
            <w:tcW w:type="dxa" w:w="2351"/>
            <w:shd w:fill="e0f2fe"/>
            <w:tcBorders>
              <w:top w:val="single" w:sz="4" w:color="e0f2fe"/>
              <w:left w:val="single" w:sz="4" w:color="e0f2fe"/>
              <w:bottom w:val="single" w:sz="4" w:color="e0f2fe"/>
              <w:right w:val="single" w:sz="4" w:color="e0f2fe"/>
            </w:tcBorders>
            <w:vAlign w:val="center"/>
          </w:tcPr>
          <w:p>
            <w:pPr>
              <w:jc w:val="center"/>
            </w:pPr>
            <w:r>
              <w:rPr>
                <w:b/>
                <w:color w:val="0F172A"/>
                <w:sz w:val="40"/>
              </w:rPr>
              <w:t>24</w:t>
            </w:r>
          </w:p>
          <w:p>
            <w:pPr>
              <w:jc w:val="center"/>
            </w:pPr>
            <w:r>
              <w:rPr>
                <w:b/>
                <w:caps/>
                <w:color w:val="475569"/>
                <w:sz w:val="16"/>
              </w:rPr>
              <w:t>PROYECTOS</w:t>
              <w:br/>
              <w:t>TOTALES</w:t>
            </w:r>
          </w:p>
        </w:tc>
        <w:tc>
          <w:tcPr>
            <w:tcW w:type="dxa" w:w="2351"/>
            <w:shd w:fill="fef3c7"/>
            <w:tcBorders>
              <w:top w:val="single" w:sz="4" w:color="fef3c7"/>
              <w:left w:val="single" w:sz="4" w:color="fef3c7"/>
              <w:bottom w:val="single" w:sz="4" w:color="fef3c7"/>
              <w:right w:val="single" w:sz="4" w:color="fef3c7"/>
            </w:tcBorders>
            <w:vAlign w:val="center"/>
          </w:tcPr>
          <w:p>
            <w:pPr>
              <w:jc w:val="center"/>
            </w:pPr>
            <w:r>
              <w:rPr>
                <w:b/>
                <w:color w:val="0F172A"/>
                <w:sz w:val="40"/>
              </w:rPr>
              <w:t>8</w:t>
            </w:r>
          </w:p>
          <w:p>
            <w:pPr>
              <w:jc w:val="center"/>
            </w:pPr>
            <w:r>
              <w:rPr>
                <w:b/>
                <w:caps/>
                <w:color w:val="475569"/>
                <w:sz w:val="16"/>
              </w:rPr>
              <w:t>PROYECTOS</w:t>
              <w:br/>
              <w:t>ACTIVOS</w:t>
            </w:r>
          </w:p>
        </w:tc>
        <w:tc>
          <w:tcPr>
            <w:tcW w:type="dxa" w:w="2351"/>
            <w:shd w:fill="dcfce7"/>
            <w:tcBorders>
              <w:top w:val="single" w:sz="4" w:color="dcfce7"/>
              <w:left w:val="single" w:sz="4" w:color="dcfce7"/>
              <w:bottom w:val="single" w:sz="4" w:color="dcfce7"/>
              <w:right w:val="single" w:sz="4" w:color="dcfce7"/>
            </w:tcBorders>
            <w:vAlign w:val="center"/>
          </w:tcPr>
          <w:p>
            <w:pPr>
              <w:jc w:val="center"/>
            </w:pPr>
            <w:r>
              <w:rPr>
                <w:b/>
                <w:color w:val="0F172A"/>
                <w:sz w:val="40"/>
              </w:rPr>
              <w:t>1.2M</w:t>
            </w:r>
          </w:p>
          <w:p>
            <w:pPr>
              <w:jc w:val="center"/>
            </w:pPr>
            <w:r>
              <w:rPr>
                <w:b/>
                <w:caps/>
                <w:color w:val="475569"/>
                <w:sz w:val="16"/>
              </w:rPr>
              <w:t>kWh</w:t>
              <w:br/>
              <w:t>AUDITADOS</w:t>
            </w:r>
          </w:p>
        </w:tc>
        <w:tc>
          <w:tcPr>
            <w:tcW w:type="dxa" w:w="2351"/>
            <w:shd w:fill="f1f5f9"/>
            <w:tcBorders>
              <w:top w:val="single" w:sz="4" w:color="f1f5f9"/>
              <w:left w:val="single" w:sz="4" w:color="f1f5f9"/>
              <w:bottom w:val="single" w:sz="4" w:color="f1f5f9"/>
              <w:right w:val="single" w:sz="4" w:color="f1f5f9"/>
            </w:tcBorders>
            <w:vAlign w:val="center"/>
          </w:tcPr>
          <w:p>
            <w:pPr>
              <w:jc w:val="center"/>
            </w:pPr>
            <w:r>
              <w:rPr>
                <w:b/>
                <w:color w:val="0F172A"/>
                <w:sz w:val="40"/>
              </w:rPr>
              <w:t>→ BI</w:t>
            </w:r>
          </w:p>
          <w:p>
            <w:pPr>
              <w:jc w:val="center"/>
            </w:pPr>
            <w:r>
              <w:rPr>
                <w:b/>
                <w:caps/>
                <w:color w:val="475569"/>
                <w:sz w:val="16"/>
              </w:rPr>
              <w:t>MÉTRICAS</w:t>
              <w:br/>
              <w:t>ESTRATÉGICAS</w:t>
            </w:r>
          </w:p>
        </w:tc>
      </w:tr>
    </w:tbl>
    <w:p/>
    <w:p>
      <w:pPr>
        <w:spacing w:after="120"/>
      </w:pPr>
      <w:r>
        <w:rPr>
          <w:rFonts w:ascii="Calibri" w:hAnsi="Calibri"/>
          <w:sz w:val="20"/>
        </w:rPr>
        <w:t>El dashboard incluye una tabla de actividad reciente con los últimos 10 proyectos actualizados, estado visual con badges de color, energía auditada y acceso directo a cada proyecto.</w:t>
      </w:r>
    </w:p>
    <w:p>
      <w:pPr>
        <w:spacing w:after="120"/>
      </w:pPr>
      <w:r>
        <w:rPr>
          <w:rFonts w:ascii="Calibri" w:hAnsi="Calibri"/>
          <w:sz w:val="20"/>
        </w:rPr>
        <w:t>Los profesores pueden iniciar nuevos proyectos directamente desde el dashboard con un solo clic, mientras que los estudiantes ven exclusivamente los proyectos donde están asignados como equipo de trabajo.</w:t>
      </w:r>
    </w:p>
    <w:p>
      <w:r>
        <w:br w:type="page"/>
      </w:r>
    </w:p>
    <w:p/>
    <w:p>
      <w:r>
        <w:rPr>
          <w:b/>
          <w:color w:val="0284C7"/>
          <w:sz w:val="28"/>
        </w:rPr>
        <w:t xml:space="preserve">05  </w:t>
      </w:r>
      <w:r>
        <w:rPr>
          <w:b/>
          <w:color w:val="0F172A"/>
          <w:sz w:val="28"/>
        </w:rPr>
        <w:t>GESTIÓN DE PROYECTOS DE AUDITORÍA</w:t>
      </w:r>
    </w:p>
    <w:p>
      <w:r>
        <w:rPr>
          <w:i/>
          <w:color w:val="64748B"/>
          <w:sz w:val="20"/>
        </w:rPr>
        <w:t>Motor central del sistema con flujo de estados, equipos y bitácora energética</w:t>
      </w:r>
    </w:p>
    <w:p>
      <w:r>
        <w:rPr>
          <w:color w:val="0284C7"/>
          <w:sz w:val="12"/>
        </w:rPr>
        <w:t>━━━━━━━━━━━━━━━━━━━━━━━━━━━━━━━━━━━━━━━━━━━━━━━━━━━━━━━━━━━━</w:t>
      </w:r>
    </w:p>
    <w:p>
      <w:pPr>
        <w:spacing w:after="120"/>
      </w:pPr>
      <w:r>
        <w:rPr>
          <w:rFonts w:ascii="Calibri" w:hAnsi="Calibri"/>
          <w:sz w:val="20"/>
        </w:rPr>
        <w:t>El módulo de proyectos es el corazón de la plataforma. Cada proyecto de auditoría atraviesa un ciclo de vida controlado (Borrador → Ejecución → Revisión → Finalizado) con asignación de equipos, registro de 6 fuentes energéticas, oportunidades de mejora y generación de informes.</w:t>
      </w:r>
    </w:p>
    <w:p>
      <w:pPr>
        <w:pStyle w:val="Heading2"/>
      </w:pPr>
      <w:r>
        <w:rPr>
          <w:color w:val="0F172A"/>
        </w:rPr>
        <w:t>Listado de Proyectos con Filtros Avanzados</w:t>
      </w:r>
    </w:p>
    <w:p>
      <w:pPr>
        <w:spacing w:after="120"/>
      </w:pPr>
      <w:r>
        <w:rPr>
          <w:rFonts w:ascii="Calibri" w:hAnsi="Calibri"/>
          <w:sz w:val="20"/>
        </w:rPr>
        <w:t>El listado ofrece una vista completa con filtros por estado, fase, líder y centro. Los directores nacionales ven el portafolio de todo el país, mientras que cada centro tiene su propia vista filtrada.</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Lista de Proyectos — Filtros, badges de estado, equipo y acciones</w:t>
            </w:r>
          </w:p>
          <w:p>
            <w:pPr>
              <w:jc w:val="center"/>
            </w:pPr>
            <w:r>
              <w:rPr>
                <w:i/>
                <w:color w:val="94A3B8"/>
                <w:sz w:val="16"/>
              </w:rPr>
              <w:t>Clic derecho → Insertar imagen → Seleccionar archivo</w:t>
            </w:r>
          </w:p>
        </w:tc>
      </w:tr>
    </w:tbl>
    <w:p/>
    <w:p>
      <w:pPr>
        <w:pStyle w:val="Heading2"/>
      </w:pPr>
      <w:r>
        <w:rPr>
          <w:color w:val="0F172A"/>
        </w:rPr>
        <w:t>Creación de Proyectos con Selector de Equipo por Roles</w:t>
      </w:r>
    </w:p>
    <w:p>
      <w:pPr>
        <w:spacing w:after="120"/>
      </w:pPr>
      <w:r>
        <w:rPr>
          <w:rFonts w:ascii="Calibri" w:hAnsi="Calibri"/>
          <w:sz w:val="20"/>
        </w:rPr>
        <w:t>El formulario de creación incluye un innovador selector de equipo que agrupa a los usuarios por rol (Estudiante, Profesor, Director). El usuario hace clic en el rol deseado, ve las personas disponibles como tarjetas interactivas, y los seleccionados aparecen como badges con opción de remover.</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Crear Proyecto — Formulario con selector de equipo por roles interactivo</w:t>
            </w:r>
          </w:p>
          <w:p>
            <w:pPr>
              <w:jc w:val="center"/>
            </w:pPr>
            <w:r>
              <w:rPr>
                <w:i/>
                <w:color w:val="94A3B8"/>
                <w:sz w:val="16"/>
              </w:rPr>
              <w:t>Clic derecho → Insertar imagen → Seleccionar archivo</w:t>
            </w:r>
          </w:p>
        </w:tc>
      </w:tr>
    </w:tbl>
    <w:p/>
    <w:p>
      <w:r>
        <w:br w:type="page"/>
      </w:r>
    </w:p>
    <w:p/>
    <w:p>
      <w:r>
        <w:rPr>
          <w:b/>
          <w:color w:val="0284C7"/>
          <w:sz w:val="28"/>
        </w:rPr>
        <w:t xml:space="preserve">06  </w:t>
      </w:r>
      <w:r>
        <w:rPr>
          <w:b/>
          <w:color w:val="0F172A"/>
          <w:sz w:val="28"/>
        </w:rPr>
        <w:t>EXPEDIENTE INTEGRAL DEL PROYECTO</w:t>
      </w:r>
    </w:p>
    <w:p>
      <w:r>
        <w:rPr>
          <w:i/>
          <w:color w:val="64748B"/>
          <w:sz w:val="20"/>
        </w:rPr>
        <w:t>Centro de comando con KPIs, gráficos, bitácora y análisis en una sola vista</w:t>
      </w:r>
    </w:p>
    <w:p>
      <w:r>
        <w:rPr>
          <w:color w:val="0284C7"/>
          <w:sz w:val="12"/>
        </w:rPr>
        <w:t>━━━━━━━━━━━━━━━━━━━━━━━━━━━━━━━━━━━━━━━━━━━━━━━━━━━━━━━━━━━━</w:t>
      </w:r>
    </w:p>
    <w:p>
      <w:pPr>
        <w:spacing w:after="120"/>
      </w:pPr>
      <w:r>
        <w:rPr>
          <w:rFonts w:ascii="Calibri" w:hAnsi="Calibri"/>
          <w:sz w:val="20"/>
        </w:rPr>
        <w:t>El expediente del proyecto es la vista más completa y poderosa del sistema. Concentra toda la información de una auditoría energética en una sola página interactiva: indicadores clave, 4 gráficos analíticos, bitácora de registros por fuente, oportunidades de mejora y documentación.</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Expediente del Proyecto — Barra de estado + 3 KPI cards superiores</w:t>
            </w:r>
          </w:p>
          <w:p>
            <w:pPr>
              <w:jc w:val="center"/>
            </w:pPr>
            <w:r>
              <w:rPr>
                <w:i/>
                <w:color w:val="94A3B8"/>
                <w:sz w:val="16"/>
              </w:rPr>
              <w:t>Clic derecho → Insertar imagen → Seleccionar archivo</w:t>
            </w:r>
          </w:p>
        </w:tc>
      </w:tr>
    </w:tbl>
    <w:p/>
    <w:p>
      <w:pPr>
        <w:spacing w:after="120"/>
      </w:pPr>
      <w:r>
        <w:rPr>
          <w:rFonts w:ascii="Calibri" w:hAnsi="Calibri"/>
          <w:b/>
          <w:color w:val="0F172A"/>
          <w:sz w:val="20"/>
        </w:rPr>
        <w:t>3 KPIs principales en la cabecera:</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135"/>
        <w:gridCol w:w="3135"/>
        <w:gridCol w:w="3135"/>
      </w:tblGrid>
      <w:tr>
        <w:tc>
          <w:tcPr>
            <w:tcW w:type="dxa" w:w="3135"/>
            <w:shd w:fill="e0f2fe"/>
            <w:tcBorders>
              <w:top w:val="single" w:sz="4" w:color="e0f2fe"/>
              <w:left w:val="single" w:sz="4" w:color="e0f2fe"/>
              <w:bottom w:val="single" w:sz="4" w:color="e0f2fe"/>
              <w:right w:val="single" w:sz="4" w:color="e0f2fe"/>
            </w:tcBorders>
            <w:vAlign w:val="center"/>
          </w:tcPr>
          <w:p>
            <w:pPr>
              <w:jc w:val="center"/>
            </w:pPr>
            <w:r>
              <w:rPr>
                <w:b/>
                <w:color w:val="0F172A"/>
                <w:sz w:val="40"/>
              </w:rPr>
              <w:t>245,800</w:t>
            </w:r>
          </w:p>
          <w:p>
            <w:pPr>
              <w:jc w:val="center"/>
            </w:pPr>
            <w:r>
              <w:rPr>
                <w:b/>
                <w:caps/>
                <w:color w:val="475569"/>
                <w:sz w:val="16"/>
              </w:rPr>
              <w:t>kWh EQUIVALENTES</w:t>
              <w:br/>
              <w:t>CONSUMO TOTAL</w:t>
            </w:r>
          </w:p>
        </w:tc>
        <w:tc>
          <w:tcPr>
            <w:tcW w:type="dxa" w:w="3135"/>
            <w:shd w:fill="dcfce7"/>
            <w:tcBorders>
              <w:top w:val="single" w:sz="4" w:color="dcfce7"/>
              <w:left w:val="single" w:sz="4" w:color="dcfce7"/>
              <w:bottom w:val="single" w:sz="4" w:color="dcfce7"/>
              <w:right w:val="single" w:sz="4" w:color="dcfce7"/>
            </w:tcBorders>
            <w:vAlign w:val="center"/>
          </w:tcPr>
          <w:p>
            <w:pPr>
              <w:jc w:val="center"/>
            </w:pPr>
            <w:r>
              <w:rPr>
                <w:b/>
                <w:color w:val="0F172A"/>
                <w:sz w:val="40"/>
              </w:rPr>
              <w:t>85.3</w:t>
            </w:r>
          </w:p>
          <w:p>
            <w:pPr>
              <w:jc w:val="center"/>
            </w:pPr>
            <w:r>
              <w:rPr>
                <w:b/>
                <w:caps/>
                <w:color w:val="475569"/>
                <w:sz w:val="16"/>
              </w:rPr>
              <w:t>TonCO2/AÑO</w:t>
              <w:br/>
              <w:t>HUELLA DE CARBONO</w:t>
            </w:r>
          </w:p>
        </w:tc>
        <w:tc>
          <w:tcPr>
            <w:tcW w:type="dxa" w:w="3135"/>
            <w:shd w:fill="fef3c7"/>
            <w:tcBorders>
              <w:top w:val="single" w:sz="4" w:color="fef3c7"/>
              <w:left w:val="single" w:sz="4" w:color="fef3c7"/>
              <w:bottom w:val="single" w:sz="4" w:color="fef3c7"/>
              <w:right w:val="single" w:sz="4" w:color="fef3c7"/>
            </w:tcBorders>
            <w:vAlign w:val="center"/>
          </w:tcPr>
          <w:p>
            <w:pPr>
              <w:jc w:val="center"/>
            </w:pPr>
            <w:r>
              <w:rPr>
                <w:b/>
                <w:color w:val="0F172A"/>
                <w:sz w:val="40"/>
              </w:rPr>
              <w:t>$142.5M</w:t>
            </w:r>
          </w:p>
          <w:p>
            <w:pPr>
              <w:jc w:val="center"/>
            </w:pPr>
            <w:r>
              <w:rPr>
                <w:b/>
                <w:caps/>
                <w:color w:val="475569"/>
                <w:sz w:val="16"/>
              </w:rPr>
              <w:t>COP/AÑO</w:t>
              <w:br/>
              <w:t>COSTO OPERATIVO</w:t>
            </w:r>
          </w:p>
        </w:tc>
      </w:tr>
    </w:tbl>
    <w:p/>
    <w:p>
      <w:pPr>
        <w:pStyle w:val="Heading2"/>
      </w:pPr>
      <w:r>
        <w:rPr>
          <w:color w:val="0F172A"/>
        </w:rPr>
        <w:t>4 Gráficos Analíticos Interactivos</w:t>
      </w:r>
    </w:p>
    <w:p>
      <w:pPr>
        <w:spacing w:after="120"/>
      </w:pPr>
      <w:r>
        <w:rPr>
          <w:rFonts w:ascii="Calibri" w:hAnsi="Calibri"/>
          <w:sz w:val="20"/>
        </w:rPr>
        <w:t>El expediente incluye 4 gráficos Chart.js interactivos que permiten visualizar la distribución energética, ambiental y económica de la empresa auditada:</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703"/>
        <w:gridCol w:w="4703"/>
      </w:tblGrid>
      <w:tr>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Gráfico 1: Matriz de Consumo</w:t>
              <w:br/>
              <w:t>(Dona — kWh por fuente)</w:t>
            </w:r>
          </w:p>
        </w:tc>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Gráfico 2: Huella de Carbono</w:t>
              <w:br/>
              <w:t>(Dona — TonCO2 por fuente)</w:t>
            </w:r>
          </w:p>
        </w:tc>
      </w:tr>
    </w:tbl>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703"/>
        <w:gridCol w:w="4703"/>
      </w:tblGrid>
      <w:tr>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Gráfico 3: Balance Térmico</w:t>
              <w:br/>
              <w:t>(Barras — Eléctrico vs Térmico MBTU)</w:t>
            </w:r>
          </w:p>
        </w:tc>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Gráfico 4: Distribución de Costos</w:t>
              <w:br/>
              <w:t>(Barras — COP por fuente)</w:t>
            </w:r>
          </w:p>
        </w:tc>
      </w:tr>
    </w:tbl>
    <w:p/>
    <w:p>
      <w:r>
        <w:br w:type="page"/>
      </w:r>
    </w:p>
    <w:p>
      <w:pPr>
        <w:pStyle w:val="Heading2"/>
      </w:pPr>
      <w:r>
        <w:rPr>
          <w:color w:val="0F172A"/>
        </w:rPr>
        <w:t>Bitácora de Registros Energéticos</w:t>
      </w:r>
    </w:p>
    <w:p>
      <w:pPr>
        <w:spacing w:after="120"/>
      </w:pPr>
      <w:r>
        <w:rPr>
          <w:rFonts w:ascii="Calibri" w:hAnsi="Calibri"/>
          <w:sz w:val="20"/>
        </w:rPr>
        <w:t>7 tarjetas interactivas muestran el estado de cada fuente energética. Cada tarjeta resume los datos registrados (consumo, costo, emisiones) y ofrece acceso directo al formulario de registro.</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Bitácora — 7 tarjetas de fuentes energéticas (Producción + 6 combustibles)</w:t>
            </w:r>
          </w:p>
          <w:p>
            <w:pPr>
              <w:jc w:val="center"/>
            </w:pPr>
            <w:r>
              <w:rPr>
                <w:i/>
                <w:color w:val="94A3B8"/>
                <w:sz w:val="16"/>
              </w:rPr>
              <w:t>Clic derecho → Insertar imagen → Seleccionar archivo</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2268"/>
            <w:shd w:fill="0f172a"/>
          </w:tcPr>
          <w:p>
            <w:r/>
            <w:r>
              <w:rPr>
                <w:rFonts w:ascii="Calibri" w:hAnsi="Calibri"/>
                <w:b/>
                <w:color w:val="FFFFFF"/>
                <w:sz w:val="17"/>
              </w:rPr>
              <w:t>Fuente Energética</w:t>
            </w:r>
          </w:p>
        </w:tc>
        <w:tc>
          <w:tcPr>
            <w:tcW w:type="dxa" w:w="1134"/>
            <w:shd w:fill="0f172a"/>
          </w:tcPr>
          <w:p>
            <w:r/>
            <w:r>
              <w:rPr>
                <w:rFonts w:ascii="Calibri" w:hAnsi="Calibri"/>
                <w:b/>
                <w:color w:val="FFFFFF"/>
                <w:sz w:val="17"/>
              </w:rPr>
              <w:t>Unidad</w:t>
            </w:r>
          </w:p>
        </w:tc>
        <w:tc>
          <w:tcPr>
            <w:tcW w:type="dxa" w:w="5102"/>
            <w:shd w:fill="0f172a"/>
          </w:tcPr>
          <w:p>
            <w:r/>
            <w:r>
              <w:rPr>
                <w:rFonts w:ascii="Calibri" w:hAnsi="Calibri"/>
                <w:b/>
                <w:color w:val="FFFFFF"/>
                <w:sz w:val="17"/>
              </w:rPr>
              <w:t>Indicadores Mostrados</w:t>
            </w:r>
          </w:p>
        </w:tc>
      </w:tr>
      <w:tr>
        <w:tc>
          <w:tcPr>
            <w:tcW w:type="dxa" w:w="2268"/>
          </w:tcPr>
          <w:p>
            <w:r/>
            <w:r>
              <w:rPr>
                <w:rFonts w:ascii="Calibri" w:hAnsi="Calibri"/>
                <w:sz w:val="18"/>
              </w:rPr>
              <w:t>⚡ Electricidad</w:t>
            </w:r>
          </w:p>
        </w:tc>
        <w:tc>
          <w:tcPr>
            <w:tcW w:type="dxa" w:w="1134"/>
          </w:tcPr>
          <w:p>
            <w:r/>
            <w:r>
              <w:rPr>
                <w:rFonts w:ascii="Calibri" w:hAnsi="Calibri"/>
                <w:sz w:val="18"/>
              </w:rPr>
              <w:t>kWh</w:t>
            </w:r>
          </w:p>
        </w:tc>
        <w:tc>
          <w:tcPr>
            <w:tcW w:type="dxa" w:w="5102"/>
          </w:tcPr>
          <w:p>
            <w:r/>
            <w:r>
              <w:rPr>
                <w:rFonts w:ascii="Calibri" w:hAnsi="Calibri"/>
                <w:sz w:val="18"/>
              </w:rPr>
              <w:t>Consumo kWh + Costo COP</w:t>
            </w:r>
          </w:p>
        </w:tc>
      </w:tr>
      <w:tr>
        <w:tc>
          <w:tcPr>
            <w:tcW w:type="dxa" w:w="2268"/>
            <w:shd w:fill="f8fafc"/>
          </w:tcPr>
          <w:p>
            <w:r/>
            <w:r>
              <w:rPr>
                <w:rFonts w:ascii="Calibri" w:hAnsi="Calibri"/>
                <w:sz w:val="18"/>
              </w:rPr>
              <w:t>🔥 Gas Natural</w:t>
            </w:r>
          </w:p>
        </w:tc>
        <w:tc>
          <w:tcPr>
            <w:tcW w:type="dxa" w:w="1134"/>
            <w:shd w:fill="f8fafc"/>
          </w:tcPr>
          <w:p>
            <w:r/>
            <w:r>
              <w:rPr>
                <w:rFonts w:ascii="Calibri" w:hAnsi="Calibri"/>
                <w:sz w:val="18"/>
              </w:rPr>
              <w:t>m³</w:t>
            </w:r>
          </w:p>
        </w:tc>
        <w:tc>
          <w:tcPr>
            <w:tcW w:type="dxa" w:w="5102"/>
            <w:shd w:fill="f8fafc"/>
          </w:tcPr>
          <w:p>
            <w:r/>
            <w:r>
              <w:rPr>
                <w:rFonts w:ascii="Calibri" w:hAnsi="Calibri"/>
                <w:sz w:val="18"/>
              </w:rPr>
              <w:t>Volumen + Energía equivalente kWh</w:t>
            </w:r>
          </w:p>
        </w:tc>
      </w:tr>
      <w:tr>
        <w:tc>
          <w:tcPr>
            <w:tcW w:type="dxa" w:w="2268"/>
          </w:tcPr>
          <w:p>
            <w:r/>
            <w:r>
              <w:rPr>
                <w:rFonts w:ascii="Calibri" w:hAnsi="Calibri"/>
                <w:sz w:val="18"/>
              </w:rPr>
              <w:t>⬛ Carbón Mineral</w:t>
            </w:r>
          </w:p>
        </w:tc>
        <w:tc>
          <w:tcPr>
            <w:tcW w:type="dxa" w:w="1134"/>
          </w:tcPr>
          <w:p>
            <w:r/>
            <w:r>
              <w:rPr>
                <w:rFonts w:ascii="Calibri" w:hAnsi="Calibri"/>
                <w:sz w:val="18"/>
              </w:rPr>
              <w:t>Ton</w:t>
            </w:r>
          </w:p>
        </w:tc>
        <w:tc>
          <w:tcPr>
            <w:tcW w:type="dxa" w:w="5102"/>
          </w:tcPr>
          <w:p>
            <w:r/>
            <w:r>
              <w:rPr>
                <w:rFonts w:ascii="Calibri" w:hAnsi="Calibri"/>
                <w:sz w:val="18"/>
              </w:rPr>
              <w:t>Masa + Emisiones TonCO2</w:t>
            </w:r>
          </w:p>
        </w:tc>
      </w:tr>
      <w:tr>
        <w:tc>
          <w:tcPr>
            <w:tcW w:type="dxa" w:w="2268"/>
            <w:shd w:fill="f8fafc"/>
          </w:tcPr>
          <w:p>
            <w:r/>
            <w:r>
              <w:rPr>
                <w:rFonts w:ascii="Calibri" w:hAnsi="Calibri"/>
                <w:sz w:val="18"/>
              </w:rPr>
              <w:t>🔴 Fuel Oil</w:t>
            </w:r>
          </w:p>
        </w:tc>
        <w:tc>
          <w:tcPr>
            <w:tcW w:type="dxa" w:w="1134"/>
            <w:shd w:fill="f8fafc"/>
          </w:tcPr>
          <w:p>
            <w:r/>
            <w:r>
              <w:rPr>
                <w:rFonts w:ascii="Calibri" w:hAnsi="Calibri"/>
                <w:sz w:val="18"/>
              </w:rPr>
              <w:t>Gal</w:t>
            </w:r>
          </w:p>
        </w:tc>
        <w:tc>
          <w:tcPr>
            <w:tcW w:type="dxa" w:w="5102"/>
            <w:shd w:fill="f8fafc"/>
          </w:tcPr>
          <w:p>
            <w:r/>
            <w:r>
              <w:rPr>
                <w:rFonts w:ascii="Calibri" w:hAnsi="Calibri"/>
                <w:sz w:val="18"/>
              </w:rPr>
              <w:t>Volumen + Energía kWh</w:t>
            </w:r>
          </w:p>
        </w:tc>
      </w:tr>
      <w:tr>
        <w:tc>
          <w:tcPr>
            <w:tcW w:type="dxa" w:w="2268"/>
          </w:tcPr>
          <w:p>
            <w:r/>
            <w:r>
              <w:rPr>
                <w:rFonts w:ascii="Calibri" w:hAnsi="Calibri"/>
                <w:sz w:val="18"/>
              </w:rPr>
              <w:t>🌿 Biomasa</w:t>
            </w:r>
          </w:p>
        </w:tc>
        <w:tc>
          <w:tcPr>
            <w:tcW w:type="dxa" w:w="1134"/>
          </w:tcPr>
          <w:p>
            <w:r/>
            <w:r>
              <w:rPr>
                <w:rFonts w:ascii="Calibri" w:hAnsi="Calibri"/>
                <w:sz w:val="18"/>
              </w:rPr>
              <w:t>Ton</w:t>
            </w:r>
          </w:p>
        </w:tc>
        <w:tc>
          <w:tcPr>
            <w:tcW w:type="dxa" w:w="5102"/>
          </w:tcPr>
          <w:p>
            <w:r/>
            <w:r>
              <w:rPr>
                <w:rFonts w:ascii="Calibri" w:hAnsi="Calibri"/>
                <w:sz w:val="18"/>
              </w:rPr>
              <w:t>Tipo de biomasa + Masa</w:t>
            </w:r>
          </w:p>
        </w:tc>
      </w:tr>
      <w:tr>
        <w:tc>
          <w:tcPr>
            <w:tcW w:type="dxa" w:w="2268"/>
            <w:shd w:fill="f8fafc"/>
          </w:tcPr>
          <w:p>
            <w:r/>
            <w:r>
              <w:rPr>
                <w:rFonts w:ascii="Calibri" w:hAnsi="Calibri"/>
                <w:sz w:val="18"/>
              </w:rPr>
              <w:t>🔵 Gas Propano (GLP)</w:t>
            </w:r>
          </w:p>
        </w:tc>
        <w:tc>
          <w:tcPr>
            <w:tcW w:type="dxa" w:w="1134"/>
            <w:shd w:fill="f8fafc"/>
          </w:tcPr>
          <w:p>
            <w:r/>
            <w:r>
              <w:rPr>
                <w:rFonts w:ascii="Calibri" w:hAnsi="Calibri"/>
                <w:sz w:val="18"/>
              </w:rPr>
              <w:t>kg</w:t>
            </w:r>
          </w:p>
        </w:tc>
        <w:tc>
          <w:tcPr>
            <w:tcW w:type="dxa" w:w="5102"/>
            <w:shd w:fill="f8fafc"/>
          </w:tcPr>
          <w:p>
            <w:r/>
            <w:r>
              <w:rPr>
                <w:rFonts w:ascii="Calibri" w:hAnsi="Calibri"/>
                <w:sz w:val="18"/>
              </w:rPr>
              <w:t>Masa + Energía kWh</w:t>
            </w:r>
          </w:p>
        </w:tc>
      </w:tr>
    </w:tbl>
    <w:p>
      <w:r>
        <w:br w:type="page"/>
      </w:r>
    </w:p>
    <w:p/>
    <w:p>
      <w:r>
        <w:rPr>
          <w:b/>
          <w:color w:val="0284C7"/>
          <w:sz w:val="28"/>
        </w:rPr>
        <w:t xml:space="preserve">07  </w:t>
      </w:r>
      <w:r>
        <w:rPr>
          <w:b/>
          <w:color w:val="0F172A"/>
          <w:sz w:val="28"/>
        </w:rPr>
        <w:t>REGISTRO ENERGÉTICO INTELIGENTE</w:t>
      </w:r>
    </w:p>
    <w:p>
      <w:r>
        <w:rPr>
          <w:i/>
          <w:color w:val="64748B"/>
          <w:sz w:val="20"/>
        </w:rPr>
        <w:t>Formularios estandarizados con conversión automática a kWh y cálculo de emisiones CO2</w:t>
      </w:r>
    </w:p>
    <w:p>
      <w:r>
        <w:rPr>
          <w:color w:val="0284C7"/>
          <w:sz w:val="12"/>
        </w:rPr>
        <w:t>━━━━━━━━━━━━━━━━━━━━━━━━━━━━━━━━━━━━━━━━━━━━━━━━━━━━━━━━━━━━</w:t>
      </w:r>
    </w:p>
    <w:p>
      <w:pPr>
        <w:spacing w:after="120"/>
      </w:pPr>
      <w:r>
        <w:rPr>
          <w:rFonts w:ascii="Calibri" w:hAnsi="Calibri"/>
          <w:sz w:val="20"/>
        </w:rPr>
        <w:t>El sistema de registro energético es uno de los componentes más potentes de la plataforma. Cada formulario está diseñado según los estándares de la UPME y realiza automáticamente la conversión a kWh equivalente y el cálculo de emisiones de CO2.</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Formulario de Registro Energético — Ejemplo con Gas Natural o Electricidad</w:t>
            </w:r>
          </w:p>
          <w:p>
            <w:pPr>
              <w:jc w:val="center"/>
            </w:pPr>
            <w:r>
              <w:rPr>
                <w:i/>
                <w:color w:val="94A3B8"/>
                <w:sz w:val="16"/>
              </w:rPr>
              <w:t>Clic derecho → Insertar imagen → Seleccionar archivo</w:t>
            </w:r>
          </w:p>
        </w:tc>
      </w:tr>
    </w:tbl>
    <w:p/>
    <w:p>
      <w:pPr>
        <w:spacing w:after="120"/>
      </w:pPr>
      <w:r>
        <w:rPr>
          <w:rFonts w:ascii="Calibri" w:hAnsi="Calibri"/>
          <w:b/>
          <w:color w:val="0F172A"/>
          <w:sz w:val="20"/>
        </w:rPr>
        <w:t>Características del motor de cálculo:</w:t>
      </w:r>
    </w:p>
    <w:p>
      <w:pPr>
        <w:spacing w:before="80" w:after="40"/>
        <w:ind w:left="283"/>
      </w:pPr>
      <w:r>
        <w:rPr>
          <w:b/>
          <w:color w:val="0284C7"/>
          <w:sz w:val="22"/>
        </w:rPr>
        <w:t>🔄  Conversión Automática a kWh</w:t>
      </w:r>
    </w:p>
    <w:p>
      <w:pPr>
        <w:spacing w:after="160"/>
        <w:ind w:left="283"/>
      </w:pPr>
      <w:r>
        <w:rPr>
          <w:color w:val="475569"/>
          <w:sz w:val="19"/>
        </w:rPr>
        <w:t>Cada combustible se convierte automáticamente a kWh equivalente usando la fórmula: Energía = (Consumo × Factor_Unidad × PC × Factor_Energía) / 3,600. El usuario solo ingresa el consumo original y el poder calorífico.</w:t>
      </w:r>
    </w:p>
    <w:p>
      <w:pPr>
        <w:spacing w:before="80" w:after="40"/>
        <w:ind w:left="283"/>
      </w:pPr>
      <w:r>
        <w:rPr>
          <w:b/>
          <w:color w:val="16A34A"/>
          <w:sz w:val="22"/>
        </w:rPr>
        <w:t>🌱  Cálculo de Emisiones CO2</w:t>
      </w:r>
    </w:p>
    <w:p>
      <w:pPr>
        <w:spacing w:after="160"/>
        <w:ind w:left="283"/>
      </w:pPr>
      <w:r>
        <w:rPr>
          <w:color w:val="475569"/>
          <w:sz w:val="19"/>
        </w:rPr>
        <w:t>Las emisiones se calculan automáticamente: TonCO2 = (Consumo_Original × Factor_Emisión) / 1,000. El sistema usa factores de emisión oficiales referenciados por la UPME.</w:t>
      </w:r>
    </w:p>
    <w:p>
      <w:pPr>
        <w:spacing w:before="80" w:after="40"/>
        <w:ind w:left="283"/>
      </w:pPr>
      <w:r>
        <w:rPr>
          <w:b/>
          <w:color w:val="0891B2"/>
          <w:sz w:val="22"/>
        </w:rPr>
        <w:t>🔢  Manejo Inteligente de Números</w:t>
      </w:r>
    </w:p>
    <w:p>
      <w:pPr>
        <w:spacing w:after="160"/>
        <w:ind w:left="283"/>
      </w:pPr>
      <w:r>
        <w:rPr>
          <w:color w:val="475569"/>
          <w:sz w:val="19"/>
        </w:rPr>
        <w:t>Los formularios aceptan números con comas (1,200.50), puntos decimales y diferentes formatos. El sistema limpia automáticamente los datos para evitar errores.</w:t>
      </w:r>
    </w:p>
    <w:p>
      <w:pPr>
        <w:spacing w:before="80" w:after="40"/>
        <w:ind w:left="283"/>
      </w:pPr>
      <w:r>
        <w:rPr>
          <w:b/>
          <w:color w:val="D97706"/>
          <w:sz w:val="22"/>
        </w:rPr>
        <w:t>📐  Conversor de Unidades Integrado</w:t>
      </w:r>
    </w:p>
    <w:p>
      <w:pPr>
        <w:spacing w:after="160"/>
        <w:ind w:left="283"/>
      </w:pPr>
      <w:r>
        <w:rPr>
          <w:color w:val="475569"/>
          <w:sz w:val="19"/>
        </w:rPr>
        <w:t>Cada formulario incluye un conversor de unidades de poder calorífico (kJ, MJ, BTU, kcal) para facilitar el ingreso de datos desde diferentes fuentes técnicas.</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Detalle del formulario — Secciones de consumo, costos, conversión y emisiones</w:t>
            </w:r>
          </w:p>
          <w:p>
            <w:pPr>
              <w:jc w:val="center"/>
            </w:pPr>
            <w:r>
              <w:rPr>
                <w:i/>
                <w:color w:val="94A3B8"/>
                <w:sz w:val="16"/>
              </w:rPr>
              <w:t>Clic derecho → Insertar imagen → Seleccionar archivo</w:t>
            </w:r>
          </w:p>
        </w:tc>
      </w:tr>
    </w:tbl>
    <w:p/>
    <w:p>
      <w:r>
        <w:br w:type="page"/>
      </w:r>
    </w:p>
    <w:p/>
    <w:p>
      <w:r>
        <w:rPr>
          <w:b/>
          <w:color w:val="0284C7"/>
          <w:sz w:val="28"/>
        </w:rPr>
        <w:t xml:space="preserve">08  </w:t>
      </w:r>
      <w:r>
        <w:rPr>
          <w:b/>
          <w:color w:val="0F172A"/>
          <w:sz w:val="28"/>
        </w:rPr>
        <w:t>ANÁLISIS DE OPORTUNIDADES DE MEJORA</w:t>
      </w:r>
    </w:p>
    <w:p>
      <w:r>
        <w:rPr>
          <w:i/>
          <w:color w:val="64748B"/>
          <w:sz w:val="20"/>
        </w:rPr>
        <w:t>Herramienta de simulación de escenarios de reducción energética</w:t>
      </w:r>
    </w:p>
    <w:p>
      <w:r>
        <w:rPr>
          <w:color w:val="0284C7"/>
          <w:sz w:val="12"/>
        </w:rPr>
        <w:t>━━━━━━━━━━━━━━━━━━━━━━━━━━━━━━━━━━━━━━━━━━━━━━━━━━━━━━━━━━━━</w:t>
      </w:r>
    </w:p>
    <w:p>
      <w:pPr>
        <w:spacing w:after="120"/>
      </w:pPr>
      <w:r>
        <w:rPr>
          <w:rFonts w:ascii="Calibri" w:hAnsi="Calibri"/>
          <w:sz w:val="20"/>
        </w:rPr>
        <w:t>La sección de Oportunidades de Mejora transforma la plataforma de un sistema de registro a una herramienta de análisis prospectivo. Permite establecer metas de reducción porcentual para cada fuente energética y calcula automáticamente los ahorros potenciales en energía, costos y emisiones.</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Panel de Oportunidades — Comparación Actual vs Proyectado + 3 KPIs de ahorro</w:t>
            </w:r>
          </w:p>
          <w:p>
            <w:pPr>
              <w:jc w:val="center"/>
            </w:pPr>
            <w:r>
              <w:rPr>
                <w:i/>
                <w:color w:val="94A3B8"/>
                <w:sz w:val="16"/>
              </w:rPr>
              <w:t>Clic derecho → Insertar imagen → Seleccionar archivo</w:t>
            </w:r>
          </w:p>
        </w:tc>
      </w:tr>
    </w:tbl>
    <w:p/>
    <w:p>
      <w:pPr>
        <w:spacing w:after="120"/>
      </w:pPr>
      <w:r>
        <w:rPr>
          <w:rFonts w:ascii="Calibri" w:hAnsi="Calibri"/>
          <w:b/>
          <w:color w:val="0F172A"/>
          <w:sz w:val="20"/>
        </w:rPr>
        <w:t>Panel de impacto visual:</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135"/>
        <w:gridCol w:w="3135"/>
        <w:gridCol w:w="3135"/>
      </w:tblGrid>
      <w:tr>
        <w:tc>
          <w:tcPr>
            <w:tcW w:type="dxa" w:w="3135"/>
            <w:shd w:fill="dcfce7"/>
            <w:tcBorders>
              <w:top w:val="single" w:sz="4" w:color="dcfce7"/>
              <w:left w:val="single" w:sz="4" w:color="dcfce7"/>
              <w:bottom w:val="single" w:sz="4" w:color="dcfce7"/>
              <w:right w:val="single" w:sz="4" w:color="dcfce7"/>
            </w:tcBorders>
            <w:vAlign w:val="center"/>
          </w:tcPr>
          <w:p>
            <w:pPr>
              <w:jc w:val="center"/>
            </w:pPr>
            <w:r>
              <w:rPr>
                <w:b/>
                <w:color w:val="0F172A"/>
                <w:sz w:val="40"/>
              </w:rPr>
              <w:t>36,870</w:t>
            </w:r>
          </w:p>
          <w:p>
            <w:pPr>
              <w:jc w:val="center"/>
            </w:pPr>
            <w:r>
              <w:rPr>
                <w:b/>
                <w:caps/>
                <w:color w:val="475569"/>
                <w:sz w:val="16"/>
              </w:rPr>
              <w:t>kWh AHORRADOS</w:t>
              <w:br/>
              <w:t>ENERGÍA POTENCIAL</w:t>
            </w:r>
          </w:p>
        </w:tc>
        <w:tc>
          <w:tcPr>
            <w:tcW w:type="dxa" w:w="3135"/>
            <w:shd w:fill="fef3c7"/>
            <w:tcBorders>
              <w:top w:val="single" w:sz="4" w:color="fef3c7"/>
              <w:left w:val="single" w:sz="4" w:color="fef3c7"/>
              <w:bottom w:val="single" w:sz="4" w:color="fef3c7"/>
              <w:right w:val="single" w:sz="4" w:color="fef3c7"/>
            </w:tcBorders>
            <w:vAlign w:val="center"/>
          </w:tcPr>
          <w:p>
            <w:pPr>
              <w:jc w:val="center"/>
            </w:pPr>
            <w:r>
              <w:rPr>
                <w:b/>
                <w:color w:val="0F172A"/>
                <w:sz w:val="40"/>
              </w:rPr>
              <w:t>$21.3M</w:t>
            </w:r>
          </w:p>
          <w:p>
            <w:pPr>
              <w:jc w:val="center"/>
            </w:pPr>
            <w:r>
              <w:rPr>
                <w:b/>
                <w:caps/>
                <w:color w:val="475569"/>
                <w:sz w:val="16"/>
              </w:rPr>
              <w:t>COP AHORRADOS</w:t>
              <w:br/>
              <w:t>IMPACTO ECONÓMICO</w:t>
            </w:r>
          </w:p>
        </w:tc>
        <w:tc>
          <w:tcPr>
            <w:tcW w:type="dxa" w:w="3135"/>
            <w:shd w:fill="e0f2fe"/>
            <w:tcBorders>
              <w:top w:val="single" w:sz="4" w:color="e0f2fe"/>
              <w:left w:val="single" w:sz="4" w:color="e0f2fe"/>
              <w:bottom w:val="single" w:sz="4" w:color="e0f2fe"/>
              <w:right w:val="single" w:sz="4" w:color="e0f2fe"/>
            </w:tcBorders>
            <w:vAlign w:val="center"/>
          </w:tcPr>
          <w:p>
            <w:pPr>
              <w:jc w:val="center"/>
            </w:pPr>
            <w:r>
              <w:rPr>
                <w:b/>
                <w:color w:val="0F172A"/>
                <w:sz w:val="40"/>
              </w:rPr>
              <w:t>12.8</w:t>
            </w:r>
          </w:p>
          <w:p>
            <w:pPr>
              <w:jc w:val="center"/>
            </w:pPr>
            <w:r>
              <w:rPr>
                <w:b/>
                <w:caps/>
                <w:color w:val="475569"/>
                <w:sz w:val="16"/>
              </w:rPr>
              <w:t>TonCO2 EVITADAS</w:t>
              <w:br/>
              <w:t>IMPACTO AMBIENTAL</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Gráfico de barras horizontales — Reducción por fuente energética + Tabla detallada</w:t>
            </w:r>
          </w:p>
          <w:p>
            <w:pPr>
              <w:jc w:val="center"/>
            </w:pPr>
            <w:r>
              <w:rPr>
                <w:i/>
                <w:color w:val="94A3B8"/>
                <w:sz w:val="16"/>
              </w:rPr>
              <w:t>Clic derecho → Insertar imagen → Seleccionar archivo</w:t>
            </w:r>
          </w:p>
        </w:tc>
      </w:tr>
    </w:tbl>
    <w:p/>
    <w:p>
      <w:pPr>
        <w:pStyle w:val="Heading2"/>
      </w:pPr>
      <w:r>
        <w:rPr>
          <w:color w:val="0F172A"/>
        </w:rPr>
        <w:t>OPMs: Proyectos de Mejora con Análisis Financiero</w:t>
      </w:r>
    </w:p>
    <w:p>
      <w:pPr>
        <w:spacing w:after="120"/>
      </w:pPr>
      <w:r>
        <w:rPr>
          <w:rFonts w:ascii="Calibri" w:hAnsi="Calibri"/>
          <w:sz w:val="20"/>
        </w:rPr>
        <w:t>Además de las metas porcentuales, el sistema permite registrar Oportunidades de Mejora concretas (OPMs) con análisis técnico-financiero completo: ahorro energético, costos evitados, inversión requerida, VPN, TIR y período de recuperación (payback).</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Tabla de OPMs — Proyectos identificados con métricas financieras y totales</w:t>
            </w:r>
          </w:p>
          <w:p>
            <w:pPr>
              <w:jc w:val="center"/>
            </w:pPr>
            <w:r>
              <w:rPr>
                <w:i/>
                <w:color w:val="94A3B8"/>
                <w:sz w:val="16"/>
              </w:rPr>
              <w:t>Clic derecho → Insertar imagen → Seleccionar archivo</w:t>
            </w:r>
          </w:p>
        </w:tc>
      </w:tr>
    </w:tbl>
    <w:p/>
    <w:p>
      <w:r>
        <w:br w:type="page"/>
      </w:r>
    </w:p>
    <w:p/>
    <w:p>
      <w:r>
        <w:rPr>
          <w:b/>
          <w:color w:val="0284C7"/>
          <w:sz w:val="28"/>
        </w:rPr>
        <w:t xml:space="preserve">09  </w:t>
      </w:r>
      <w:r>
        <w:rPr>
          <w:b/>
          <w:color w:val="0F172A"/>
          <w:sz w:val="28"/>
        </w:rPr>
        <w:t>GENERACIÓN DE INFORMES PDF</w:t>
      </w:r>
    </w:p>
    <w:p>
      <w:r>
        <w:rPr>
          <w:i/>
          <w:color w:val="64748B"/>
          <w:sz w:val="20"/>
        </w:rPr>
        <w:t>Reportes profesionales generados con un solo clic, listos para entrega</w:t>
      </w:r>
    </w:p>
    <w:p>
      <w:r>
        <w:rPr>
          <w:color w:val="0284C7"/>
          <w:sz w:val="12"/>
        </w:rPr>
        <w:t>━━━━━━━━━━━━━━━━━━━━━━━━━━━━━━━━━━━━━━━━━━━━━━━━━━━━━━━━━━━━</w:t>
      </w:r>
    </w:p>
    <w:p>
      <w:pPr>
        <w:spacing w:before="320" w:after="320"/>
        <w:ind w:left="850" w:right="850"/>
        <w:jc w:val="center"/>
      </w:pPr>
      <w:r>
        <w:rPr>
          <w:i/>
          <w:color w:val="0369A1"/>
          <w:sz w:val="24"/>
        </w:rPr>
        <w:t>« Un informe profesional completo, generado en segundos, listo para entregar a la empresa auditada y a la UPME. »</w:t>
      </w:r>
    </w:p>
    <w:p>
      <w:pPr>
        <w:spacing w:after="120"/>
      </w:pPr>
      <w:r>
        <w:rPr>
          <w:rFonts w:ascii="Calibri" w:hAnsi="Calibri"/>
          <w:sz w:val="20"/>
        </w:rPr>
        <w:t>El generador de informes PDF es una de las funcionalidades más valoradas de la plataforma. Con un solo clic desde el expediente del proyecto, el sistema genera un reporte profesional completo con toda la información de la auditoría energética.</w:t>
      </w:r>
    </w:p>
    <w:p>
      <w:pPr>
        <w:spacing w:after="120"/>
      </w:pPr>
      <w:r>
        <w:rPr>
          <w:rFonts w:ascii="Calibri" w:hAnsi="Calibri"/>
          <w:b/>
          <w:color w:val="0F172A"/>
          <w:sz w:val="22"/>
        </w:rPr>
        <w:t>Contenido del informe generado:</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703"/>
        <w:gridCol w:w="4703"/>
      </w:tblGrid>
      <w:tr>
        <w:tc>
          <w:tcPr>
            <w:tcW w:type="dxa" w:w="2835"/>
            <w:shd w:fill="f1f5f9"/>
          </w:tcPr>
          <w:p>
            <w:r>
              <w:rPr>
                <w:b/>
                <w:color w:val="0284C7"/>
                <w:sz w:val="18"/>
              </w:rPr>
              <w:t>01  ENCABEZADO INSTITUCIONAL</w:t>
            </w:r>
          </w:p>
        </w:tc>
        <w:tc>
          <w:tcPr>
            <w:tcW w:type="dxa" w:w="5669"/>
            <w:shd w:fill="f1f5f9"/>
          </w:tcPr>
          <w:p>
            <w:r>
              <w:rPr>
                <w:color w:val="475569"/>
                <w:sz w:val="18"/>
              </w:rPr>
              <w:t>Nombre del proyecto, empresa auditada, centro PEVI, fecha de generación, estado y fase del proyecto.</w:t>
            </w:r>
          </w:p>
        </w:tc>
      </w:tr>
      <w:tr>
        <w:tc>
          <w:tcPr>
            <w:tcW w:type="dxa" w:w="2835"/>
          </w:tcPr>
          <w:p>
            <w:r>
              <w:rPr>
                <w:b/>
                <w:color w:val="0284C7"/>
                <w:sz w:val="18"/>
              </w:rPr>
              <w:t>02  RESUMEN EJECUTIVO (KPIs)</w:t>
            </w:r>
          </w:p>
        </w:tc>
        <w:tc>
          <w:tcPr>
            <w:tcW w:type="dxa" w:w="5669"/>
          </w:tcPr>
          <w:p>
            <w:r>
              <w:rPr>
                <w:color w:val="475569"/>
                <w:sz w:val="18"/>
              </w:rPr>
              <w:t>Energía total (kWh), Emisiones (TonCO2), Costo operativo (COP), Indicador IDES de desempeño energético.</w:t>
            </w:r>
          </w:p>
        </w:tc>
      </w:tr>
      <w:tr>
        <w:tc>
          <w:tcPr>
            <w:tcW w:type="dxa" w:w="2835"/>
            <w:shd w:fill="f1f5f9"/>
          </w:tcPr>
          <w:p>
            <w:r>
              <w:rPr>
                <w:b/>
                <w:color w:val="0284C7"/>
                <w:sz w:val="18"/>
              </w:rPr>
              <w:t>03  TABLA DE CONSUMOS</w:t>
            </w:r>
          </w:p>
        </w:tc>
        <w:tc>
          <w:tcPr>
            <w:tcW w:type="dxa" w:w="5669"/>
            <w:shd w:fill="f1f5f9"/>
          </w:tcPr>
          <w:p>
            <w:r>
              <w:rPr>
                <w:color w:val="475569"/>
                <w:sz w:val="18"/>
              </w:rPr>
              <w:t>Todas las fuentes con consumo original, kWh equivalente, emisiones y costos anuales. Fila de totales.</w:t>
            </w:r>
          </w:p>
        </w:tc>
      </w:tr>
      <w:tr>
        <w:tc>
          <w:tcPr>
            <w:tcW w:type="dxa" w:w="2835"/>
          </w:tcPr>
          <w:p>
            <w:r>
              <w:rPr>
                <w:b/>
                <w:color w:val="0284C7"/>
                <w:sz w:val="18"/>
              </w:rPr>
              <w:t>04  DISTRIBUCIÓN ENERGÉTICA</w:t>
            </w:r>
          </w:p>
        </w:tc>
        <w:tc>
          <w:tcPr>
            <w:tcW w:type="dxa" w:w="5669"/>
          </w:tcPr>
          <w:p>
            <w:r>
              <w:rPr>
                <w:color w:val="475569"/>
                <w:sz w:val="18"/>
              </w:rPr>
              <w:t>Gráfico de barras horizontales por fuente con porcentajes y valores absolutos codificados por color.</w:t>
            </w:r>
          </w:p>
        </w:tc>
      </w:tr>
      <w:tr>
        <w:tc>
          <w:tcPr>
            <w:tcW w:type="dxa" w:w="2835"/>
            <w:shd w:fill="f1f5f9"/>
          </w:tcPr>
          <w:p>
            <w:r>
              <w:rPr>
                <w:b/>
                <w:color w:val="0284C7"/>
                <w:sz w:val="18"/>
              </w:rPr>
              <w:t>05  BALANCE TÉRMICO</w:t>
            </w:r>
          </w:p>
        </w:tc>
        <w:tc>
          <w:tcPr>
            <w:tcW w:type="dxa" w:w="5669"/>
            <w:shd w:fill="f1f5f9"/>
          </w:tcPr>
          <w:p>
            <w:r>
              <w:rPr>
                <w:color w:val="475569"/>
                <w:sz w:val="18"/>
              </w:rPr>
              <w:t>Análisis eléctrico vs térmico en MBTU, costo por kWh, emisiones por unidad de producción.</w:t>
            </w:r>
          </w:p>
        </w:tc>
      </w:tr>
      <w:tr>
        <w:tc>
          <w:tcPr>
            <w:tcW w:type="dxa" w:w="2835"/>
          </w:tcPr>
          <w:p>
            <w:r>
              <w:rPr>
                <w:b/>
                <w:color w:val="0284C7"/>
                <w:sz w:val="18"/>
              </w:rPr>
              <w:t>06  OPORTUNIDADES DE MEJORA</w:t>
            </w:r>
          </w:p>
        </w:tc>
        <w:tc>
          <w:tcPr>
            <w:tcW w:type="dxa" w:w="5669"/>
          </w:tcPr>
          <w:p>
            <w:r>
              <w:rPr>
                <w:color w:val="475569"/>
                <w:sz w:val="18"/>
              </w:rPr>
              <w:t>Ahorros proyectados en kWh, COP y TonCO2. Tabla de OPMs con métricas financieras.</w:t>
            </w:r>
          </w:p>
        </w:tc>
      </w:tr>
      <w:tr>
        <w:tc>
          <w:tcPr>
            <w:tcW w:type="dxa" w:w="2835"/>
            <w:shd w:fill="f1f5f9"/>
          </w:tcPr>
          <w:p>
            <w:r>
              <w:rPr>
                <w:b/>
                <w:color w:val="0284C7"/>
                <w:sz w:val="18"/>
              </w:rPr>
              <w:t>07  EQUIPO DE TRABAJO</w:t>
            </w:r>
          </w:p>
        </w:tc>
        <w:tc>
          <w:tcPr>
            <w:tcW w:type="dxa" w:w="5669"/>
            <w:shd w:fill="f1f5f9"/>
          </w:tcPr>
          <w:p>
            <w:r>
              <w:rPr>
                <w:color w:val="475569"/>
                <w:sz w:val="18"/>
              </w:rPr>
              <w:t>Lista de miembros del proyecto con roles asignados.</w:t>
            </w:r>
          </w:p>
        </w:tc>
      </w:tr>
      <w:tr>
        <w:tc>
          <w:tcPr>
            <w:tcW w:type="dxa" w:w="2835"/>
          </w:tcPr>
          <w:p>
            <w:r>
              <w:rPr>
                <w:b/>
                <w:color w:val="0284C7"/>
                <w:sz w:val="18"/>
              </w:rPr>
              <w:t>08  METADATOS</w:t>
            </w:r>
          </w:p>
        </w:tc>
        <w:tc>
          <w:tcPr>
            <w:tcW w:type="dxa" w:w="5669"/>
          </w:tcPr>
          <w:p>
            <w:r>
              <w:rPr>
                <w:color w:val="475569"/>
                <w:sz w:val="18"/>
              </w:rPr>
              <w:t>Información de generación, clasificación y referencias.</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Informe PDF generado — Primera página (Encabezado + Resumen Ejecutivo)</w:t>
            </w:r>
          </w:p>
          <w:p>
            <w:pPr>
              <w:jc w:val="center"/>
            </w:pPr>
            <w:r>
              <w:rPr>
                <w:i/>
                <w:color w:val="94A3B8"/>
                <w:sz w:val="16"/>
              </w:rPr>
              <w:t>Clic derecho → Insertar imagen → Seleccionar archivo</w:t>
            </w:r>
          </w:p>
        </w:tc>
      </w:tr>
    </w:tbl>
    <w:p/>
    <w:p>
      <w:r>
        <w:br w:type="page"/>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Informe PDF — Tabla de consumos energéticos detallada</w:t>
            </w:r>
          </w:p>
          <w:p>
            <w:pPr>
              <w:jc w:val="center"/>
            </w:pPr>
            <w:r>
              <w:rPr>
                <w:i/>
                <w:color w:val="94A3B8"/>
                <w:sz w:val="16"/>
              </w:rPr>
              <w:t>Clic derecho → Insertar imagen → Seleccionar archivo</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Informe PDF — Gráfico de distribución energética por fuente</w:t>
            </w:r>
          </w:p>
          <w:p>
            <w:pPr>
              <w:jc w:val="center"/>
            </w:pPr>
            <w:r>
              <w:rPr>
                <w:i/>
                <w:color w:val="94A3B8"/>
                <w:sz w:val="16"/>
              </w:rPr>
              <w:t>Clic derecho → Insertar imagen → Seleccionar archivo</w:t>
            </w:r>
          </w:p>
        </w:tc>
      </w:tr>
    </w:tbl>
    <w:p/>
    <w:p>
      <w:r>
        <w:br w:type="page"/>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Informe PDF — Oportunidades de mejora y tabla de OPMs</w:t>
            </w:r>
          </w:p>
          <w:p>
            <w:pPr>
              <w:jc w:val="center"/>
            </w:pPr>
            <w:r>
              <w:rPr>
                <w:i/>
                <w:color w:val="94A3B8"/>
                <w:sz w:val="16"/>
              </w:rPr>
              <w:t>Clic derecho → Insertar imagen → Seleccionar archivo</w:t>
            </w:r>
          </w:p>
        </w:tc>
      </w:tr>
    </w:tbl>
    <w:p/>
    <w:p>
      <w:pPr>
        <w:spacing w:after="120"/>
      </w:pPr>
      <w:r>
        <w:rPr>
          <w:rFonts w:ascii="Calibri" w:hAnsi="Calibri"/>
          <w:sz w:val="20"/>
        </w:rPr>
        <w:t>El informe se descarga automáticamente como PDF con el nombre: Informe_PEVI_[Empresa]_[ID].pdf. Está diseñado para ser presentado directamente a la empresa auditada, a los directores del programa y a la UPME sin necesidad de edición adicional.</w:t>
      </w:r>
    </w:p>
    <w:p>
      <w:r>
        <w:br w:type="page"/>
      </w:r>
    </w:p>
    <w:p/>
    <w:p>
      <w:r>
        <w:rPr>
          <w:b/>
          <w:color w:val="0284C7"/>
          <w:sz w:val="28"/>
        </w:rPr>
        <w:t xml:space="preserve">10  </w:t>
      </w:r>
      <w:r>
        <w:rPr>
          <w:b/>
          <w:color w:val="0F172A"/>
          <w:sz w:val="28"/>
        </w:rPr>
        <w:t>INTELIGENCIA DE NEGOCIOS</w:t>
      </w:r>
    </w:p>
    <w:p>
      <w:r>
        <w:rPr>
          <w:i/>
          <w:color w:val="64748B"/>
          <w:sz w:val="20"/>
        </w:rPr>
        <w:t>Dashboards estratégico y nacional para la toma de decisiones basada en datos</w:t>
      </w:r>
    </w:p>
    <w:p>
      <w:r>
        <w:rPr>
          <w:color w:val="0284C7"/>
          <w:sz w:val="12"/>
        </w:rPr>
        <w:t>━━━━━━━━━━━━━━━━━━━━━━━━━━━━━━━━━━━━━━━━━━━━━━━━━━━━━━━━━━━━</w:t>
      </w:r>
    </w:p>
    <w:p>
      <w:pPr>
        <w:spacing w:after="120"/>
      </w:pPr>
      <w:r>
        <w:rPr>
          <w:rFonts w:ascii="Calibri" w:hAnsi="Calibri"/>
          <w:sz w:val="20"/>
        </w:rPr>
        <w:t>La plataforma incluye dos poderosos dashboards de Business Intelligence que consolidan la información de todos los proyectos y permiten análisis a nivel de centro, región y país.</w:t>
      </w:r>
    </w:p>
    <w:p>
      <w:pPr>
        <w:pStyle w:val="Heading2"/>
      </w:pPr>
      <w:r>
        <w:rPr>
          <w:color w:val="0F172A"/>
        </w:rPr>
        <w:t>Dashboard Estratégico</w:t>
      </w:r>
    </w:p>
    <w:p>
      <w:pPr>
        <w:spacing w:after="120"/>
      </w:pPr>
      <w:r>
        <w:rPr>
          <w:rFonts w:ascii="Calibri" w:hAnsi="Calibri"/>
          <w:sz w:val="20"/>
        </w:rPr>
        <w:t>Disponible para Directores de Centro y Director Nacional. Ofrece una visión consolidada de KPIs, gráficos de distribución energética y tabla detallada de todos los proyectos del alcance del usuario.</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Dashboard Estratégico — KPIs + Gráficos de dona y barras + Tabla de proyectos</w:t>
            </w:r>
          </w:p>
          <w:p>
            <w:pPr>
              <w:jc w:val="center"/>
            </w:pPr>
            <w:r>
              <w:rPr>
                <w:i/>
                <w:color w:val="94A3B8"/>
                <w:sz w:val="16"/>
              </w:rPr>
              <w:t>Clic derecho → Insertar imagen → Seleccionar archivo</w:t>
            </w:r>
          </w:p>
        </w:tc>
      </w:tr>
    </w:tbl>
    <w:p/>
    <w:p>
      <w:pPr>
        <w:pStyle w:val="Heading2"/>
      </w:pPr>
      <w:r>
        <w:rPr>
          <w:color w:val="0F172A"/>
        </w:rPr>
        <w:t>Dashboard Nacional</w:t>
      </w:r>
    </w:p>
    <w:p>
      <w:pPr>
        <w:spacing w:after="120"/>
      </w:pPr>
      <w:r>
        <w:rPr>
          <w:rFonts w:ascii="Calibri" w:hAnsi="Calibri"/>
          <w:sz w:val="20"/>
        </w:rPr>
        <w:t>Exclusivo para el Director Nacional. Presenta una vista comparativa de todos los centros PEVI del país, con ranking por energía auditada, emisiones y promedio por proyecto. Permite seleccionar un centro específico para ver su análisis detallado.</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Dashboard Nacional — Tabla comparativa de centros + KPIs nacionales</w:t>
            </w:r>
          </w:p>
          <w:p>
            <w:pPr>
              <w:jc w:val="center"/>
            </w:pPr>
            <w:r>
              <w:rPr>
                <w:i/>
                <w:color w:val="94A3B8"/>
                <w:sz w:val="16"/>
              </w:rPr>
              <w:t>Clic derecho → Insertar imagen → Seleccionar archivo</w:t>
            </w:r>
          </w:p>
        </w:tc>
      </w:tr>
    </w:tbl>
    <w:p/>
    <w:p>
      <w:r>
        <w:br w:type="page"/>
      </w:r>
    </w:p>
    <w:p/>
    <w:p>
      <w:r>
        <w:rPr>
          <w:b/>
          <w:color w:val="0284C7"/>
          <w:sz w:val="28"/>
        </w:rPr>
        <w:t xml:space="preserve">11  </w:t>
      </w:r>
      <w:r>
        <w:rPr>
          <w:b/>
          <w:color w:val="0F172A"/>
          <w:sz w:val="28"/>
        </w:rPr>
        <w:t>GESTIÓN DE EMPRESAS Y USUARIOS</w:t>
      </w:r>
    </w:p>
    <w:p>
      <w:r>
        <w:rPr>
          <w:i/>
          <w:color w:val="64748B"/>
          <w:sz w:val="20"/>
        </w:rPr>
        <w:t>Administración completa del ecosistema de actores del programa</w:t>
      </w:r>
    </w:p>
    <w:p>
      <w:r>
        <w:rPr>
          <w:color w:val="0284C7"/>
          <w:sz w:val="12"/>
        </w:rPr>
        <w:t>━━━━━━━━━━━━━━━━━━━━━━━━━━━━━━━━━━━━━━━━━━━━━━━━━━━━━━━━━━━━</w:t>
      </w:r>
    </w:p>
    <w:p>
      <w:pPr>
        <w:pStyle w:val="Heading2"/>
      </w:pPr>
      <w:r>
        <w:rPr>
          <w:color w:val="0F172A"/>
        </w:rPr>
        <w:t>Directorio de Empresas</w:t>
      </w:r>
    </w:p>
    <w:p>
      <w:pPr>
        <w:spacing w:after="120"/>
      </w:pPr>
      <w:r>
        <w:rPr>
          <w:rFonts w:ascii="Calibri" w:hAnsi="Calibri"/>
          <w:sz w:val="20"/>
        </w:rPr>
        <w:t>Registro centralizado de todas las empresas industriales auditadas, con datos de identificación, sector productivo, ubicación y contacto. Cada empresa está vinculada a su centro PEVI correspondiente.</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Lista de Empresas — Directorio con búsqueda y acciones</w:t>
            </w:r>
          </w:p>
          <w:p>
            <w:pPr>
              <w:jc w:val="center"/>
            </w:pPr>
            <w:r>
              <w:rPr>
                <w:i/>
                <w:color w:val="94A3B8"/>
                <w:sz w:val="16"/>
              </w:rPr>
              <w:t>Clic derecho → Insertar imagen → Seleccionar archivo</w:t>
            </w:r>
          </w:p>
        </w:tc>
      </w:tr>
    </w:tbl>
    <w:p/>
    <w:p>
      <w:pPr>
        <w:pStyle w:val="Heading2"/>
      </w:pPr>
      <w:r>
        <w:rPr>
          <w:color w:val="0F172A"/>
        </w:rPr>
        <w:t>Gestión de Equipo</w:t>
      </w:r>
    </w:p>
    <w:p>
      <w:pPr>
        <w:spacing w:after="120"/>
      </w:pPr>
      <w:r>
        <w:rPr>
          <w:rFonts w:ascii="Calibri" w:hAnsi="Calibri"/>
          <w:sz w:val="20"/>
        </w:rPr>
        <w:t>Panel de administración de usuarios con avatares, roles codificados por color, estado de actividad y registro de último acceso. Los directores pueden crear, editar y desactivar cuentas respetando la jerarquía de roles.</w:t>
      </w:r>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Lista de Usuarios — Avatares, roles, estado y último acceso</w:t>
            </w:r>
          </w:p>
          <w:p>
            <w:pPr>
              <w:jc w:val="center"/>
            </w:pPr>
            <w:r>
              <w:rPr>
                <w:i/>
                <w:color w:val="94A3B8"/>
                <w:sz w:val="16"/>
              </w:rPr>
              <w:t>Clic derecho → Insertar imagen → Seleccionar archivo</w:t>
            </w:r>
          </w:p>
        </w:tc>
      </w:tr>
    </w:tbl>
    <w:p/>
    <w:p>
      <w:r>
        <w:br w:type="page"/>
      </w:r>
    </w:p>
    <w:p/>
    <w:p>
      <w:r>
        <w:rPr>
          <w:b/>
          <w:color w:val="0284C7"/>
          <w:sz w:val="28"/>
        </w:rPr>
        <w:t xml:space="preserve">12  </w:t>
      </w:r>
      <w:r>
        <w:rPr>
          <w:b/>
          <w:color w:val="0F172A"/>
          <w:sz w:val="28"/>
        </w:rPr>
        <w:t>PORTAL PÚBLICO DE TRANSPARENCIA</w:t>
      </w:r>
    </w:p>
    <w:p>
      <w:r>
        <w:rPr>
          <w:i/>
          <w:color w:val="64748B"/>
          <w:sz w:val="20"/>
        </w:rPr>
        <w:t>Resultados agregados del programa accesibles sin autenticación</w:t>
      </w:r>
    </w:p>
    <w:p>
      <w:r>
        <w:rPr>
          <w:color w:val="0284C7"/>
          <w:sz w:val="12"/>
        </w:rPr>
        <w:t>━━━━━━━━━━━━━━━━━━━━━━━━━━━━━━━━━━━━━━━━━━━━━━━━━━━━━━━━━━━━</w:t>
      </w:r>
    </w:p>
    <w:p>
      <w:pPr>
        <w:spacing w:after="120"/>
      </w:pPr>
      <w:r>
        <w:rPr>
          <w:rFonts w:ascii="Calibri" w:hAnsi="Calibri"/>
          <w:sz w:val="20"/>
        </w:rPr>
        <w:t>La plataforma incluye un sitio público completo que muestra los resultados agregados y anonimizados del programa PEVI, promoviendo la transparencia y visibilidad del impacto nacional.</w:t>
      </w:r>
    </w:p>
    <w:p>
      <w:pPr>
        <w:pStyle w:val="Heading2"/>
      </w:pPr>
      <w:r>
        <w:rPr>
          <w:color w:val="0F172A"/>
        </w:rPr>
        <w:t>Páginas Públicas</w:t>
      </w:r>
    </w:p>
    <w:tbl>
      <w:tblPr>
        <w:tblStyle w:val="TableGrid"/>
        <w:tblW w:type="auto" w:w="0"/>
        <w:jc w:val="center"/>
        <w:tblLook w:firstColumn="1" w:firstRow="1" w:lastColumn="0" w:lastRow="0" w:noHBand="0" w:noVBand="1" w:val="04A0"/>
      </w:tblPr>
      <w:tblGrid>
        <w:gridCol w:w="4703"/>
        <w:gridCol w:w="4703"/>
      </w:tblGrid>
      <w:tr>
        <w:tc>
          <w:tcPr>
            <w:tcW w:type="dxa" w:w="1701"/>
            <w:shd w:fill="0f172a"/>
          </w:tcPr>
          <w:p>
            <w:r/>
            <w:r>
              <w:rPr>
                <w:rFonts w:ascii="Calibri" w:hAnsi="Calibri"/>
                <w:b/>
                <w:color w:val="FFFFFF"/>
                <w:sz w:val="17"/>
              </w:rPr>
              <w:t>Página</w:t>
            </w:r>
          </w:p>
        </w:tc>
        <w:tc>
          <w:tcPr>
            <w:tcW w:type="dxa" w:w="6803"/>
            <w:shd w:fill="0f172a"/>
          </w:tcPr>
          <w:p>
            <w:r/>
            <w:r>
              <w:rPr>
                <w:rFonts w:ascii="Calibri" w:hAnsi="Calibri"/>
                <w:b/>
                <w:color w:val="FFFFFF"/>
                <w:sz w:val="17"/>
              </w:rPr>
              <w:t>Contenido Destacado</w:t>
            </w:r>
          </w:p>
        </w:tc>
      </w:tr>
      <w:tr>
        <w:tc>
          <w:tcPr>
            <w:tcW w:type="dxa" w:w="1701"/>
          </w:tcPr>
          <w:p>
            <w:r/>
            <w:r>
              <w:rPr>
                <w:rFonts w:ascii="Calibri" w:hAnsi="Calibri"/>
                <w:sz w:val="18"/>
              </w:rPr>
              <w:t>🏠 Inicio</w:t>
            </w:r>
          </w:p>
        </w:tc>
        <w:tc>
          <w:tcPr>
            <w:tcW w:type="dxa" w:w="6803"/>
          </w:tcPr>
          <w:p>
            <w:r/>
            <w:r>
              <w:rPr>
                <w:rFonts w:ascii="Calibri" w:hAnsi="Calibri"/>
                <w:sz w:val="18"/>
              </w:rPr>
              <w:t>Landing page profesional con KPIs públicos y noticias recientes del programa</w:t>
            </w:r>
          </w:p>
        </w:tc>
      </w:tr>
      <w:tr>
        <w:tc>
          <w:tcPr>
            <w:tcW w:type="dxa" w:w="1701"/>
            <w:shd w:fill="f8fafc"/>
          </w:tcPr>
          <w:p>
            <w:r/>
            <w:r>
              <w:rPr>
                <w:rFonts w:ascii="Calibri" w:hAnsi="Calibri"/>
                <w:sz w:val="18"/>
              </w:rPr>
              <w:t>👥 Nosotros</w:t>
            </w:r>
          </w:p>
        </w:tc>
        <w:tc>
          <w:tcPr>
            <w:tcW w:type="dxa" w:w="6803"/>
            <w:shd w:fill="f8fafc"/>
          </w:tcPr>
          <w:p>
            <w:r/>
            <w:r>
              <w:rPr>
                <w:rFonts w:ascii="Calibri" w:hAnsi="Calibri"/>
                <w:sz w:val="18"/>
              </w:rPr>
              <w:t>Información institucional sobre el programa PEVI y sus objetivos</w:t>
            </w:r>
          </w:p>
        </w:tc>
      </w:tr>
      <w:tr>
        <w:tc>
          <w:tcPr>
            <w:tcW w:type="dxa" w:w="1701"/>
          </w:tcPr>
          <w:p>
            <w:r/>
            <w:r>
              <w:rPr>
                <w:rFonts w:ascii="Calibri" w:hAnsi="Calibri"/>
                <w:sz w:val="18"/>
              </w:rPr>
              <w:t>🏛️ Centros</w:t>
            </w:r>
          </w:p>
        </w:tc>
        <w:tc>
          <w:tcPr>
            <w:tcW w:type="dxa" w:w="6803"/>
          </w:tcPr>
          <w:p>
            <w:r/>
            <w:r>
              <w:rPr>
                <w:rFonts w:ascii="Calibri" w:hAnsi="Calibri"/>
                <w:sz w:val="18"/>
              </w:rPr>
              <w:t>Directorio interactivo de centros con modals que muestran gráficos por centro</w:t>
            </w:r>
          </w:p>
        </w:tc>
      </w:tr>
      <w:tr>
        <w:tc>
          <w:tcPr>
            <w:tcW w:type="dxa" w:w="1701"/>
            <w:shd w:fill="f8fafc"/>
          </w:tcPr>
          <w:p>
            <w:r/>
            <w:r>
              <w:rPr>
                <w:rFonts w:ascii="Calibri" w:hAnsi="Calibri"/>
                <w:sz w:val="18"/>
              </w:rPr>
              <w:t>📚 Biblioteca</w:t>
            </w:r>
          </w:p>
        </w:tc>
        <w:tc>
          <w:tcPr>
            <w:tcW w:type="dxa" w:w="6803"/>
            <w:shd w:fill="f8fafc"/>
          </w:tcPr>
          <w:p>
            <w:r/>
            <w:r>
              <w:rPr>
                <w:rFonts w:ascii="Calibri" w:hAnsi="Calibri"/>
                <w:sz w:val="18"/>
              </w:rPr>
              <w:t>Guías técnicas de UPME (bombeo, motores, vapor, etc.) con enlaces a PDFs</w:t>
            </w:r>
          </w:p>
        </w:tc>
      </w:tr>
      <w:tr>
        <w:tc>
          <w:tcPr>
            <w:tcW w:type="dxa" w:w="1701"/>
          </w:tcPr>
          <w:p>
            <w:r/>
            <w:r>
              <w:rPr>
                <w:rFonts w:ascii="Calibri" w:hAnsi="Calibri"/>
                <w:sz w:val="18"/>
              </w:rPr>
              <w:t>📊 Resultados</w:t>
            </w:r>
          </w:p>
        </w:tc>
        <w:tc>
          <w:tcPr>
            <w:tcW w:type="dxa" w:w="6803"/>
          </w:tcPr>
          <w:p>
            <w:r/>
            <w:r>
              <w:rPr>
                <w:rFonts w:ascii="Calibri" w:hAnsi="Calibri"/>
                <w:sz w:val="18"/>
              </w:rPr>
              <w:t>Visualizaciones interactivas con filtros, KPIs y exportación de datos</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Sitio Público — Landing page / Home</w:t>
            </w:r>
          </w:p>
          <w:p>
            <w:pPr>
              <w:jc w:val="center"/>
            </w:pPr>
            <w:r>
              <w:rPr>
                <w:i/>
                <w:color w:val="94A3B8"/>
                <w:sz w:val="16"/>
              </w:rPr>
              <w:t>Clic derecho → Insertar imagen → Seleccionar archivo</w:t>
            </w:r>
          </w:p>
        </w:tc>
      </w:tr>
    </w:tbl>
    <w:p/>
    <w:tbl>
      <w:tblPr>
        <w:tblW w:type="auto" w:w="0"/>
        <w:jc w:val="center"/>
        <w:tblLook w:firstColumn="1" w:firstRow="1" w:lastColumn="0" w:lastRow="0" w:noHBand="0" w:noVBand="1" w:val="04A0"/>
      </w:tblPr>
      <w:tblGrid>
        <w:gridCol w:w="9406"/>
      </w:tblGrid>
      <w:tr>
        <w:tc>
          <w:tcPr>
            <w:tcW w:type="dxa" w:w="9406"/>
            <w:shd w:fill="f1f5f9"/>
            <w:tcBorders>
              <w:top w:val="single" w:sz="6" w:color="cbd5e1"/>
              <w:left w:val="single" w:sz="6" w:color="cbd5e1"/>
              <w:bottom w:val="single" w:sz="6" w:color="cbd5e1"/>
              <w:right w:val="single" w:sz="6" w:color="cbd5e1"/>
            </w:tcBorders>
          </w:tcPr>
          <w:p>
            <w:pPr>
              <w:jc w:val="center"/>
            </w:pPr>
            <w:r>
              <w:rPr>
                <w:sz w:val="56"/>
              </w:rPr>
              <w:t>📷</w:t>
            </w:r>
          </w:p>
          <w:p>
            <w:pPr>
              <w:jc w:val="center"/>
            </w:pPr>
            <w:r>
              <w:rPr>
                <w:b/>
                <w:color w:val="64748B"/>
                <w:sz w:val="20"/>
              </w:rPr>
              <w:t>INSERTAR CAPTURA: Página de Resultados — Filtros + KPIs + Gráficos interactivos</w:t>
            </w:r>
          </w:p>
          <w:p>
            <w:pPr>
              <w:jc w:val="center"/>
            </w:pPr>
            <w:r>
              <w:rPr>
                <w:i/>
                <w:color w:val="94A3B8"/>
                <w:sz w:val="16"/>
              </w:rPr>
              <w:t>Clic derecho → Insertar imagen → Seleccionar archivo</w:t>
            </w:r>
          </w:p>
        </w:tc>
      </w:tr>
    </w:tbl>
    <w:p/>
    <w:p>
      <w:r>
        <w:br w:type="page"/>
      </w:r>
    </w:p>
    <w:p>
      <w:pPr>
        <w:pStyle w:val="Heading2"/>
      </w:pPr>
      <w:r>
        <w:rPr>
          <w:color w:val="0F172A"/>
        </w:rPr>
        <w:t>Página de Centros con Modals Interactivos</w:t>
      </w:r>
    </w:p>
    <w:p>
      <w:pPr>
        <w:spacing w:after="120"/>
      </w:pPr>
      <w:r>
        <w:rPr>
          <w:rFonts w:ascii="Calibri" w:hAnsi="Calibri"/>
          <w:sz w:val="20"/>
        </w:rPr>
        <w:t>Al seleccionar un centro, se abre un modal interactivo con gráficos Chart.js que muestran la distribución de proyectos por estado, los sectores industriales atendidos y la evolución de proyectos en el tiempo.</w:t>
      </w:r>
    </w:p>
    <w:tbl>
      <w:tblPr>
        <w:tblW w:type="auto" w:w="0"/>
        <w:jc w:val="center"/>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703"/>
        <w:gridCol w:w="4703"/>
      </w:tblGrid>
      <w:tr>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Modal de Centro — Distribución</w:t>
              <w:br/>
              <w:t>de proyectos por estado</w:t>
            </w:r>
          </w:p>
        </w:tc>
        <w:tc>
          <w:tcPr>
            <w:tcW w:type="dxa" w:w="4703"/>
            <w:shd w:fill="f1f5f9"/>
            <w:tcBorders>
              <w:top w:val="single" w:sz="6" w:color="cbd5e1"/>
              <w:left w:val="single" w:sz="6" w:color="cbd5e1"/>
              <w:bottom w:val="single" w:sz="6" w:color="cbd5e1"/>
              <w:right w:val="single" w:sz="6" w:color="cbd5e1"/>
            </w:tcBorders>
          </w:tcPr>
          <w:p>
            <w:pPr>
              <w:jc w:val="center"/>
            </w:pPr>
            <w:r>
              <w:rPr>
                <w:sz w:val="44"/>
              </w:rPr>
              <w:t>📷</w:t>
            </w:r>
          </w:p>
          <w:p>
            <w:pPr>
              <w:jc w:val="center"/>
            </w:pPr>
            <w:r>
              <w:rPr>
                <w:b/>
                <w:color w:val="64748B"/>
                <w:sz w:val="17"/>
              </w:rPr>
              <w:t>Modal de Centro — Sectores</w:t>
              <w:br/>
              <w:t>industriales atendidos</w:t>
            </w:r>
          </w:p>
        </w:tc>
      </w:tr>
    </w:tbl>
    <w:p/>
    <w:p>
      <w:r>
        <w:br w:type="page"/>
      </w:r>
    </w:p>
    <w:p/>
    <w:p>
      <w:r>
        <w:rPr>
          <w:b/>
          <w:color w:val="0284C7"/>
          <w:sz w:val="28"/>
        </w:rPr>
        <w:t xml:space="preserve">13  </w:t>
      </w:r>
      <w:r>
        <w:rPr>
          <w:b/>
          <w:color w:val="0F172A"/>
          <w:sz w:val="28"/>
        </w:rPr>
        <w:t>SEGURIDAD Y ARQUITECTURA TÉCNICA</w:t>
      </w:r>
    </w:p>
    <w:p>
      <w:r>
        <w:rPr>
          <w:i/>
          <w:color w:val="64748B"/>
          <w:sz w:val="20"/>
        </w:rPr>
        <w:t>Infraestructura robusta con múltiples capas de protección</w:t>
      </w:r>
    </w:p>
    <w:p>
      <w:r>
        <w:rPr>
          <w:color w:val="0284C7"/>
          <w:sz w:val="12"/>
        </w:rPr>
        <w:t>━━━━━━━━━━━━━━━━━━━━━━━━━━━━━━━━━━━━━━━━━━━━━━━━━━━━━━━━━━━━</w:t>
      </w:r>
    </w:p>
    <w:p>
      <w:pPr>
        <w:spacing w:after="120"/>
      </w:pPr>
      <w:r>
        <w:rPr>
          <w:rFonts w:ascii="Calibri" w:hAnsi="Calibri"/>
          <w:sz w:val="20"/>
        </w:rPr>
        <w:t>La Plataforma PEVI implementa un modelo de seguridad empresarial con múltiples capas de protección, garantizando la integridad, confidencialidad y disponibilidad de los datos energéticos nacionales.</w:t>
      </w:r>
    </w:p>
    <w:p>
      <w:pPr>
        <w:pStyle w:val="Heading2"/>
      </w:pPr>
      <w:r>
        <w:rPr>
          <w:color w:val="0F172A"/>
        </w:rPr>
        <w:t>Capas de Seguridad</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0f172a"/>
          </w:tcPr>
          <w:p>
            <w:r/>
            <w:r>
              <w:rPr>
                <w:rFonts w:ascii="Calibri" w:hAnsi="Calibri"/>
                <w:b/>
                <w:color w:val="FFFFFF"/>
                <w:sz w:val="17"/>
              </w:rPr>
              <w:t>Capa</w:t>
            </w:r>
          </w:p>
        </w:tc>
        <w:tc>
          <w:tcPr>
            <w:tcW w:type="dxa" w:w="2835"/>
            <w:shd w:fill="0f172a"/>
          </w:tcPr>
          <w:p>
            <w:r/>
            <w:r>
              <w:rPr>
                <w:rFonts w:ascii="Calibri" w:hAnsi="Calibri"/>
                <w:b/>
                <w:color w:val="FFFFFF"/>
                <w:sz w:val="17"/>
              </w:rPr>
              <w:t>Mecanismo</w:t>
            </w:r>
          </w:p>
        </w:tc>
        <w:tc>
          <w:tcPr>
            <w:tcW w:type="dxa" w:w="3685"/>
            <w:shd w:fill="0f172a"/>
          </w:tcPr>
          <w:p>
            <w:r/>
            <w:r>
              <w:rPr>
                <w:rFonts w:ascii="Calibri" w:hAnsi="Calibri"/>
                <w:b/>
                <w:color w:val="FFFFFF"/>
                <w:sz w:val="17"/>
              </w:rPr>
              <w:t>Protección</w:t>
            </w:r>
          </w:p>
        </w:tc>
      </w:tr>
      <w:tr>
        <w:tc>
          <w:tcPr>
            <w:tcW w:type="dxa" w:w="1417"/>
          </w:tcPr>
          <w:p>
            <w:r/>
            <w:r>
              <w:rPr>
                <w:rFonts w:ascii="Calibri" w:hAnsi="Calibri"/>
                <w:sz w:val="18"/>
              </w:rPr>
              <w:t>1. Autenticación</w:t>
            </w:r>
          </w:p>
        </w:tc>
        <w:tc>
          <w:tcPr>
            <w:tcW w:type="dxa" w:w="2835"/>
          </w:tcPr>
          <w:p>
            <w:r/>
            <w:r>
              <w:rPr>
                <w:rFonts w:ascii="Calibri" w:hAnsi="Calibri"/>
                <w:sz w:val="18"/>
              </w:rPr>
              <w:t>Login por usuario o email + contraseña segura</w:t>
            </w:r>
          </w:p>
        </w:tc>
        <w:tc>
          <w:tcPr>
            <w:tcW w:type="dxa" w:w="3685"/>
          </w:tcPr>
          <w:p>
            <w:r/>
            <w:r>
              <w:rPr>
                <w:rFonts w:ascii="Calibri" w:hAnsi="Calibri"/>
                <w:sz w:val="18"/>
              </w:rPr>
              <w:t>Solo usuarios autorizados acceden al sistema</w:t>
            </w:r>
          </w:p>
        </w:tc>
      </w:tr>
      <w:tr>
        <w:tc>
          <w:tcPr>
            <w:tcW w:type="dxa" w:w="1417"/>
            <w:shd w:fill="f8fafc"/>
          </w:tcPr>
          <w:p>
            <w:r/>
            <w:r>
              <w:rPr>
                <w:rFonts w:ascii="Calibri" w:hAnsi="Calibri"/>
                <w:sz w:val="18"/>
              </w:rPr>
              <w:t>2. Autorización por Rol</w:t>
            </w:r>
          </w:p>
        </w:tc>
        <w:tc>
          <w:tcPr>
            <w:tcW w:type="dxa" w:w="2835"/>
            <w:shd w:fill="f8fafc"/>
          </w:tcPr>
          <w:p>
            <w:r/>
            <w:r>
              <w:rPr>
                <w:rFonts w:ascii="Calibri" w:hAnsi="Calibri"/>
                <w:sz w:val="18"/>
              </w:rPr>
              <w:t>Decoradores @solo_directivos, @solo_lideres, @acceso_staff</w:t>
            </w:r>
          </w:p>
        </w:tc>
        <w:tc>
          <w:tcPr>
            <w:tcW w:type="dxa" w:w="3685"/>
            <w:shd w:fill="f8fafc"/>
          </w:tcPr>
          <w:p>
            <w:r/>
            <w:r>
              <w:rPr>
                <w:rFonts w:ascii="Calibri" w:hAnsi="Calibri"/>
                <w:sz w:val="18"/>
              </w:rPr>
              <w:t>Cada rol accede solo a lo que le corresponde</w:t>
            </w:r>
          </w:p>
        </w:tc>
      </w:tr>
      <w:tr>
        <w:tc>
          <w:tcPr>
            <w:tcW w:type="dxa" w:w="1417"/>
          </w:tcPr>
          <w:p>
            <w:r/>
            <w:r>
              <w:rPr>
                <w:rFonts w:ascii="Calibri" w:hAnsi="Calibri"/>
                <w:sz w:val="18"/>
              </w:rPr>
              <w:t>3. Aislamiento por Centro</w:t>
            </w:r>
          </w:p>
        </w:tc>
        <w:tc>
          <w:tcPr>
            <w:tcW w:type="dxa" w:w="2835"/>
          </w:tcPr>
          <w:p>
            <w:r/>
            <w:r>
              <w:rPr>
                <w:rFonts w:ascii="Calibri" w:hAnsi="Calibri"/>
                <w:sz w:val="18"/>
              </w:rPr>
              <w:t>Filtrado automático en queries de BD</w:t>
            </w:r>
          </w:p>
        </w:tc>
        <w:tc>
          <w:tcPr>
            <w:tcW w:type="dxa" w:w="3685"/>
          </w:tcPr>
          <w:p>
            <w:r/>
            <w:r>
              <w:rPr>
                <w:rFonts w:ascii="Calibri" w:hAnsi="Calibri"/>
                <w:sz w:val="18"/>
              </w:rPr>
              <w:t>Los centros no ven datos de otros centros</w:t>
            </w:r>
          </w:p>
        </w:tc>
      </w:tr>
      <w:tr>
        <w:tc>
          <w:tcPr>
            <w:tcW w:type="dxa" w:w="1417"/>
            <w:shd w:fill="f8fafc"/>
          </w:tcPr>
          <w:p>
            <w:r/>
            <w:r>
              <w:rPr>
                <w:rFonts w:ascii="Calibri" w:hAnsi="Calibri"/>
                <w:sz w:val="18"/>
              </w:rPr>
              <w:t>4. Propiedad de Proyecto</w:t>
            </w:r>
          </w:p>
        </w:tc>
        <w:tc>
          <w:tcPr>
            <w:tcW w:type="dxa" w:w="2835"/>
            <w:shd w:fill="f8fafc"/>
          </w:tcPr>
          <w:p>
            <w:r/>
            <w:r>
              <w:rPr>
                <w:rFonts w:ascii="Calibri" w:hAnsi="Calibri"/>
                <w:sz w:val="18"/>
              </w:rPr>
              <w:t>verificar_acceso_proyecto() en cada operación</w:t>
            </w:r>
          </w:p>
        </w:tc>
        <w:tc>
          <w:tcPr>
            <w:tcW w:type="dxa" w:w="3685"/>
            <w:shd w:fill="f8fafc"/>
          </w:tcPr>
          <w:p>
            <w:r/>
            <w:r>
              <w:rPr>
                <w:rFonts w:ascii="Calibri" w:hAnsi="Calibri"/>
                <w:sz w:val="18"/>
              </w:rPr>
              <w:t>Solo el líder, equipo y director acceden al proyecto</w:t>
            </w:r>
          </w:p>
        </w:tc>
      </w:tr>
      <w:tr>
        <w:tc>
          <w:tcPr>
            <w:tcW w:type="dxa" w:w="1417"/>
          </w:tcPr>
          <w:p>
            <w:r/>
            <w:r>
              <w:rPr>
                <w:rFonts w:ascii="Calibri" w:hAnsi="Calibri"/>
                <w:sz w:val="18"/>
              </w:rPr>
              <w:t>5. Anti-escalada</w:t>
            </w:r>
          </w:p>
        </w:tc>
        <w:tc>
          <w:tcPr>
            <w:tcW w:type="dxa" w:w="2835"/>
          </w:tcPr>
          <w:p>
            <w:r/>
            <w:r>
              <w:rPr>
                <w:rFonts w:ascii="Calibri" w:hAnsi="Calibri"/>
                <w:sz w:val="18"/>
              </w:rPr>
              <w:t>Validación en formularios y servidor</w:t>
            </w:r>
          </w:p>
        </w:tc>
        <w:tc>
          <w:tcPr>
            <w:tcW w:type="dxa" w:w="3685"/>
          </w:tcPr>
          <w:p>
            <w:r/>
            <w:r>
              <w:rPr>
                <w:rFonts w:ascii="Calibri" w:hAnsi="Calibri"/>
                <w:sz w:val="18"/>
              </w:rPr>
              <w:t>Directores no pueden crear usuarios de mayor rango</w:t>
            </w:r>
          </w:p>
        </w:tc>
      </w:tr>
      <w:tr>
        <w:tc>
          <w:tcPr>
            <w:tcW w:type="dxa" w:w="1417"/>
            <w:shd w:fill="f8fafc"/>
          </w:tcPr>
          <w:p>
            <w:r/>
            <w:r>
              <w:rPr>
                <w:rFonts w:ascii="Calibri" w:hAnsi="Calibri"/>
                <w:sz w:val="18"/>
              </w:rPr>
              <w:t>6. CSP Headers</w:t>
            </w:r>
          </w:p>
        </w:tc>
        <w:tc>
          <w:tcPr>
            <w:tcW w:type="dxa" w:w="2835"/>
            <w:shd w:fill="f8fafc"/>
          </w:tcPr>
          <w:p>
            <w:r/>
            <w:r>
              <w:rPr>
                <w:rFonts w:ascii="Calibri" w:hAnsi="Calibri"/>
                <w:sz w:val="18"/>
              </w:rPr>
              <w:t>Content-Security-Policy en middleware</w:t>
            </w:r>
          </w:p>
        </w:tc>
        <w:tc>
          <w:tcPr>
            <w:tcW w:type="dxa" w:w="3685"/>
            <w:shd w:fill="f8fafc"/>
          </w:tcPr>
          <w:p>
            <w:r/>
            <w:r>
              <w:rPr>
                <w:rFonts w:ascii="Calibri" w:hAnsi="Calibri"/>
                <w:sz w:val="18"/>
              </w:rPr>
              <w:t>Previene ataques XSS e inyección de scripts</w:t>
            </w:r>
          </w:p>
        </w:tc>
      </w:tr>
      <w:tr>
        <w:tc>
          <w:tcPr>
            <w:tcW w:type="dxa" w:w="1417"/>
          </w:tcPr>
          <w:p>
            <w:r/>
            <w:r>
              <w:rPr>
                <w:rFonts w:ascii="Calibri" w:hAnsi="Calibri"/>
                <w:sz w:val="18"/>
              </w:rPr>
              <w:t>7. Auditoría</w:t>
            </w:r>
          </w:p>
        </w:tc>
        <w:tc>
          <w:tcPr>
            <w:tcW w:type="dxa" w:w="2835"/>
          </w:tcPr>
          <w:p>
            <w:r/>
            <w:r>
              <w:rPr>
                <w:rFonts w:ascii="Calibri" w:hAnsi="Calibri"/>
                <w:sz w:val="18"/>
              </w:rPr>
              <w:t>Logs de acceso, actividad y seguridad</w:t>
            </w:r>
          </w:p>
        </w:tc>
        <w:tc>
          <w:tcPr>
            <w:tcW w:type="dxa" w:w="3685"/>
          </w:tcPr>
          <w:p>
            <w:r/>
            <w:r>
              <w:rPr>
                <w:rFonts w:ascii="Calibri" w:hAnsi="Calibri"/>
                <w:sz w:val="18"/>
              </w:rPr>
              <w:t>Trazabilidad completa de todas las acciones</w:t>
            </w:r>
          </w:p>
        </w:tc>
      </w:tr>
    </w:tbl>
    <w:p/>
    <w:p>
      <w:pPr>
        <w:pStyle w:val="Heading2"/>
      </w:pPr>
      <w:r>
        <w:rPr>
          <w:color w:val="0F172A"/>
        </w:rPr>
        <w:t>Stack Tecnológico</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0f172a"/>
          </w:tcPr>
          <w:p>
            <w:r/>
            <w:r>
              <w:rPr>
                <w:rFonts w:ascii="Calibri" w:hAnsi="Calibri"/>
                <w:b/>
                <w:color w:val="FFFFFF"/>
                <w:sz w:val="17"/>
              </w:rPr>
              <w:t>Componente</w:t>
            </w:r>
          </w:p>
        </w:tc>
        <w:tc>
          <w:tcPr>
            <w:tcW w:type="dxa" w:w="2268"/>
            <w:shd w:fill="0f172a"/>
          </w:tcPr>
          <w:p>
            <w:r/>
            <w:r>
              <w:rPr>
                <w:rFonts w:ascii="Calibri" w:hAnsi="Calibri"/>
                <w:b/>
                <w:color w:val="FFFFFF"/>
                <w:sz w:val="17"/>
              </w:rPr>
              <w:t>Tecnología</w:t>
            </w:r>
          </w:p>
        </w:tc>
        <w:tc>
          <w:tcPr>
            <w:tcW w:type="dxa" w:w="4535"/>
            <w:shd w:fill="0f172a"/>
          </w:tcPr>
          <w:p>
            <w:r/>
            <w:r>
              <w:rPr>
                <w:rFonts w:ascii="Calibri" w:hAnsi="Calibri"/>
                <w:b/>
                <w:color w:val="FFFFFF"/>
                <w:sz w:val="17"/>
              </w:rPr>
              <w:t>Propósito</w:t>
            </w:r>
          </w:p>
        </w:tc>
      </w:tr>
      <w:tr>
        <w:tc>
          <w:tcPr>
            <w:tcW w:type="dxa" w:w="1701"/>
          </w:tcPr>
          <w:p>
            <w:r/>
            <w:r>
              <w:rPr>
                <w:rFonts w:ascii="Calibri" w:hAnsi="Calibri"/>
                <w:sz w:val="18"/>
              </w:rPr>
              <w:t>Backend</w:t>
            </w:r>
          </w:p>
        </w:tc>
        <w:tc>
          <w:tcPr>
            <w:tcW w:type="dxa" w:w="2268"/>
          </w:tcPr>
          <w:p>
            <w:r/>
            <w:r>
              <w:rPr>
                <w:rFonts w:ascii="Calibri" w:hAnsi="Calibri"/>
                <w:sz w:val="18"/>
              </w:rPr>
              <w:t>Django 5.2 (Python)</w:t>
            </w:r>
          </w:p>
        </w:tc>
        <w:tc>
          <w:tcPr>
            <w:tcW w:type="dxa" w:w="4535"/>
          </w:tcPr>
          <w:p>
            <w:r/>
            <w:r>
              <w:rPr>
                <w:rFonts w:ascii="Calibri" w:hAnsi="Calibri"/>
                <w:sz w:val="18"/>
              </w:rPr>
              <w:t>Framework web robusto con ORM y seguridad integrada</w:t>
            </w:r>
          </w:p>
        </w:tc>
      </w:tr>
      <w:tr>
        <w:tc>
          <w:tcPr>
            <w:tcW w:type="dxa" w:w="1701"/>
            <w:shd w:fill="f8fafc"/>
          </w:tcPr>
          <w:p>
            <w:r/>
            <w:r>
              <w:rPr>
                <w:rFonts w:ascii="Calibri" w:hAnsi="Calibri"/>
                <w:sz w:val="18"/>
              </w:rPr>
              <w:t>Base de Datos</w:t>
            </w:r>
          </w:p>
        </w:tc>
        <w:tc>
          <w:tcPr>
            <w:tcW w:type="dxa" w:w="2268"/>
            <w:shd w:fill="f8fafc"/>
          </w:tcPr>
          <w:p>
            <w:r/>
            <w:r>
              <w:rPr>
                <w:rFonts w:ascii="Calibri" w:hAnsi="Calibri"/>
                <w:sz w:val="18"/>
              </w:rPr>
              <w:t>PostgreSQL</w:t>
            </w:r>
          </w:p>
        </w:tc>
        <w:tc>
          <w:tcPr>
            <w:tcW w:type="dxa" w:w="4535"/>
            <w:shd w:fill="f8fafc"/>
          </w:tcPr>
          <w:p>
            <w:r/>
            <w:r>
              <w:rPr>
                <w:rFonts w:ascii="Calibri" w:hAnsi="Calibri"/>
                <w:sz w:val="18"/>
              </w:rPr>
              <w:t>BD relacional de alto rendimiento</w:t>
            </w:r>
          </w:p>
        </w:tc>
      </w:tr>
      <w:tr>
        <w:tc>
          <w:tcPr>
            <w:tcW w:type="dxa" w:w="1701"/>
          </w:tcPr>
          <w:p>
            <w:r/>
            <w:r>
              <w:rPr>
                <w:rFonts w:ascii="Calibri" w:hAnsi="Calibri"/>
                <w:sz w:val="18"/>
              </w:rPr>
              <w:t>Frontend</w:t>
            </w:r>
          </w:p>
        </w:tc>
        <w:tc>
          <w:tcPr>
            <w:tcW w:type="dxa" w:w="2268"/>
          </w:tcPr>
          <w:p>
            <w:r/>
            <w:r>
              <w:rPr>
                <w:rFonts w:ascii="Calibri" w:hAnsi="Calibri"/>
                <w:sz w:val="18"/>
              </w:rPr>
              <w:t>Bootstrap 5 + Chart.js</w:t>
            </w:r>
          </w:p>
        </w:tc>
        <w:tc>
          <w:tcPr>
            <w:tcW w:type="dxa" w:w="4535"/>
          </w:tcPr>
          <w:p>
            <w:r/>
            <w:r>
              <w:rPr>
                <w:rFonts w:ascii="Calibri" w:hAnsi="Calibri"/>
                <w:sz w:val="18"/>
              </w:rPr>
              <w:t>Interfaz responsiva con gráficos interactivos</w:t>
            </w:r>
          </w:p>
        </w:tc>
      </w:tr>
      <w:tr>
        <w:tc>
          <w:tcPr>
            <w:tcW w:type="dxa" w:w="1701"/>
            <w:shd w:fill="f8fafc"/>
          </w:tcPr>
          <w:p>
            <w:r/>
            <w:r>
              <w:rPr>
                <w:rFonts w:ascii="Calibri" w:hAnsi="Calibri"/>
                <w:sz w:val="18"/>
              </w:rPr>
              <w:t>Generación PDF</w:t>
            </w:r>
          </w:p>
        </w:tc>
        <w:tc>
          <w:tcPr>
            <w:tcW w:type="dxa" w:w="2268"/>
            <w:shd w:fill="f8fafc"/>
          </w:tcPr>
          <w:p>
            <w:r/>
            <w:r>
              <w:rPr>
                <w:rFonts w:ascii="Calibri" w:hAnsi="Calibri"/>
                <w:sz w:val="18"/>
              </w:rPr>
              <w:t>WeasyPrint</w:t>
            </w:r>
          </w:p>
        </w:tc>
        <w:tc>
          <w:tcPr>
            <w:tcW w:type="dxa" w:w="4535"/>
            <w:shd w:fill="f8fafc"/>
          </w:tcPr>
          <w:p>
            <w:r/>
            <w:r>
              <w:rPr>
                <w:rFonts w:ascii="Calibri" w:hAnsi="Calibri"/>
                <w:sz w:val="18"/>
              </w:rPr>
              <w:t>Renderizado HTML→PDF de alta calidad</w:t>
            </w:r>
          </w:p>
        </w:tc>
      </w:tr>
      <w:tr>
        <w:tc>
          <w:tcPr>
            <w:tcW w:type="dxa" w:w="1701"/>
          </w:tcPr>
          <w:p>
            <w:r/>
            <w:r>
              <w:rPr>
                <w:rFonts w:ascii="Calibri" w:hAnsi="Calibri"/>
                <w:sz w:val="18"/>
              </w:rPr>
              <w:t>Infraestructura</w:t>
            </w:r>
          </w:p>
        </w:tc>
        <w:tc>
          <w:tcPr>
            <w:tcW w:type="dxa" w:w="2268"/>
          </w:tcPr>
          <w:p>
            <w:r/>
            <w:r>
              <w:rPr>
                <w:rFonts w:ascii="Calibri" w:hAnsi="Calibri"/>
                <w:sz w:val="18"/>
              </w:rPr>
              <w:t>AWS EC2 + S3</w:t>
            </w:r>
          </w:p>
        </w:tc>
        <w:tc>
          <w:tcPr>
            <w:tcW w:type="dxa" w:w="4535"/>
          </w:tcPr>
          <w:p>
            <w:r/>
            <w:r>
              <w:rPr>
                <w:rFonts w:ascii="Calibri" w:hAnsi="Calibri"/>
                <w:sz w:val="18"/>
              </w:rPr>
              <w:t>Servidor en la nube con almacenamiento escalable</w:t>
            </w:r>
          </w:p>
        </w:tc>
      </w:tr>
      <w:tr>
        <w:tc>
          <w:tcPr>
            <w:tcW w:type="dxa" w:w="1701"/>
            <w:shd w:fill="f8fafc"/>
          </w:tcPr>
          <w:p>
            <w:r/>
            <w:r>
              <w:rPr>
                <w:rFonts w:ascii="Calibri" w:hAnsi="Calibri"/>
                <w:sz w:val="18"/>
              </w:rPr>
              <w:t>Dominio</w:t>
            </w:r>
          </w:p>
        </w:tc>
        <w:tc>
          <w:tcPr>
            <w:tcW w:type="dxa" w:w="2268"/>
            <w:shd w:fill="f8fafc"/>
          </w:tcPr>
          <w:p>
            <w:r/>
            <w:r>
              <w:rPr>
                <w:rFonts w:ascii="Calibri" w:hAnsi="Calibri"/>
                <w:sz w:val="18"/>
              </w:rPr>
              <w:t>pevicolombia.com</w:t>
            </w:r>
          </w:p>
        </w:tc>
        <w:tc>
          <w:tcPr>
            <w:tcW w:type="dxa" w:w="4535"/>
            <w:shd w:fill="f8fafc"/>
          </w:tcPr>
          <w:p>
            <w:r/>
            <w:r>
              <w:rPr>
                <w:rFonts w:ascii="Calibri" w:hAnsi="Calibri"/>
                <w:sz w:val="18"/>
              </w:rPr>
              <w:t>URL profesional con certificado SSL</w:t>
            </w:r>
          </w:p>
        </w:tc>
      </w:tr>
    </w:tbl>
    <w:p/>
    <w:p>
      <w:pPr>
        <w:pStyle w:val="Heading2"/>
      </w:pPr>
      <w:r>
        <w:rPr>
          <w:color w:val="0F172A"/>
        </w:rPr>
        <w:t>Sistema de Logs y Auditoría</w:t>
      </w:r>
    </w:p>
    <w:p>
      <w:pPr>
        <w:spacing w:after="120"/>
      </w:pPr>
      <w:r>
        <w:rPr>
          <w:rFonts w:ascii="Calibri" w:hAnsi="Calibri"/>
          <w:sz w:val="20"/>
        </w:rPr>
        <w:t>Toda acción en la plataforma queda registrada en un sistema de logs multinivel:</w:t>
      </w:r>
    </w:p>
    <w:p>
      <w:pPr>
        <w:pStyle w:val="ListBullet"/>
      </w:pPr>
      <w:r>
        <w:rPr>
          <w:b/>
          <w:sz w:val="20"/>
        </w:rPr>
        <w:t>Log de Acceso:</w:t>
      </w:r>
      <w:r>
        <w:rPr>
          <w:sz w:val="20"/>
        </w:rPr>
        <w:t xml:space="preserve"> Registra inicios de sesión, cierres y intentos fallidos</w:t>
      </w:r>
    </w:p>
    <w:p>
      <w:pPr>
        <w:pStyle w:val="ListBullet"/>
      </w:pPr>
      <w:r>
        <w:rPr>
          <w:b/>
          <w:sz w:val="20"/>
        </w:rPr>
        <w:t>Log de Actividad:</w:t>
      </w:r>
      <w:r>
        <w:rPr>
          <w:sz w:val="20"/>
        </w:rPr>
        <w:t xml:space="preserve"> Registra creación, edición y eliminación de datos</w:t>
      </w:r>
    </w:p>
    <w:p>
      <w:pPr>
        <w:pStyle w:val="ListBullet"/>
      </w:pPr>
      <w:r>
        <w:rPr>
          <w:b/>
          <w:sz w:val="20"/>
        </w:rPr>
        <w:t>Log de Seguridad:</w:t>
      </w:r>
      <w:r>
        <w:rPr>
          <w:sz w:val="20"/>
        </w:rPr>
        <w:t xml:space="preserve"> Registra accesos denegados y bloqueos de escalada de privilegios</w:t>
      </w:r>
    </w:p>
    <w:p>
      <w:pPr>
        <w:pStyle w:val="ListBullet"/>
      </w:pPr>
      <w:r>
        <w:rPr>
          <w:b/>
          <w:sz w:val="20"/>
        </w:rPr>
        <w:t>Log de Errores:</w:t>
      </w:r>
      <w:r>
        <w:rPr>
          <w:sz w:val="20"/>
        </w:rPr>
        <w:t xml:space="preserve"> Registra excepciones y errores del sistema</w:t>
      </w:r>
    </w:p>
    <w:p>
      <w:r>
        <w:br w:type="page"/>
      </w:r>
    </w:p>
    <w:p/>
    <w:p>
      <w:r>
        <w:rPr>
          <w:b/>
          <w:color w:val="0284C7"/>
          <w:sz w:val="28"/>
        </w:rPr>
        <w:t xml:space="preserve">14  </w:t>
      </w:r>
      <w:r>
        <w:rPr>
          <w:b/>
          <w:color w:val="0F172A"/>
          <w:sz w:val="28"/>
        </w:rPr>
        <w:t>CONCLUSIONES</w:t>
      </w:r>
    </w:p>
    <w:p>
      <w:r>
        <w:rPr>
          <w:i/>
          <w:color w:val="64748B"/>
          <w:sz w:val="20"/>
        </w:rPr>
        <w:t>Una plataforma a la altura del reto energético nacional</w:t>
      </w:r>
    </w:p>
    <w:p>
      <w:r>
        <w:rPr>
          <w:color w:val="0284C7"/>
          <w:sz w:val="12"/>
        </w:rPr>
        <w:t>━━━━━━━━━━━━━━━━━━━━━━━━━━━━━━━━━━━━━━━━━━━━━━━━━━━━━━━━━━━━</w:t>
      </w:r>
    </w:p>
    <w:p>
      <w:pPr>
        <w:spacing w:before="320" w:after="320"/>
        <w:ind w:left="850" w:right="850"/>
        <w:jc w:val="center"/>
      </w:pPr>
      <w:r>
        <w:rPr>
          <w:i/>
          <w:color w:val="0369A1"/>
          <w:sz w:val="24"/>
        </w:rPr>
        <w:t>« La Plataforma PEVI demuestra que es posible construir un sistema nacional de gestión energética que sea potente, usable y seguro al mismo tiempo. »</w:t>
      </w:r>
    </w:p>
    <w:p>
      <w:pPr>
        <w:spacing w:after="120"/>
      </w:pPr>
      <w:r>
        <w:rPr>
          <w:rFonts w:ascii="Calibri" w:hAnsi="Calibri"/>
          <w:sz w:val="20"/>
        </w:rPr>
        <w:t>La Plataforma PEVI representa un avance significativo en la digitalización de la gestión energética industrial en Colombia. Sus capacidades clave incluyen:</w:t>
      </w:r>
    </w:p>
    <w:p/>
    <w:p>
      <w:pPr>
        <w:spacing w:before="80" w:after="40"/>
        <w:ind w:left="283"/>
      </w:pPr>
      <w:r>
        <w:rPr>
          <w:b/>
          <w:color w:val="16A34A"/>
          <w:sz w:val="22"/>
        </w:rPr>
        <w:t>✅  Cobertura Nacional Integrada</w:t>
      </w:r>
    </w:p>
    <w:p>
      <w:pPr>
        <w:spacing w:after="160"/>
        <w:ind w:left="283"/>
      </w:pPr>
      <w:r>
        <w:rPr>
          <w:color w:val="475569"/>
          <w:sz w:val="19"/>
        </w:rPr>
        <w:t>5 centros universitarios conectados en una sola plataforma, con datos estandarizados y comparables a nivel nacional.</w:t>
      </w:r>
    </w:p>
    <w:p>
      <w:pPr>
        <w:spacing w:before="80" w:after="40"/>
        <w:ind w:left="283"/>
      </w:pPr>
      <w:r>
        <w:rPr>
          <w:b/>
          <w:color w:val="16A34A"/>
          <w:sz w:val="22"/>
        </w:rPr>
        <w:t>✅  Motor de Cálculo Automático</w:t>
      </w:r>
    </w:p>
    <w:p>
      <w:pPr>
        <w:spacing w:after="160"/>
        <w:ind w:left="283"/>
      </w:pPr>
      <w:r>
        <w:rPr>
          <w:color w:val="475569"/>
          <w:sz w:val="19"/>
        </w:rPr>
        <w:t>Conversión transparente de 6 fuentes energéticas a kWh equivalente y cálculo automático de emisiones CO2, eliminando errores manuales.</w:t>
      </w:r>
    </w:p>
    <w:p>
      <w:pPr>
        <w:spacing w:before="80" w:after="40"/>
        <w:ind w:left="283"/>
      </w:pPr>
      <w:r>
        <w:rPr>
          <w:b/>
          <w:color w:val="16A34A"/>
          <w:sz w:val="22"/>
        </w:rPr>
        <w:t>✅  Análisis Prospectivo</w:t>
      </w:r>
    </w:p>
    <w:p>
      <w:pPr>
        <w:spacing w:after="160"/>
        <w:ind w:left="283"/>
      </w:pPr>
      <w:r>
        <w:rPr>
          <w:color w:val="475569"/>
          <w:sz w:val="19"/>
        </w:rPr>
        <w:t>No solo registra el presente: permite simular escenarios de reducción y evaluar el impacto financiero y ambiental de las mejoras propuestas.</w:t>
      </w:r>
    </w:p>
    <w:p>
      <w:pPr>
        <w:spacing w:before="80" w:after="40"/>
        <w:ind w:left="283"/>
      </w:pPr>
      <w:r>
        <w:rPr>
          <w:b/>
          <w:color w:val="16A34A"/>
          <w:sz w:val="22"/>
        </w:rPr>
        <w:t>✅  Informes Profesionales Instantáneos</w:t>
      </w:r>
    </w:p>
    <w:p>
      <w:pPr>
        <w:spacing w:after="160"/>
        <w:ind w:left="283"/>
      </w:pPr>
      <w:r>
        <w:rPr>
          <w:color w:val="475569"/>
          <w:sz w:val="19"/>
        </w:rPr>
        <w:t>Generación automática de reportes PDF completos con gráficos, KPIs y análisis, listos para entrega sin edición adicional.</w:t>
      </w:r>
    </w:p>
    <w:p>
      <w:pPr>
        <w:spacing w:before="80" w:after="40"/>
        <w:ind w:left="283"/>
      </w:pPr>
      <w:r>
        <w:rPr>
          <w:b/>
          <w:color w:val="16A34A"/>
          <w:sz w:val="22"/>
        </w:rPr>
        <w:t>✅  Inteligencia para Decisiones</w:t>
      </w:r>
    </w:p>
    <w:p>
      <w:pPr>
        <w:spacing w:after="160"/>
        <w:ind w:left="283"/>
      </w:pPr>
      <w:r>
        <w:rPr>
          <w:color w:val="475569"/>
          <w:sz w:val="19"/>
        </w:rPr>
        <w:t>Dashboards de BI a nivel estratégico y nacional que transforman datos dispersos en información accionable para tomadores de decisión.</w:t>
      </w:r>
    </w:p>
    <w:p>
      <w:pPr>
        <w:spacing w:before="80" w:after="40"/>
        <w:ind w:left="283"/>
      </w:pPr>
      <w:r>
        <w:rPr>
          <w:b/>
          <w:color w:val="16A34A"/>
          <w:sz w:val="22"/>
        </w:rPr>
        <w:t>✅  Transparencia Pública</w:t>
      </w:r>
    </w:p>
    <w:p>
      <w:pPr>
        <w:spacing w:after="160"/>
        <w:ind w:left="283"/>
      </w:pPr>
      <w:r>
        <w:rPr>
          <w:color w:val="475569"/>
          <w:sz w:val="19"/>
        </w:rPr>
        <w:t>Portal abierto con resultados agregados y anonimizados que promueve la rendición de cuentas del programa.</w:t>
      </w:r>
    </w:p>
    <w:p>
      <w:pPr>
        <w:spacing w:before="80" w:after="40"/>
        <w:ind w:left="283"/>
      </w:pPr>
      <w:r>
        <w:rPr>
          <w:b/>
          <w:color w:val="16A34A"/>
          <w:sz w:val="22"/>
        </w:rPr>
        <w:t>✅  Seguridad Empresarial</w:t>
      </w:r>
    </w:p>
    <w:p>
      <w:pPr>
        <w:spacing w:after="160"/>
        <w:ind w:left="283"/>
      </w:pPr>
      <w:r>
        <w:rPr>
          <w:color w:val="475569"/>
          <w:sz w:val="19"/>
        </w:rPr>
        <w:t>7 capas de protección con aislamiento por centro, roles jerárquicos, auditoría completa y protección contra ataques web.</w:t>
      </w:r>
    </w:p>
    <w:p/>
    <w:p>
      <w:pPr>
        <w:spacing w:after="120"/>
      </w:pPr>
      <w:r>
        <w:rPr>
          <w:rFonts w:ascii="Calibri" w:hAnsi="Calibri"/>
          <w:b/>
          <w:color w:val="0F172A"/>
          <w:sz w:val="20"/>
        </w:rPr>
        <w:t>La plataforma no solo cumple con los requisitos operativos del programa PEVI, sino que establece un estándar de referencia para la gestión digital de auditorías energéticas en América Latina.</w:t>
      </w:r>
    </w:p>
    <w:p>
      <w:r>
        <w:br w:type="page"/>
      </w:r>
    </w:p>
    <w:p/>
    <w:p/>
    <w:p/>
    <w:p/>
    <w:p/>
    <w:p/>
    <w:p/>
    <w:p>
      <w:pPr>
        <w:jc w:val="center"/>
      </w:pPr>
      <w:r>
        <w:rPr>
          <w:b/>
          <w:color w:val="0F172A"/>
          <w:sz w:val="48"/>
        </w:rPr>
        <w:t>PLATAFORMA PEVI</w:t>
      </w:r>
    </w:p>
    <w:p>
      <w:pPr>
        <w:jc w:val="center"/>
      </w:pPr>
      <w:r>
        <w:rPr>
          <w:color w:val="64748B"/>
          <w:sz w:val="22"/>
        </w:rPr>
        <w:t>Programa de Evaluación de Eficiencia Energética Industrial</w:t>
      </w:r>
    </w:p>
    <w:p/>
    <w:p/>
    <w:p>
      <w:pPr>
        <w:jc w:val="center"/>
      </w:pPr>
      <w:r>
        <w:rPr>
          <w:b/>
          <w:color w:val="0284C7"/>
          <w:sz w:val="24"/>
        </w:rPr>
        <w:t>https://pevicolombia.com</w:t>
      </w:r>
    </w:p>
    <w:p/>
    <w:p/>
    <w:p/>
    <w:p>
      <w:pPr>
        <w:jc w:val="center"/>
      </w:pPr>
      <w:r>
        <w:rPr>
          <w:color w:val="475569"/>
          <w:sz w:val="20"/>
        </w:rPr>
        <w:t>UPME  •  Ministerio de Energía  •  ONUDI</w:t>
      </w:r>
    </w:p>
    <w:p>
      <w:pPr>
        <w:jc w:val="center"/>
      </w:pPr>
      <w:r>
        <w:rPr>
          <w:color w:val="94A3B8"/>
          <w:sz w:val="20"/>
        </w:rPr>
        <w:t>Colombia, 2026</w:t>
      </w:r>
    </w:p>
    <w:p>
      <w:pPr>
        <w:jc w:val="center"/>
      </w:pPr>
      <w:r>
        <w:rPr>
          <w:color w:val="94A3B8"/>
          <w:sz w:val="18"/>
        </w:rPr>
        <w:t>© Todos los derechos reservados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