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Diseño e implementación de una calculadora de programación lineal mediante los métodos gráfico y Simplex</w:t>
      </w:r>
    </w:p>
    <w:p>
      <w:pPr>
        <w:pStyle w:val="Subtitle"/>
      </w:pPr>
      <w:r>
        <w:t>Working Paper - Primera entrega del Laboratorio de Optimización</w:t>
      </w:r>
    </w:p>
    <w:p>
      <w:pPr>
        <w:spacing w:after="40"/>
        <w:jc w:val="center"/>
      </w:pPr>
      <w:r>
        <w:rPr>
          <w:rFonts w:ascii="Times New Roman" w:hAnsi="Times New Roman"/>
          <w:b/>
          <w:sz w:val="22"/>
        </w:rPr>
        <w:t>Santiago Andrés Walteros Corredor</w:t>
      </w:r>
    </w:p>
    <w:p>
      <w:pPr>
        <w:spacing w:after="120"/>
        <w:jc w:val="center"/>
      </w:pPr>
      <w:r>
        <w:rPr>
          <w:rFonts w:ascii="Times New Roman" w:hAnsi="Times New Roman"/>
          <w:color w:val="5A6570"/>
          <w:sz w:val="18"/>
        </w:rPr>
        <w:t>Código estudiantil 160005242 | Python | 4 de septiembre de 2026</w:t>
      </w:r>
    </w:p>
    <w:p>
      <w:r>
        <w:rPr>
          <w:b/>
        </w:rPr>
        <w:t xml:space="preserve">Resumen - </w:t>
      </w:r>
      <w:r>
        <w:t>Se presenta el diseño y la implementación incremental de una aplicación de escritorio para resolver modelos de programación lineal con dos variables. La herramienta incorpora el método gráfico para maximización y minimización, y el método Simplex básico para maximización con restricciones de tipo menor o igual y términos independientes no negativos. La solución se desarrolló en Python con Tkinter y Matplotlib. El programa expone vértices, evaluaciones, variables entrantes y salientes, pivotes y tablas, en lugar de ocultar el procedimiento. La versión v0.5 se verificó desde la interfaz con cuatro ejercicios gráficos y tres de Simplex. Los siete resultados coincidieron con la solución manual dentro del alcance académico de la primera entrega.</w:t>
      </w:r>
    </w:p>
    <w:p>
      <w:pPr>
        <w:spacing w:after="120"/>
      </w:pPr>
      <w:r>
        <w:rPr>
          <w:b/>
          <w:i/>
        </w:rPr>
        <w:t xml:space="preserve">Palabras clave - </w:t>
      </w:r>
      <w:r>
        <w:rPr>
          <w:i/>
        </w:rPr>
        <w:t>programación lineal, método gráfico, método Simplex, optimización, Python, Tkinter.</w:t>
      </w:r>
    </w:p>
    <w:p>
      <w:pPr>
        <w:sectPr>
          <w:headerReference w:type="default" r:id="rId9"/>
          <w:footerReference w:type="default" r:id="rId10"/>
          <w:pgSz w:w="12240" w:h="15840"/>
          <w:pgMar w:top="936" w:right="1008" w:bottom="936" w:left="1008" w:header="432" w:footer="504" w:gutter="0"/>
          <w:cols w:space="720"/>
          <w:docGrid w:linePitch="360"/>
        </w:sectPr>
      </w:pPr>
    </w:p>
    <w:p>
      <w:pPr>
        <w:pStyle w:val="Heading1"/>
      </w:pPr>
      <w:r>
        <w:t>I. INTRODUCCIÓN</w:t>
      </w:r>
    </w:p>
    <w:p>
      <w:r>
        <w:t>La programación lineal permite representar decisiones mediante variables, una función objetivo lineal y un conjunto de restricciones. Su utilidad académica no se limita a obtener un valor óptimo: también permite comprender cómo los recursos disponibles delimitan una región de soluciones y por qué determinados puntos son mejores que otros.</w:t>
      </w:r>
    </w:p>
    <w:p>
      <w:r>
        <w:t>En el aprendizaje de optimización resulta importante observar el procedimiento. Por esa razón, este proyecto evita utilizar una función que resuelva el modelo de forma automática y oculta. En su lugar, implementa directamente el cálculo de intersecciones, la comprobación de factibilidad y las operaciones elementales de pivoteo.</w:t>
      </w:r>
    </w:p>
    <w:p>
      <w:r>
        <w:t>El objetivo fue construir una calculadora sencilla, legible y explicable. La primera entrega trabaja exclusivamente con X1 y X2; resuelve gráficamente maximización y minimización, y aplica Simplex a modelos básicos de maximización. La interfaz, los algoritmos y la evidencia permanecen integrados en una sola aplicación de escritorio.</w:t>
      </w:r>
    </w:p>
    <w:p>
      <w:pPr>
        <w:pStyle w:val="Heading1"/>
      </w:pPr>
      <w:r>
        <w:t>II. FUNDAMENTOS TEÓRICOS</w:t>
      </w:r>
    </w:p>
    <w:p>
      <w:pPr>
        <w:pStyle w:val="Heading2"/>
      </w:pPr>
      <w:r>
        <w:t>A. Programación lineal</w:t>
      </w:r>
    </w:p>
    <w:p>
      <w:r>
        <w:t>Un modelo de programación lineal busca maximizar o minimizar una función lineal sujeta a restricciones también lineales. Para dos variables, la forma general utilizada en este trabajo se expresa como:</w:t>
      </w:r>
    </w:p>
    <w:p>
      <w:pPr>
        <w:pStyle w:val="Códigodelinforme"/>
      </w:pPr>
      <w:r>
        <w:t>Optimizar  Z = c1X1 + c2X2</w:t>
      </w:r>
    </w:p>
    <w:p>
      <w:pPr>
        <w:pStyle w:val="Códigodelinforme"/>
      </w:pPr>
      <w:r>
        <w:t>a_i1X1 + a_i2X2 &lt;= o &gt;= b_i,   X1, X2 &gt;= 0</w:t>
      </w:r>
    </w:p>
    <w:p>
      <w:r>
        <w:t>Las variables representan las decisiones; los coeficientes c1 y c2 cuantifican su contribución al objetivo, y cada restricción limita las combinaciones permitidas. El conjunto de puntos que satisface simultáneamente todas las restricciones constituye la región factible [2].</w:t>
      </w:r>
    </w:p>
    <w:p>
      <w:pPr>
        <w:pStyle w:val="Heading2"/>
      </w:pPr>
      <w:r>
        <w:t>B. Método gráfico</w:t>
      </w:r>
    </w:p>
    <w:p>
      <w:r>
        <w:t>Con dos variables, cada restricción puede representarse mediante una recta y el semiplano que cumple la desigualdad. La intersección de esos semiplanos produce la región factible. En un problema lineal acotado, la evaluación de la función objetivo en los puntos extremos permite identificar el máximo o el mínimo. El procedimiento implementado genera intersecciones entre restricciones y ejes, elimina duplicados, filtra por factibilidad y compara los valores de Z.</w:t>
      </w:r>
    </w:p>
    <w:p>
      <w:pPr>
        <w:pStyle w:val="Heading2"/>
      </w:pPr>
      <w:r>
        <w:t>C. Método Simplex</w:t>
      </w:r>
    </w:p>
    <w:p>
      <w:r>
        <w:t>El método Simplex recorre soluciones básicas factibles asociadas con vértices adyacentes de la región factible hasta cumplir una condición de optimalidad [3]. Para el alcance definido, cada restricción &lt;= recibe una variable de holgura y la función objetivo se escribe como Z - c1X1 - c2X2 = 0.</w:t>
      </w:r>
    </w:p>
    <w:p>
      <w:r>
        <w:t>En cada iteración se elige como variable entrante la columna con el coeficiente más negativo en la fila Z. Las razones entre la columna de resultados y los coeficientes positivos determinan la variable saliente. Después se normaliza la fila pivote y se hacen ceros en el resto de la columna. Cuando la fila Z no contiene coeficientes negativos relevantes, la tabla se considera óptima.</w:t>
      </w:r>
    </w:p>
    <w:p>
      <w:pPr>
        <w:pStyle w:val="Heading1"/>
      </w:pPr>
      <w:r>
        <w:t>III. ANÁLISIS Y DISEÑO</w:t>
      </w:r>
    </w:p>
    <w:p>
      <w:pPr>
        <w:pStyle w:val="Heading2"/>
      </w:pPr>
      <w:r>
        <w:t>A. Alcance e historias de usuario</w:t>
      </w:r>
    </w:p>
    <w:p>
      <w:r>
        <w:t>El análisis produjo diez historias de usuario. Para mantener el informe compacto, la Tabla I las agrupa según la tarea que representan. Todas se reflejan en los controles y salidas de la versión v0.5.</w:t>
      </w:r>
    </w:p>
    <w:p>
      <w:pPr>
        <w:pStyle w:val="Caption"/>
        <w:keepNext/>
        <w:spacing w:before="100" w:after="40"/>
      </w:pPr>
      <w:r>
        <w:t>TABLA I. RESUMEN DE HISTORIAS DE USUARIO</w:t>
      </w:r>
    </w:p>
    <w:tbl>
      <w:tblPr>
        <w:tblStyle w:val="TableGrid"/>
        <w:tblW w:type="dxa" w:w="4800"/>
        <w:jc w:val="left"/>
        <w:tblLayout w:type="fixed"/>
        <w:tblLook w:firstColumn="1" w:firstRow="1" w:lastColumn="0" w:lastRow="0" w:noHBand="0" w:noVBand="1" w:val="04A0"/>
        <w:tblInd w:w="90" w:type="dxa"/>
      </w:tblPr>
      <w:tblGrid>
        <w:gridCol w:w="620"/>
        <w:gridCol w:w="1940"/>
        <w:gridCol w:w="2240"/>
      </w:tblGrid>
      <w:tr>
        <w:trPr>
          <w:tblHeader w:val="true"/>
        </w:trPr>
        <w:tc>
          <w:tcPr>
            <w:tcW w:type="dxa" w:w="620"/>
            <w:shd w:fill="17324D"/>
            <w:tcMar>
              <w:top w:w="65" w:type="dxa"/>
              <w:bottom w:w="65" w:type="dxa"/>
              <w:start w:w="90" w:type="dxa"/>
              <w:end w:w="90" w:type="dxa"/>
            </w:tcMar>
            <w:vAlign w:val="center"/>
          </w:tcPr>
          <w:p>
            <w:pPr>
              <w:spacing w:after="0"/>
              <w:jc w:val="center"/>
            </w:pPr>
            <w:r>
              <w:rPr>
                <w:rFonts w:ascii="Times New Roman" w:hAnsi="Times New Roman"/>
                <w:b/>
                <w:color w:val="FFFFFF"/>
                <w:sz w:val="14"/>
              </w:rPr>
              <w:t>HU</w:t>
            </w:r>
          </w:p>
        </w:tc>
        <w:tc>
          <w:tcPr>
            <w:tcW w:type="dxa" w:w="1940"/>
            <w:shd w:fill="17324D"/>
            <w:tcMar>
              <w:top w:w="65" w:type="dxa"/>
              <w:bottom w:w="65" w:type="dxa"/>
              <w:start w:w="90" w:type="dxa"/>
              <w:end w:w="90" w:type="dxa"/>
            </w:tcMar>
            <w:vAlign w:val="center"/>
          </w:tcPr>
          <w:p>
            <w:pPr>
              <w:spacing w:after="0"/>
              <w:jc w:val="center"/>
            </w:pPr>
            <w:r>
              <w:rPr>
                <w:rFonts w:ascii="Times New Roman" w:hAnsi="Times New Roman"/>
                <w:b/>
                <w:color w:val="FFFFFF"/>
                <w:sz w:val="14"/>
              </w:rPr>
              <w:t>Necesidad principal</w:t>
            </w:r>
          </w:p>
        </w:tc>
        <w:tc>
          <w:tcPr>
            <w:tcW w:type="dxa" w:w="2240"/>
            <w:shd w:fill="17324D"/>
            <w:tcMar>
              <w:top w:w="65" w:type="dxa"/>
              <w:bottom w:w="65" w:type="dxa"/>
              <w:start w:w="90" w:type="dxa"/>
              <w:end w:w="90" w:type="dxa"/>
            </w:tcMar>
            <w:vAlign w:val="center"/>
          </w:tcPr>
          <w:p>
            <w:pPr>
              <w:spacing w:after="0"/>
              <w:jc w:val="center"/>
            </w:pPr>
            <w:r>
              <w:rPr>
                <w:rFonts w:ascii="Times New Roman" w:hAnsi="Times New Roman"/>
                <w:b/>
                <w:color w:val="FFFFFF"/>
                <w:sz w:val="14"/>
              </w:rPr>
              <w:t>Respuesta implementada</w:t>
            </w:r>
          </w:p>
        </w:tc>
      </w:tr>
      <w:tr>
        <w:tc>
          <w:tcPr>
            <w:tcW w:type="dxa" w:w="620"/>
            <w:tcMar>
              <w:top w:w="65" w:type="dxa"/>
              <w:bottom w:w="65" w:type="dxa"/>
              <w:start w:w="90" w:type="dxa"/>
              <w:end w:w="90" w:type="dxa"/>
            </w:tcMar>
            <w:vAlign w:val="center"/>
          </w:tcPr>
          <w:p>
            <w:pPr>
              <w:spacing w:after="0" w:line="240" w:lineRule="auto"/>
              <w:jc w:val="center"/>
            </w:pPr>
            <w:r>
              <w:rPr>
                <w:rFonts w:ascii="Times New Roman" w:hAnsi="Times New Roman"/>
                <w:sz w:val="14"/>
              </w:rPr>
              <w:t>01-05</w:t>
            </w:r>
          </w:p>
        </w:tc>
        <w:tc>
          <w:tcPr>
            <w:tcW w:type="dxa" w:w="1940"/>
            <w:tcMar>
              <w:top w:w="65" w:type="dxa"/>
              <w:bottom w:w="65" w:type="dxa"/>
              <w:start w:w="90" w:type="dxa"/>
              <w:end w:w="90" w:type="dxa"/>
            </w:tcMar>
            <w:vAlign w:val="center"/>
          </w:tcPr>
          <w:p>
            <w:pPr>
              <w:spacing w:after="0" w:line="240" w:lineRule="auto"/>
              <w:jc w:val="left"/>
            </w:pPr>
            <w:r>
              <w:rPr>
                <w:rFonts w:ascii="Times New Roman" w:hAnsi="Times New Roman"/>
                <w:sz w:val="14"/>
              </w:rPr>
              <w:t>Configurar y adaptar el modelo</w:t>
            </w:r>
          </w:p>
        </w:tc>
        <w:tc>
          <w:tcPr>
            <w:tcW w:type="dxa" w:w="2240"/>
            <w:tcMar>
              <w:top w:w="65" w:type="dxa"/>
              <w:bottom w:w="65" w:type="dxa"/>
              <w:start w:w="90" w:type="dxa"/>
              <w:end w:w="90" w:type="dxa"/>
            </w:tcMar>
            <w:vAlign w:val="center"/>
          </w:tcPr>
          <w:p>
            <w:pPr>
              <w:spacing w:after="0" w:line="240" w:lineRule="auto"/>
              <w:jc w:val="center"/>
            </w:pPr>
            <w:r>
              <w:rPr>
                <w:rFonts w:ascii="Times New Roman" w:hAnsi="Times New Roman"/>
                <w:sz w:val="14"/>
              </w:rPr>
              <w:t>Método, objetivo, coeficientes y restricciones dinámicas</w:t>
            </w:r>
          </w:p>
        </w:tc>
      </w:tr>
      <w:tr>
        <w:tc>
          <w:tcPr>
            <w:tcW w:type="dxa" w:w="620"/>
            <w:shd w:fill="F4F5F6"/>
            <w:tcMar>
              <w:top w:w="65" w:type="dxa"/>
              <w:bottom w:w="65" w:type="dxa"/>
              <w:start w:w="90" w:type="dxa"/>
              <w:end w:w="90" w:type="dxa"/>
            </w:tcMar>
            <w:vAlign w:val="center"/>
          </w:tcPr>
          <w:p>
            <w:pPr>
              <w:spacing w:after="0" w:line="240" w:lineRule="auto"/>
              <w:jc w:val="center"/>
            </w:pPr>
            <w:r>
              <w:rPr>
                <w:rFonts w:ascii="Times New Roman" w:hAnsi="Times New Roman"/>
                <w:sz w:val="14"/>
              </w:rPr>
              <w:t>06-07</w:t>
            </w:r>
          </w:p>
        </w:tc>
        <w:tc>
          <w:tcPr>
            <w:tcW w:type="dxa" w:w="1940"/>
            <w:shd w:fill="F4F5F6"/>
            <w:tcMar>
              <w:top w:w="65" w:type="dxa"/>
              <w:bottom w:w="65" w:type="dxa"/>
              <w:start w:w="90" w:type="dxa"/>
              <w:end w:w="90" w:type="dxa"/>
            </w:tcMar>
            <w:vAlign w:val="center"/>
          </w:tcPr>
          <w:p>
            <w:pPr>
              <w:spacing w:after="0" w:line="240" w:lineRule="auto"/>
              <w:jc w:val="left"/>
            </w:pPr>
            <w:r>
              <w:rPr>
                <w:rFonts w:ascii="Times New Roman" w:hAnsi="Times New Roman"/>
                <w:sz w:val="14"/>
              </w:rPr>
              <w:t>Resolver por método gráfico</w:t>
            </w:r>
          </w:p>
        </w:tc>
        <w:tc>
          <w:tcPr>
            <w:tcW w:type="dxa" w:w="2240"/>
            <w:shd w:fill="F4F5F6"/>
            <w:tcMar>
              <w:top w:w="65" w:type="dxa"/>
              <w:bottom w:w="65" w:type="dxa"/>
              <w:start w:w="90" w:type="dxa"/>
              <w:end w:w="90" w:type="dxa"/>
            </w:tcMar>
            <w:vAlign w:val="center"/>
          </w:tcPr>
          <w:p>
            <w:pPr>
              <w:spacing w:after="0" w:line="240" w:lineRule="auto"/>
              <w:jc w:val="center"/>
            </w:pPr>
            <w:r>
              <w:rPr>
                <w:rFonts w:ascii="Times New Roman" w:hAnsi="Times New Roman"/>
                <w:sz w:val="14"/>
              </w:rPr>
              <w:t>Vértices, evaluaciones, región y óptimo</w:t>
            </w:r>
          </w:p>
        </w:tc>
      </w:tr>
      <w:tr>
        <w:tc>
          <w:tcPr>
            <w:tcW w:type="dxa" w:w="620"/>
            <w:tcMar>
              <w:top w:w="65" w:type="dxa"/>
              <w:bottom w:w="65" w:type="dxa"/>
              <w:start w:w="90" w:type="dxa"/>
              <w:end w:w="90" w:type="dxa"/>
            </w:tcMar>
            <w:vAlign w:val="center"/>
          </w:tcPr>
          <w:p>
            <w:pPr>
              <w:spacing w:after="0" w:line="240" w:lineRule="auto"/>
              <w:jc w:val="center"/>
            </w:pPr>
            <w:r>
              <w:rPr>
                <w:rFonts w:ascii="Times New Roman" w:hAnsi="Times New Roman"/>
                <w:sz w:val="14"/>
              </w:rPr>
              <w:t>08-10</w:t>
            </w:r>
          </w:p>
        </w:tc>
        <w:tc>
          <w:tcPr>
            <w:tcW w:type="dxa" w:w="1940"/>
            <w:tcMar>
              <w:top w:w="65" w:type="dxa"/>
              <w:bottom w:w="65" w:type="dxa"/>
              <w:start w:w="90" w:type="dxa"/>
              <w:end w:w="90" w:type="dxa"/>
            </w:tcMar>
            <w:vAlign w:val="center"/>
          </w:tcPr>
          <w:p>
            <w:pPr>
              <w:spacing w:after="0" w:line="240" w:lineRule="auto"/>
              <w:jc w:val="left"/>
            </w:pPr>
            <w:r>
              <w:rPr>
                <w:rFonts w:ascii="Times New Roman" w:hAnsi="Times New Roman"/>
                <w:sz w:val="14"/>
              </w:rPr>
              <w:t>Resolver Simplex y reiniciar</w:t>
            </w:r>
          </w:p>
        </w:tc>
        <w:tc>
          <w:tcPr>
            <w:tcW w:type="dxa" w:w="2240"/>
            <w:tcMar>
              <w:top w:w="65" w:type="dxa"/>
              <w:bottom w:w="65" w:type="dxa"/>
              <w:start w:w="90" w:type="dxa"/>
              <w:end w:w="90" w:type="dxa"/>
            </w:tcMar>
            <w:vAlign w:val="center"/>
          </w:tcPr>
          <w:p>
            <w:pPr>
              <w:spacing w:after="0" w:line="240" w:lineRule="auto"/>
              <w:jc w:val="center"/>
            </w:pPr>
            <w:r>
              <w:rPr>
                <w:rFonts w:ascii="Times New Roman" w:hAnsi="Times New Roman"/>
                <w:sz w:val="14"/>
              </w:rPr>
              <w:t>Tablas, pivotes, iteraciones y limpieza</w:t>
            </w:r>
          </w:p>
        </w:tc>
      </w:tr>
    </w:tbl>
    <w:p>
      <w:pPr>
        <w:spacing w:after="20"/>
      </w:pPr>
    </w:p>
    <w:p>
      <w:r>
        <w:t>El método gráfico acepta restricciones &lt;= y &gt;=, mientras que Simplex v1.0 se limita a maximización, restricciones &lt;= y valores b no negativos. Se excluyeron igualdades, variables artificiales, Gran M, dos fases y más de dos variables.</w:t>
      </w:r>
    </w:p>
    <w:p>
      <w:pPr>
        <w:pStyle w:val="Heading2"/>
      </w:pPr>
      <w:r>
        <w:t>B. Arquitectura</w:t>
      </w:r>
    </w:p>
    <w:p>
      <w:r>
        <w:t>Aunque la entrega conserva un único archivo Python, las responsabilidades se separaron en cuatro clases. ProblemaPL almacena el modelo; MetodoGrafico y MetodoSimplex ejecutan los algoritmos; AplicacionPL administra Tkinter y presenta la información. Esta separación evita que los cálculos dependan de los controles visuales.</w:t>
      </w:r>
    </w:p>
    <w:p>
      <w:pPr>
        <w:keepNext/>
        <w:spacing w:before="80" w:after="0"/>
        <w:jc w:val="center"/>
      </w:pPr>
      <w:r>
        <w:drawing>
          <wp:inline xmlns:a="http://schemas.openxmlformats.org/drawingml/2006/main" xmlns:pic="http://schemas.openxmlformats.org/drawingml/2006/picture">
            <wp:extent cx="2953512" cy="1603335"/>
            <wp:docPr id="1" name="Picture 1" descr="Diagrama de arquitectura con AplicacionPL, ProblemaPL, MetodoGrafico y MetodoSimplex." title="Fig. 1. Arquitectura lógica de la aplicación."/>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2953512" cy="1603335"/>
                    </a:xfrm>
                    <a:prstGeom prst="rect"/>
                  </pic:spPr>
                </pic:pic>
              </a:graphicData>
            </a:graphic>
          </wp:inline>
        </w:drawing>
      </w:r>
    </w:p>
    <w:p>
      <w:pPr>
        <w:pStyle w:val="Caption"/>
      </w:pPr>
      <w:r>
        <w:t>Fig. 1. Arquitectura lógica de la aplicación.</w:t>
      </w:r>
    </w:p>
    <w:p>
      <w:pPr>
        <w:pStyle w:val="Heading2"/>
      </w:pPr>
      <w:r>
        <w:t>C. Flujo de resolución</w:t>
      </w:r>
    </w:p>
    <w:p>
      <w:r>
        <w:t>La interfaz convierte el formulario en un objeto de problema, comprueba las condiciones del método seleccionado y delega el cálculo. Ambos algoritmos devuelven estructuras de datos que la interfaz transforma en texto, tablas o gráfica.</w:t>
      </w:r>
    </w:p>
    <w:p>
      <w:pPr>
        <w:keepNext/>
        <w:spacing w:before="80" w:after="0"/>
        <w:jc w:val="center"/>
      </w:pPr>
      <w:r>
        <w:drawing>
          <wp:inline xmlns:a="http://schemas.openxmlformats.org/drawingml/2006/main" xmlns:pic="http://schemas.openxmlformats.org/drawingml/2006/picture">
            <wp:extent cx="2953512" cy="1772107"/>
            <wp:docPr id="2" name="Picture 2" descr="Diagrama del flujo desde la entrada y validación hasta el método gráfico o Simplex." title="Fig. 2. Flujo común y ramas de los métodos."/>
            <wp:cNvGraphicFramePr>
              <a:graphicFrameLocks noChangeAspect="1"/>
            </wp:cNvGraphicFramePr>
            <a:graphic>
              <a:graphicData uri="http://schemas.openxmlformats.org/drawingml/2006/picture">
                <pic:pic>
                  <pic:nvPicPr>
                    <pic:cNvPr id="0" name="flujo_resolucion.png"/>
                    <pic:cNvPicPr/>
                  </pic:nvPicPr>
                  <pic:blipFill>
                    <a:blip r:embed="rId12"/>
                    <a:stretch>
                      <a:fillRect/>
                    </a:stretch>
                  </pic:blipFill>
                  <pic:spPr>
                    <a:xfrm>
                      <a:off x="0" y="0"/>
                      <a:ext cx="2953512" cy="1772107"/>
                    </a:xfrm>
                    <a:prstGeom prst="rect"/>
                  </pic:spPr>
                </pic:pic>
              </a:graphicData>
            </a:graphic>
          </wp:inline>
        </w:drawing>
      </w:r>
    </w:p>
    <w:p>
      <w:pPr>
        <w:pStyle w:val="Caption"/>
      </w:pPr>
      <w:r>
        <w:t>Fig. 2. Flujo común y ramas de los métodos.</w:t>
      </w:r>
    </w:p>
    <w:p>
      <w:pPr>
        <w:pStyle w:val="Heading1"/>
      </w:pPr>
      <w:r>
        <w:t>IV. IMPLEMENTACIÓN</w:t>
      </w:r>
    </w:p>
    <w:p>
      <w:pPr>
        <w:pStyle w:val="Heading2"/>
      </w:pPr>
      <w:r>
        <w:t>A. Tecnologías y estructura</w:t>
      </w:r>
    </w:p>
    <w:p>
      <w:r>
        <w:t>La aplicación se desarrolló en Python. Tkinter y ttk suministran la ventana, los campos, las listas desplegables y los paneles; la documentación oficial describe Tkinter como la interfaz de Python para Tcl/Tk [4]. Matplotlib se incrusta mediante FigureCanvasTkAgg, siguiendo el mecanismo oficial para integrar figuras en Tk [5]. No se utilizó SciPy como motor de optimización.</w:t>
      </w:r>
    </w:p>
    <w:p>
      <w:r>
        <w:t>El desarrollo avanzó por versiones verificables: v0.1 definió alcance y diseño; v0.2 construyó la interfaz y la captura del modelo; v0.3 completó el método gráfico; v0.4 implementó Simplex; y v0.5 integró ambos métodos y las pruebas manuales.</w:t>
      </w:r>
    </w:p>
    <w:p>
      <w:pPr>
        <w:pStyle w:val="Heading2"/>
      </w:pPr>
      <w:r>
        <w:t>B. Método gráfico implementado</w:t>
      </w:r>
    </w:p>
    <w:p>
      <w:r>
        <w:t>Las fronteras se procesan de dos en dos mediante determinantes. También se calculan los cortes con X1 y X2 y se agrega el origen como candidato. Cada punto se compara con todas las desigualdades usando una tolerancia numérica; solo los puntos no negativos y factibles permanecen como vértices. Finalmente se evalúa Z y se selecciona el extremo solicitado.</w:t>
      </w:r>
    </w:p>
    <w:p>
      <w:r>
        <w:t>Para dibujar la región, los vértices se ordenan por el ángulo respecto de su centro. La figura presenta las rectas, el polígono factible, los vértices numerados y una estrella roja en la solución óptima.</w:t>
      </w:r>
    </w:p>
    <w:p>
      <w:pPr>
        <w:pStyle w:val="Heading2"/>
      </w:pPr>
      <w:r>
        <w:t>C. Simplex implementado</w:t>
      </w:r>
    </w:p>
    <w:p>
      <w:r>
        <w:t>La tabla inicial contiene las columnas X1, X2, una holgura por restricción y CR. Las variables de holgura forman la base inicial. Cada iteración conserva una copia de la tabla, la variable entrante, las razones, la variable saliente y el elemento pivote, de modo que el usuario puede reconstruir el procedimiento mostrado.</w:t>
      </w:r>
    </w:p>
    <w:p>
      <w:r>
        <w:t>La solución se lee desde la columna CR: una variable de decisión vale el resultado de su fila cuando pertenece a la base y vale cero en caso contrario. El valor de Z se toma de la última fila. Los errores pequeños de punto flotante se normalizan para presentar enteros cuando corresponde.</w:t>
      </w:r>
    </w:p>
    <w:p>
      <w:pPr>
        <w:pStyle w:val="Heading2"/>
      </w:pPr>
      <w:r>
        <w:t>D. Interfaz integrada</w:t>
      </w:r>
    </w:p>
    <w:p>
      <w:r>
        <w:t>El formulario inicia con dos restricciones y permite agregar o retirar filas. Cuando se selecciona Simplex, el objetivo se fija en maximizar y los operadores se bloquean en &lt;=. Al modificar cualquier dato se descarta el resultado anterior, lo que evita presentar una solución que ya no corresponde con el modelo visible.</w:t>
      </w:r>
    </w:p>
    <w:p>
      <w:pPr>
        <w:keepNext/>
        <w:spacing w:before="80" w:after="0"/>
        <w:jc w:val="center"/>
      </w:pPr>
      <w:r>
        <w:drawing>
          <wp:inline xmlns:a="http://schemas.openxmlformats.org/drawingml/2006/main" xmlns:pic="http://schemas.openxmlformats.org/drawingml/2006/picture">
            <wp:extent cx="2331720" cy="2908878"/>
            <wp:docPr id="3" name="Picture 3" descr="Captura del panel de configuración, función objetivo y restricciones dinámicas." title="Fig. 3. Panel para configurar el modelo."/>
            <wp:cNvGraphicFramePr>
              <a:graphicFrameLocks noChangeAspect="1"/>
            </wp:cNvGraphicFramePr>
            <a:graphic>
              <a:graphicData uri="http://schemas.openxmlformats.org/drawingml/2006/picture">
                <pic:pic>
                  <pic:nvPicPr>
                    <pic:cNvPr id="0" name="panel_entrada.png"/>
                    <pic:cNvPicPr/>
                  </pic:nvPicPr>
                  <pic:blipFill>
                    <a:blip r:embed="rId13"/>
                    <a:stretch>
                      <a:fillRect/>
                    </a:stretch>
                  </pic:blipFill>
                  <pic:spPr>
                    <a:xfrm>
                      <a:off x="0" y="0"/>
                      <a:ext cx="2331720" cy="2908878"/>
                    </a:xfrm>
                    <a:prstGeom prst="rect"/>
                  </pic:spPr>
                </pic:pic>
              </a:graphicData>
            </a:graphic>
          </wp:inline>
        </w:drawing>
      </w:r>
    </w:p>
    <w:p>
      <w:pPr>
        <w:pStyle w:val="Caption"/>
      </w:pPr>
      <w:r>
        <w:t>Fig. 3. Panel para configurar el modelo.</w:t>
      </w:r>
    </w:p>
    <w:p>
      <w:pPr>
        <w:pStyle w:val="Heading1"/>
      </w:pPr>
      <w:r>
        <w:t>V. RESULTADOS</w:t>
      </w:r>
    </w:p>
    <w:p>
      <w:r>
        <w:t>La versión v0.5 se ejecutó desde la interfaz con siete modelos conocidos. Los valores se compararon con la solución manual usando una tolerancia de 0.000001. Las cuatro pruebas gráficas y las tres pruebas Simplex coincidieron.</w:t>
      </w:r>
    </w:p>
    <w:p>
      <w:pPr>
        <w:pStyle w:val="Heading2"/>
      </w:pPr>
      <w:r>
        <w:t>A. Pruebas del método gráfico</w:t>
      </w:r>
    </w:p>
    <w:p>
      <w:pPr>
        <w:pStyle w:val="Caption"/>
        <w:keepNext/>
        <w:spacing w:before="100" w:after="40"/>
      </w:pPr>
      <w:r>
        <w:t>TABLA II. RESULTADOS DEL MÉTODO GRÁFICO</w:t>
      </w:r>
    </w:p>
    <w:tbl>
      <w:tblPr>
        <w:tblStyle w:val="TableGrid"/>
        <w:tblW w:type="dxa" w:w="4800"/>
        <w:jc w:val="left"/>
        <w:tblLayout w:type="fixed"/>
        <w:tblLook w:firstColumn="1" w:firstRow="1" w:lastColumn="0" w:lastRow="0" w:noHBand="0" w:noVBand="1" w:val="04A0"/>
        <w:tblInd w:w="90" w:type="dxa"/>
      </w:tblPr>
      <w:tblGrid>
        <w:gridCol w:w="620"/>
        <w:gridCol w:w="760"/>
        <w:gridCol w:w="1710"/>
        <w:gridCol w:w="1710"/>
      </w:tblGrid>
      <w:tr>
        <w:trPr>
          <w:tblHeader w:val="true"/>
        </w:trPr>
        <w:tc>
          <w:tcPr>
            <w:tcW w:type="dxa" w:w="620"/>
            <w:shd w:fill="17324D"/>
            <w:tcMar>
              <w:top w:w="65" w:type="dxa"/>
              <w:bottom w:w="65" w:type="dxa"/>
              <w:start w:w="90" w:type="dxa"/>
              <w:end w:w="90" w:type="dxa"/>
            </w:tcMar>
            <w:vAlign w:val="center"/>
          </w:tcPr>
          <w:p>
            <w:pPr>
              <w:spacing w:after="0"/>
              <w:jc w:val="center"/>
            </w:pPr>
            <w:r>
              <w:rPr>
                <w:rFonts w:ascii="Times New Roman" w:hAnsi="Times New Roman"/>
                <w:b/>
                <w:color w:val="FFFFFF"/>
                <w:sz w:val="14"/>
              </w:rPr>
              <w:t>Caso</w:t>
            </w:r>
          </w:p>
        </w:tc>
        <w:tc>
          <w:tcPr>
            <w:tcW w:type="dxa" w:w="760"/>
            <w:shd w:fill="17324D"/>
            <w:tcMar>
              <w:top w:w="65" w:type="dxa"/>
              <w:bottom w:w="65" w:type="dxa"/>
              <w:start w:w="90" w:type="dxa"/>
              <w:end w:w="90" w:type="dxa"/>
            </w:tcMar>
            <w:vAlign w:val="center"/>
          </w:tcPr>
          <w:p>
            <w:pPr>
              <w:spacing w:after="0"/>
              <w:jc w:val="center"/>
            </w:pPr>
            <w:r>
              <w:rPr>
                <w:rFonts w:ascii="Times New Roman" w:hAnsi="Times New Roman"/>
                <w:b/>
                <w:color w:val="FFFFFF"/>
                <w:sz w:val="14"/>
              </w:rPr>
              <w:t>Objetivo</w:t>
            </w:r>
          </w:p>
        </w:tc>
        <w:tc>
          <w:tcPr>
            <w:tcW w:type="dxa" w:w="1710"/>
            <w:shd w:fill="17324D"/>
            <w:tcMar>
              <w:top w:w="65" w:type="dxa"/>
              <w:bottom w:w="65" w:type="dxa"/>
              <w:start w:w="90" w:type="dxa"/>
              <w:end w:w="90" w:type="dxa"/>
            </w:tcMar>
            <w:vAlign w:val="center"/>
          </w:tcPr>
          <w:p>
            <w:pPr>
              <w:spacing w:after="0"/>
              <w:jc w:val="center"/>
            </w:pPr>
            <w:r>
              <w:rPr>
                <w:rFonts w:ascii="Times New Roman" w:hAnsi="Times New Roman"/>
                <w:b/>
                <w:color w:val="FFFFFF"/>
                <w:sz w:val="14"/>
              </w:rPr>
              <w:t>Manual</w:t>
            </w:r>
          </w:p>
        </w:tc>
        <w:tc>
          <w:tcPr>
            <w:tcW w:type="dxa" w:w="1710"/>
            <w:shd w:fill="17324D"/>
            <w:tcMar>
              <w:top w:w="65" w:type="dxa"/>
              <w:bottom w:w="65" w:type="dxa"/>
              <w:start w:w="90" w:type="dxa"/>
              <w:end w:w="90" w:type="dxa"/>
            </w:tcMar>
            <w:vAlign w:val="center"/>
          </w:tcPr>
          <w:p>
            <w:pPr>
              <w:spacing w:after="0"/>
              <w:jc w:val="center"/>
            </w:pPr>
            <w:r>
              <w:rPr>
                <w:rFonts w:ascii="Times New Roman" w:hAnsi="Times New Roman"/>
                <w:b/>
                <w:color w:val="FFFFFF"/>
                <w:sz w:val="14"/>
              </w:rPr>
              <w:t>Programa</w:t>
            </w:r>
          </w:p>
        </w:tc>
      </w:tr>
      <w:tr>
        <w:tc>
          <w:tcPr>
            <w:tcW w:type="dxa" w:w="620"/>
            <w:tcMar>
              <w:top w:w="65" w:type="dxa"/>
              <w:bottom w:w="65" w:type="dxa"/>
              <w:start w:w="90" w:type="dxa"/>
              <w:end w:w="90" w:type="dxa"/>
            </w:tcMar>
            <w:vAlign w:val="center"/>
          </w:tcPr>
          <w:p>
            <w:pPr>
              <w:spacing w:after="0" w:line="240" w:lineRule="auto"/>
              <w:jc w:val="center"/>
            </w:pPr>
            <w:r>
              <w:rPr>
                <w:rFonts w:ascii="Times New Roman" w:hAnsi="Times New Roman"/>
                <w:sz w:val="14"/>
              </w:rPr>
              <w:t>G-01</w:t>
            </w:r>
          </w:p>
        </w:tc>
        <w:tc>
          <w:tcPr>
            <w:tcW w:type="dxa" w:w="760"/>
            <w:tcMar>
              <w:top w:w="65" w:type="dxa"/>
              <w:bottom w:w="65" w:type="dxa"/>
              <w:start w:w="90" w:type="dxa"/>
              <w:end w:w="90" w:type="dxa"/>
            </w:tcMar>
            <w:vAlign w:val="center"/>
          </w:tcPr>
          <w:p>
            <w:pPr>
              <w:spacing w:after="0" w:line="240" w:lineRule="auto"/>
              <w:jc w:val="center"/>
            </w:pPr>
            <w:r>
              <w:rPr>
                <w:rFonts w:ascii="Times New Roman" w:hAnsi="Times New Roman"/>
                <w:sz w:val="14"/>
              </w:rPr>
              <w:t>Máx.</w:t>
            </w:r>
          </w:p>
        </w:tc>
        <w:tc>
          <w:tcPr>
            <w:tcW w:type="dxa" w:w="1710"/>
            <w:tcMar>
              <w:top w:w="65" w:type="dxa"/>
              <w:bottom w:w="65" w:type="dxa"/>
              <w:start w:w="90" w:type="dxa"/>
              <w:end w:w="90" w:type="dxa"/>
            </w:tcMar>
            <w:vAlign w:val="center"/>
          </w:tcPr>
          <w:p>
            <w:pPr>
              <w:spacing w:after="0" w:line="240" w:lineRule="auto"/>
              <w:jc w:val="center"/>
            </w:pPr>
            <w:r>
              <w:rPr>
                <w:rFonts w:ascii="Times New Roman" w:hAnsi="Times New Roman"/>
                <w:sz w:val="14"/>
              </w:rPr>
              <w:t>(30,40); 2900</w:t>
            </w:r>
          </w:p>
        </w:tc>
        <w:tc>
          <w:tcPr>
            <w:tcW w:type="dxa" w:w="1710"/>
            <w:tcMar>
              <w:top w:w="65" w:type="dxa"/>
              <w:bottom w:w="65" w:type="dxa"/>
              <w:start w:w="90" w:type="dxa"/>
              <w:end w:w="90" w:type="dxa"/>
            </w:tcMar>
            <w:vAlign w:val="center"/>
          </w:tcPr>
          <w:p>
            <w:pPr>
              <w:spacing w:after="0" w:line="240" w:lineRule="auto"/>
              <w:jc w:val="center"/>
            </w:pPr>
            <w:r>
              <w:rPr>
                <w:rFonts w:ascii="Times New Roman" w:hAnsi="Times New Roman"/>
                <w:sz w:val="14"/>
              </w:rPr>
              <w:t>(30,40); 2900</w:t>
            </w:r>
          </w:p>
        </w:tc>
      </w:tr>
      <w:tr>
        <w:tc>
          <w:tcPr>
            <w:tcW w:type="dxa" w:w="620"/>
            <w:shd w:fill="F4F5F6"/>
            <w:tcMar>
              <w:top w:w="65" w:type="dxa"/>
              <w:bottom w:w="65" w:type="dxa"/>
              <w:start w:w="90" w:type="dxa"/>
              <w:end w:w="90" w:type="dxa"/>
            </w:tcMar>
            <w:vAlign w:val="center"/>
          </w:tcPr>
          <w:p>
            <w:pPr>
              <w:spacing w:after="0" w:line="240" w:lineRule="auto"/>
              <w:jc w:val="center"/>
            </w:pPr>
            <w:r>
              <w:rPr>
                <w:rFonts w:ascii="Times New Roman" w:hAnsi="Times New Roman"/>
                <w:sz w:val="14"/>
              </w:rPr>
              <w:t>G-02</w:t>
            </w:r>
          </w:p>
        </w:tc>
        <w:tc>
          <w:tcPr>
            <w:tcW w:type="dxa" w:w="760"/>
            <w:shd w:fill="F4F5F6"/>
            <w:tcMar>
              <w:top w:w="65" w:type="dxa"/>
              <w:bottom w:w="65" w:type="dxa"/>
              <w:start w:w="90" w:type="dxa"/>
              <w:end w:w="90" w:type="dxa"/>
            </w:tcMar>
            <w:vAlign w:val="center"/>
          </w:tcPr>
          <w:p>
            <w:pPr>
              <w:spacing w:after="0" w:line="240" w:lineRule="auto"/>
              <w:jc w:val="center"/>
            </w:pPr>
            <w:r>
              <w:rPr>
                <w:rFonts w:ascii="Times New Roman" w:hAnsi="Times New Roman"/>
                <w:sz w:val="14"/>
              </w:rPr>
              <w:t>Máx.</w:t>
            </w:r>
          </w:p>
        </w:tc>
        <w:tc>
          <w:tcPr>
            <w:tcW w:type="dxa" w:w="1710"/>
            <w:shd w:fill="F4F5F6"/>
            <w:tcMar>
              <w:top w:w="65" w:type="dxa"/>
              <w:bottom w:w="65" w:type="dxa"/>
              <w:start w:w="90" w:type="dxa"/>
              <w:end w:w="90" w:type="dxa"/>
            </w:tcMar>
            <w:vAlign w:val="center"/>
          </w:tcPr>
          <w:p>
            <w:pPr>
              <w:spacing w:after="0" w:line="240" w:lineRule="auto"/>
              <w:jc w:val="center"/>
            </w:pPr>
            <w:r>
              <w:rPr>
                <w:rFonts w:ascii="Times New Roman" w:hAnsi="Times New Roman"/>
                <w:sz w:val="14"/>
              </w:rPr>
              <w:t>(50,50); 4000</w:t>
            </w:r>
          </w:p>
        </w:tc>
        <w:tc>
          <w:tcPr>
            <w:tcW w:type="dxa" w:w="1710"/>
            <w:shd w:fill="F4F5F6"/>
            <w:tcMar>
              <w:top w:w="65" w:type="dxa"/>
              <w:bottom w:w="65" w:type="dxa"/>
              <w:start w:w="90" w:type="dxa"/>
              <w:end w:w="90" w:type="dxa"/>
            </w:tcMar>
            <w:vAlign w:val="center"/>
          </w:tcPr>
          <w:p>
            <w:pPr>
              <w:spacing w:after="0" w:line="240" w:lineRule="auto"/>
              <w:jc w:val="center"/>
            </w:pPr>
            <w:r>
              <w:rPr>
                <w:rFonts w:ascii="Times New Roman" w:hAnsi="Times New Roman"/>
                <w:sz w:val="14"/>
              </w:rPr>
              <w:t>(50,50); 4000</w:t>
            </w:r>
          </w:p>
        </w:tc>
      </w:tr>
      <w:tr>
        <w:tc>
          <w:tcPr>
            <w:tcW w:type="dxa" w:w="620"/>
            <w:tcMar>
              <w:top w:w="65" w:type="dxa"/>
              <w:bottom w:w="65" w:type="dxa"/>
              <w:start w:w="90" w:type="dxa"/>
              <w:end w:w="90" w:type="dxa"/>
            </w:tcMar>
            <w:vAlign w:val="center"/>
          </w:tcPr>
          <w:p>
            <w:pPr>
              <w:spacing w:after="0" w:line="240" w:lineRule="auto"/>
              <w:jc w:val="center"/>
            </w:pPr>
            <w:r>
              <w:rPr>
                <w:rFonts w:ascii="Times New Roman" w:hAnsi="Times New Roman"/>
                <w:sz w:val="14"/>
              </w:rPr>
              <w:t>G-03</w:t>
            </w:r>
          </w:p>
        </w:tc>
        <w:tc>
          <w:tcPr>
            <w:tcW w:type="dxa" w:w="760"/>
            <w:tcMar>
              <w:top w:w="65" w:type="dxa"/>
              <w:bottom w:w="65" w:type="dxa"/>
              <w:start w:w="90" w:type="dxa"/>
              <w:end w:w="90" w:type="dxa"/>
            </w:tcMar>
            <w:vAlign w:val="center"/>
          </w:tcPr>
          <w:p>
            <w:pPr>
              <w:spacing w:after="0" w:line="240" w:lineRule="auto"/>
              <w:jc w:val="center"/>
            </w:pPr>
            <w:r>
              <w:rPr>
                <w:rFonts w:ascii="Times New Roman" w:hAnsi="Times New Roman"/>
                <w:sz w:val="14"/>
              </w:rPr>
              <w:t>Mín.</w:t>
            </w:r>
          </w:p>
        </w:tc>
        <w:tc>
          <w:tcPr>
            <w:tcW w:type="dxa" w:w="1710"/>
            <w:tcMar>
              <w:top w:w="65" w:type="dxa"/>
              <w:bottom w:w="65" w:type="dxa"/>
              <w:start w:w="90" w:type="dxa"/>
              <w:end w:w="90" w:type="dxa"/>
            </w:tcMar>
            <w:vAlign w:val="center"/>
          </w:tcPr>
          <w:p>
            <w:pPr>
              <w:spacing w:after="0" w:line="240" w:lineRule="auto"/>
              <w:jc w:val="center"/>
            </w:pPr>
            <w:r>
              <w:rPr>
                <w:rFonts w:ascii="Times New Roman" w:hAnsi="Times New Roman"/>
                <w:sz w:val="14"/>
              </w:rPr>
              <w:t>(4,0); 8</w:t>
            </w:r>
          </w:p>
        </w:tc>
        <w:tc>
          <w:tcPr>
            <w:tcW w:type="dxa" w:w="1710"/>
            <w:tcMar>
              <w:top w:w="65" w:type="dxa"/>
              <w:bottom w:w="65" w:type="dxa"/>
              <w:start w:w="90" w:type="dxa"/>
              <w:end w:w="90" w:type="dxa"/>
            </w:tcMar>
            <w:vAlign w:val="center"/>
          </w:tcPr>
          <w:p>
            <w:pPr>
              <w:spacing w:after="0" w:line="240" w:lineRule="auto"/>
              <w:jc w:val="center"/>
            </w:pPr>
            <w:r>
              <w:rPr>
                <w:rFonts w:ascii="Times New Roman" w:hAnsi="Times New Roman"/>
                <w:sz w:val="14"/>
              </w:rPr>
              <w:t>(4,0); 8</w:t>
            </w:r>
          </w:p>
        </w:tc>
      </w:tr>
      <w:tr>
        <w:tc>
          <w:tcPr>
            <w:tcW w:type="dxa" w:w="620"/>
            <w:shd w:fill="F4F5F6"/>
            <w:tcMar>
              <w:top w:w="65" w:type="dxa"/>
              <w:bottom w:w="65" w:type="dxa"/>
              <w:start w:w="90" w:type="dxa"/>
              <w:end w:w="90" w:type="dxa"/>
            </w:tcMar>
            <w:vAlign w:val="center"/>
          </w:tcPr>
          <w:p>
            <w:pPr>
              <w:spacing w:after="0" w:line="240" w:lineRule="auto"/>
              <w:jc w:val="center"/>
            </w:pPr>
            <w:r>
              <w:rPr>
                <w:rFonts w:ascii="Times New Roman" w:hAnsi="Times New Roman"/>
                <w:sz w:val="14"/>
              </w:rPr>
              <w:t>G-04</w:t>
            </w:r>
          </w:p>
        </w:tc>
        <w:tc>
          <w:tcPr>
            <w:tcW w:type="dxa" w:w="760"/>
            <w:shd w:fill="F4F5F6"/>
            <w:tcMar>
              <w:top w:w="65" w:type="dxa"/>
              <w:bottom w:w="65" w:type="dxa"/>
              <w:start w:w="90" w:type="dxa"/>
              <w:end w:w="90" w:type="dxa"/>
            </w:tcMar>
            <w:vAlign w:val="center"/>
          </w:tcPr>
          <w:p>
            <w:pPr>
              <w:spacing w:after="0" w:line="240" w:lineRule="auto"/>
              <w:jc w:val="center"/>
            </w:pPr>
            <w:r>
              <w:rPr>
                <w:rFonts w:ascii="Times New Roman" w:hAnsi="Times New Roman"/>
                <w:sz w:val="14"/>
              </w:rPr>
              <w:t>Mín.</w:t>
            </w:r>
          </w:p>
        </w:tc>
        <w:tc>
          <w:tcPr>
            <w:tcW w:type="dxa" w:w="1710"/>
            <w:shd w:fill="F4F5F6"/>
            <w:tcMar>
              <w:top w:w="65" w:type="dxa"/>
              <w:bottom w:w="65" w:type="dxa"/>
              <w:start w:w="90" w:type="dxa"/>
              <w:end w:w="90" w:type="dxa"/>
            </w:tcMar>
            <w:vAlign w:val="center"/>
          </w:tcPr>
          <w:p>
            <w:pPr>
              <w:spacing w:after="0" w:line="240" w:lineRule="auto"/>
              <w:jc w:val="center"/>
            </w:pPr>
            <w:r>
              <w:rPr>
                <w:rFonts w:ascii="Times New Roman" w:hAnsi="Times New Roman"/>
                <w:sz w:val="14"/>
              </w:rPr>
              <w:t>(2,3); 5</w:t>
            </w:r>
          </w:p>
        </w:tc>
        <w:tc>
          <w:tcPr>
            <w:tcW w:type="dxa" w:w="1710"/>
            <w:shd w:fill="F4F5F6"/>
            <w:tcMar>
              <w:top w:w="65" w:type="dxa"/>
              <w:bottom w:w="65" w:type="dxa"/>
              <w:start w:w="90" w:type="dxa"/>
              <w:end w:w="90" w:type="dxa"/>
            </w:tcMar>
            <w:vAlign w:val="center"/>
          </w:tcPr>
          <w:p>
            <w:pPr>
              <w:spacing w:after="0" w:line="240" w:lineRule="auto"/>
              <w:jc w:val="center"/>
            </w:pPr>
            <w:r>
              <w:rPr>
                <w:rFonts w:ascii="Times New Roman" w:hAnsi="Times New Roman"/>
                <w:sz w:val="14"/>
              </w:rPr>
              <w:t>(2,3); 5</w:t>
            </w:r>
          </w:p>
        </w:tc>
      </w:tr>
    </w:tbl>
    <w:p>
      <w:pPr>
        <w:spacing w:after="20"/>
      </w:pPr>
    </w:p>
    <w:p>
      <w:r>
        <w:t>En G-01 se resolvió Max Z = 30X1 + 50X2 con X1 + 3X2 &lt;= 150 y X1 + X2 &lt;= 70. Se obtuvieron cuatro vértices factibles y el punto (30, 40), con Z = 2900, fue identificado como óptimo.</w:t>
      </w:r>
    </w:p>
    <w:p>
      <w:pPr>
        <w:keepNext/>
        <w:spacing w:before="80" w:after="0"/>
        <w:jc w:val="center"/>
      </w:pPr>
      <w:r>
        <w:drawing>
          <wp:inline xmlns:a="http://schemas.openxmlformats.org/drawingml/2006/main" xmlns:pic="http://schemas.openxmlformats.org/drawingml/2006/picture">
            <wp:extent cx="2971800" cy="1215551"/>
            <wp:docPr id="4" name="Picture 4" descr="Gráfica con dos restricciones, región factible, cuatro vértices y punto óptimo en 30,40." title="Fig. 4. Región factible y solución óptima del caso G-01."/>
            <wp:cNvGraphicFramePr>
              <a:graphicFrameLocks noChangeAspect="1"/>
            </wp:cNvGraphicFramePr>
            <a:graphic>
              <a:graphicData uri="http://schemas.openxmlformats.org/drawingml/2006/picture">
                <pic:pic>
                  <pic:nvPicPr>
                    <pic:cNvPr id="0" name="grafica_g01.png"/>
                    <pic:cNvPicPr/>
                  </pic:nvPicPr>
                  <pic:blipFill>
                    <a:blip r:embed="rId14"/>
                    <a:stretch>
                      <a:fillRect/>
                    </a:stretch>
                  </pic:blipFill>
                  <pic:spPr>
                    <a:xfrm>
                      <a:off x="0" y="0"/>
                      <a:ext cx="2971800" cy="1215551"/>
                    </a:xfrm>
                    <a:prstGeom prst="rect"/>
                  </pic:spPr>
                </pic:pic>
              </a:graphicData>
            </a:graphic>
          </wp:inline>
        </w:drawing>
      </w:r>
    </w:p>
    <w:p>
      <w:pPr>
        <w:pStyle w:val="Caption"/>
      </w:pPr>
      <w:r>
        <w:t>Fig. 4. Región factible y solución óptima del caso G-01.</w:t>
      </w:r>
    </w:p>
    <w:p>
      <w:pPr>
        <w:pStyle w:val="Heading2"/>
      </w:pPr>
      <w:r>
        <w:t>B. Pruebas del método Simplex</w:t>
      </w:r>
    </w:p>
    <w:p>
      <w:pPr>
        <w:pStyle w:val="Caption"/>
        <w:keepNext/>
        <w:spacing w:before="100" w:after="40"/>
      </w:pPr>
      <w:r>
        <w:t>TABLA III. RESULTADOS DEL MÉTODO SIMPLEX</w:t>
      </w:r>
    </w:p>
    <w:tbl>
      <w:tblPr>
        <w:tblStyle w:val="TableGrid"/>
        <w:tblW w:type="dxa" w:w="4800"/>
        <w:jc w:val="left"/>
        <w:tblLayout w:type="fixed"/>
        <w:tblLook w:firstColumn="1" w:firstRow="1" w:lastColumn="0" w:lastRow="0" w:noHBand="0" w:noVBand="1" w:val="04A0"/>
        <w:tblInd w:w="90" w:type="dxa"/>
      </w:tblPr>
      <w:tblGrid>
        <w:gridCol w:w="620"/>
        <w:gridCol w:w="650"/>
        <w:gridCol w:w="1765"/>
        <w:gridCol w:w="1765"/>
      </w:tblGrid>
      <w:tr>
        <w:trPr>
          <w:tblHeader w:val="true"/>
        </w:trPr>
        <w:tc>
          <w:tcPr>
            <w:tcW w:type="dxa" w:w="620"/>
            <w:shd w:fill="17324D"/>
            <w:tcMar>
              <w:top w:w="65" w:type="dxa"/>
              <w:bottom w:w="65" w:type="dxa"/>
              <w:start w:w="90" w:type="dxa"/>
              <w:end w:w="90" w:type="dxa"/>
            </w:tcMar>
            <w:vAlign w:val="center"/>
          </w:tcPr>
          <w:p>
            <w:pPr>
              <w:spacing w:after="0"/>
              <w:jc w:val="center"/>
            </w:pPr>
            <w:r>
              <w:rPr>
                <w:rFonts w:ascii="Times New Roman" w:hAnsi="Times New Roman"/>
                <w:b/>
                <w:color w:val="FFFFFF"/>
                <w:sz w:val="14"/>
              </w:rPr>
              <w:t>Caso</w:t>
            </w:r>
          </w:p>
        </w:tc>
        <w:tc>
          <w:tcPr>
            <w:tcW w:type="dxa" w:w="650"/>
            <w:shd w:fill="17324D"/>
            <w:tcMar>
              <w:top w:w="65" w:type="dxa"/>
              <w:bottom w:w="65" w:type="dxa"/>
              <w:start w:w="90" w:type="dxa"/>
              <w:end w:w="90" w:type="dxa"/>
            </w:tcMar>
            <w:vAlign w:val="center"/>
          </w:tcPr>
          <w:p>
            <w:pPr>
              <w:spacing w:after="0"/>
              <w:jc w:val="center"/>
            </w:pPr>
            <w:r>
              <w:rPr>
                <w:rFonts w:ascii="Times New Roman" w:hAnsi="Times New Roman"/>
                <w:b/>
                <w:color w:val="FFFFFF"/>
                <w:sz w:val="14"/>
              </w:rPr>
              <w:t>Iter.</w:t>
            </w:r>
          </w:p>
        </w:tc>
        <w:tc>
          <w:tcPr>
            <w:tcW w:type="dxa" w:w="1765"/>
            <w:shd w:fill="17324D"/>
            <w:tcMar>
              <w:top w:w="65" w:type="dxa"/>
              <w:bottom w:w="65" w:type="dxa"/>
              <w:start w:w="90" w:type="dxa"/>
              <w:end w:w="90" w:type="dxa"/>
            </w:tcMar>
            <w:vAlign w:val="center"/>
          </w:tcPr>
          <w:p>
            <w:pPr>
              <w:spacing w:after="0"/>
              <w:jc w:val="center"/>
            </w:pPr>
            <w:r>
              <w:rPr>
                <w:rFonts w:ascii="Times New Roman" w:hAnsi="Times New Roman"/>
                <w:b/>
                <w:color w:val="FFFFFF"/>
                <w:sz w:val="14"/>
              </w:rPr>
              <w:t>Manual</w:t>
            </w:r>
          </w:p>
        </w:tc>
        <w:tc>
          <w:tcPr>
            <w:tcW w:type="dxa" w:w="1765"/>
            <w:shd w:fill="17324D"/>
            <w:tcMar>
              <w:top w:w="65" w:type="dxa"/>
              <w:bottom w:w="65" w:type="dxa"/>
              <w:start w:w="90" w:type="dxa"/>
              <w:end w:w="90" w:type="dxa"/>
            </w:tcMar>
            <w:vAlign w:val="center"/>
          </w:tcPr>
          <w:p>
            <w:pPr>
              <w:spacing w:after="0"/>
              <w:jc w:val="center"/>
            </w:pPr>
            <w:r>
              <w:rPr>
                <w:rFonts w:ascii="Times New Roman" w:hAnsi="Times New Roman"/>
                <w:b/>
                <w:color w:val="FFFFFF"/>
                <w:sz w:val="14"/>
              </w:rPr>
              <w:t>Programa</w:t>
            </w:r>
          </w:p>
        </w:tc>
      </w:tr>
      <w:tr>
        <w:tc>
          <w:tcPr>
            <w:tcW w:type="dxa" w:w="620"/>
            <w:tcMar>
              <w:top w:w="65" w:type="dxa"/>
              <w:bottom w:w="65" w:type="dxa"/>
              <w:start w:w="90" w:type="dxa"/>
              <w:end w:w="90" w:type="dxa"/>
            </w:tcMar>
            <w:vAlign w:val="center"/>
          </w:tcPr>
          <w:p>
            <w:pPr>
              <w:spacing w:after="0" w:line="240" w:lineRule="auto"/>
              <w:jc w:val="center"/>
            </w:pPr>
            <w:r>
              <w:rPr>
                <w:rFonts w:ascii="Times New Roman" w:hAnsi="Times New Roman"/>
                <w:sz w:val="14"/>
              </w:rPr>
              <w:t>S-01</w:t>
            </w:r>
          </w:p>
        </w:tc>
        <w:tc>
          <w:tcPr>
            <w:tcW w:type="dxa" w:w="650"/>
            <w:tcMar>
              <w:top w:w="65" w:type="dxa"/>
              <w:bottom w:w="65" w:type="dxa"/>
              <w:start w:w="90" w:type="dxa"/>
              <w:end w:w="90" w:type="dxa"/>
            </w:tcMar>
            <w:vAlign w:val="center"/>
          </w:tcPr>
          <w:p>
            <w:pPr>
              <w:spacing w:after="0" w:line="240" w:lineRule="auto"/>
              <w:jc w:val="center"/>
            </w:pPr>
            <w:r>
              <w:rPr>
                <w:rFonts w:ascii="Times New Roman" w:hAnsi="Times New Roman"/>
                <w:sz w:val="14"/>
              </w:rPr>
              <w:t>2</w:t>
            </w:r>
          </w:p>
        </w:tc>
        <w:tc>
          <w:tcPr>
            <w:tcW w:type="dxa" w:w="1765"/>
            <w:tcMar>
              <w:top w:w="65" w:type="dxa"/>
              <w:bottom w:w="65" w:type="dxa"/>
              <w:start w:w="90" w:type="dxa"/>
              <w:end w:w="90" w:type="dxa"/>
            </w:tcMar>
            <w:vAlign w:val="center"/>
          </w:tcPr>
          <w:p>
            <w:pPr>
              <w:spacing w:after="0" w:line="240" w:lineRule="auto"/>
              <w:jc w:val="center"/>
            </w:pPr>
            <w:r>
              <w:rPr>
                <w:rFonts w:ascii="Times New Roman" w:hAnsi="Times New Roman"/>
                <w:sz w:val="14"/>
              </w:rPr>
              <w:t>(30,40); 2900</w:t>
            </w:r>
          </w:p>
        </w:tc>
        <w:tc>
          <w:tcPr>
            <w:tcW w:type="dxa" w:w="1765"/>
            <w:tcMar>
              <w:top w:w="65" w:type="dxa"/>
              <w:bottom w:w="65" w:type="dxa"/>
              <w:start w:w="90" w:type="dxa"/>
              <w:end w:w="90" w:type="dxa"/>
            </w:tcMar>
            <w:vAlign w:val="center"/>
          </w:tcPr>
          <w:p>
            <w:pPr>
              <w:spacing w:after="0" w:line="240" w:lineRule="auto"/>
              <w:jc w:val="center"/>
            </w:pPr>
            <w:r>
              <w:rPr>
                <w:rFonts w:ascii="Times New Roman" w:hAnsi="Times New Roman"/>
                <w:sz w:val="14"/>
              </w:rPr>
              <w:t>(30,40); 2900</w:t>
            </w:r>
          </w:p>
        </w:tc>
      </w:tr>
      <w:tr>
        <w:tc>
          <w:tcPr>
            <w:tcW w:type="dxa" w:w="620"/>
            <w:shd w:fill="F4F5F6"/>
            <w:tcMar>
              <w:top w:w="65" w:type="dxa"/>
              <w:bottom w:w="65" w:type="dxa"/>
              <w:start w:w="90" w:type="dxa"/>
              <w:end w:w="90" w:type="dxa"/>
            </w:tcMar>
            <w:vAlign w:val="center"/>
          </w:tcPr>
          <w:p>
            <w:pPr>
              <w:spacing w:after="0" w:line="240" w:lineRule="auto"/>
              <w:jc w:val="center"/>
            </w:pPr>
            <w:r>
              <w:rPr>
                <w:rFonts w:ascii="Times New Roman" w:hAnsi="Times New Roman"/>
                <w:sz w:val="14"/>
              </w:rPr>
              <w:t>S-02</w:t>
            </w:r>
          </w:p>
        </w:tc>
        <w:tc>
          <w:tcPr>
            <w:tcW w:type="dxa" w:w="650"/>
            <w:shd w:fill="F4F5F6"/>
            <w:tcMar>
              <w:top w:w="65" w:type="dxa"/>
              <w:bottom w:w="65" w:type="dxa"/>
              <w:start w:w="90" w:type="dxa"/>
              <w:end w:w="90" w:type="dxa"/>
            </w:tcMar>
            <w:vAlign w:val="center"/>
          </w:tcPr>
          <w:p>
            <w:pPr>
              <w:spacing w:after="0" w:line="240" w:lineRule="auto"/>
              <w:jc w:val="center"/>
            </w:pPr>
            <w:r>
              <w:rPr>
                <w:rFonts w:ascii="Times New Roman" w:hAnsi="Times New Roman"/>
                <w:sz w:val="14"/>
              </w:rPr>
              <w:t>2</w:t>
            </w:r>
          </w:p>
        </w:tc>
        <w:tc>
          <w:tcPr>
            <w:tcW w:type="dxa" w:w="1765"/>
            <w:shd w:fill="F4F5F6"/>
            <w:tcMar>
              <w:top w:w="65" w:type="dxa"/>
              <w:bottom w:w="65" w:type="dxa"/>
              <w:start w:w="90" w:type="dxa"/>
              <w:end w:w="90" w:type="dxa"/>
            </w:tcMar>
            <w:vAlign w:val="center"/>
          </w:tcPr>
          <w:p>
            <w:pPr>
              <w:spacing w:after="0" w:line="240" w:lineRule="auto"/>
              <w:jc w:val="center"/>
            </w:pPr>
            <w:r>
              <w:rPr>
                <w:rFonts w:ascii="Times New Roman" w:hAnsi="Times New Roman"/>
                <w:sz w:val="14"/>
              </w:rPr>
              <w:t>(1,3); 9</w:t>
            </w:r>
          </w:p>
        </w:tc>
        <w:tc>
          <w:tcPr>
            <w:tcW w:type="dxa" w:w="1765"/>
            <w:shd w:fill="F4F5F6"/>
            <w:tcMar>
              <w:top w:w="65" w:type="dxa"/>
              <w:bottom w:w="65" w:type="dxa"/>
              <w:start w:w="90" w:type="dxa"/>
              <w:end w:w="90" w:type="dxa"/>
            </w:tcMar>
            <w:vAlign w:val="center"/>
          </w:tcPr>
          <w:p>
            <w:pPr>
              <w:spacing w:after="0" w:line="240" w:lineRule="auto"/>
              <w:jc w:val="center"/>
            </w:pPr>
            <w:r>
              <w:rPr>
                <w:rFonts w:ascii="Times New Roman" w:hAnsi="Times New Roman"/>
                <w:sz w:val="14"/>
              </w:rPr>
              <w:t>(1,3); 9</w:t>
            </w:r>
          </w:p>
        </w:tc>
      </w:tr>
      <w:tr>
        <w:tc>
          <w:tcPr>
            <w:tcW w:type="dxa" w:w="620"/>
            <w:tcMar>
              <w:top w:w="65" w:type="dxa"/>
              <w:bottom w:w="65" w:type="dxa"/>
              <w:start w:w="90" w:type="dxa"/>
              <w:end w:w="90" w:type="dxa"/>
            </w:tcMar>
            <w:vAlign w:val="center"/>
          </w:tcPr>
          <w:p>
            <w:pPr>
              <w:spacing w:after="0" w:line="240" w:lineRule="auto"/>
              <w:jc w:val="center"/>
            </w:pPr>
            <w:r>
              <w:rPr>
                <w:rFonts w:ascii="Times New Roman" w:hAnsi="Times New Roman"/>
                <w:sz w:val="14"/>
              </w:rPr>
              <w:t>S-03</w:t>
            </w:r>
          </w:p>
        </w:tc>
        <w:tc>
          <w:tcPr>
            <w:tcW w:type="dxa" w:w="650"/>
            <w:tcMar>
              <w:top w:w="65" w:type="dxa"/>
              <w:bottom w:w="65" w:type="dxa"/>
              <w:start w:w="90" w:type="dxa"/>
              <w:end w:w="90" w:type="dxa"/>
            </w:tcMar>
            <w:vAlign w:val="center"/>
          </w:tcPr>
          <w:p>
            <w:pPr>
              <w:spacing w:after="0" w:line="240" w:lineRule="auto"/>
              <w:jc w:val="center"/>
            </w:pPr>
            <w:r>
              <w:rPr>
                <w:rFonts w:ascii="Times New Roman" w:hAnsi="Times New Roman"/>
                <w:sz w:val="14"/>
              </w:rPr>
              <w:t>2</w:t>
            </w:r>
          </w:p>
        </w:tc>
        <w:tc>
          <w:tcPr>
            <w:tcW w:type="dxa" w:w="1765"/>
            <w:tcMar>
              <w:top w:w="65" w:type="dxa"/>
              <w:bottom w:w="65" w:type="dxa"/>
              <w:start w:w="90" w:type="dxa"/>
              <w:end w:w="90" w:type="dxa"/>
            </w:tcMar>
            <w:vAlign w:val="center"/>
          </w:tcPr>
          <w:p>
            <w:pPr>
              <w:spacing w:after="0" w:line="240" w:lineRule="auto"/>
              <w:jc w:val="center"/>
            </w:pPr>
            <w:r>
              <w:rPr>
                <w:rFonts w:ascii="Times New Roman" w:hAnsi="Times New Roman"/>
                <w:sz w:val="14"/>
              </w:rPr>
              <w:t>(2,6); 36</w:t>
            </w:r>
          </w:p>
        </w:tc>
        <w:tc>
          <w:tcPr>
            <w:tcW w:type="dxa" w:w="1765"/>
            <w:tcMar>
              <w:top w:w="65" w:type="dxa"/>
              <w:bottom w:w="65" w:type="dxa"/>
              <w:start w:w="90" w:type="dxa"/>
              <w:end w:w="90" w:type="dxa"/>
            </w:tcMar>
            <w:vAlign w:val="center"/>
          </w:tcPr>
          <w:p>
            <w:pPr>
              <w:spacing w:after="0" w:line="240" w:lineRule="auto"/>
              <w:jc w:val="center"/>
            </w:pPr>
            <w:r>
              <w:rPr>
                <w:rFonts w:ascii="Times New Roman" w:hAnsi="Times New Roman"/>
                <w:sz w:val="14"/>
              </w:rPr>
              <w:t>(2,6); 36</w:t>
            </w:r>
          </w:p>
        </w:tc>
      </w:tr>
    </w:tbl>
    <w:p>
      <w:pPr>
        <w:spacing w:after="20"/>
      </w:pPr>
    </w:p>
    <w:p>
      <w:r>
        <w:t>El caso S-01 usa el mismo modelo que G-01. La tabla inicial incorpora S1 y S2; después de dos pivoteos, X2 y X1 forman la base y la fila Z registra 2900. Las Figuras 5 y 6 muestran la evidencia inicial y final generada por la aplicación.</w:t>
      </w:r>
    </w:p>
    <w:p>
      <w:pPr>
        <w:keepNext/>
        <w:spacing w:before="80" w:after="0"/>
        <w:jc w:val="center"/>
      </w:pPr>
      <w:r>
        <w:drawing>
          <wp:inline xmlns:a="http://schemas.openxmlformats.org/drawingml/2006/main" xmlns:pic="http://schemas.openxmlformats.org/drawingml/2006/picture">
            <wp:extent cx="2971800" cy="1728336"/>
            <wp:docPr id="5" name="Picture 5" descr="Captura de la tabla Simplex inicial con X1, X2, S1, S2 y CR." title="Fig. 5. Tabla inicial del caso S-01."/>
            <wp:cNvGraphicFramePr>
              <a:graphicFrameLocks noChangeAspect="1"/>
            </wp:cNvGraphicFramePr>
            <a:graphic>
              <a:graphicData uri="http://schemas.openxmlformats.org/drawingml/2006/picture">
                <pic:pic>
                  <pic:nvPicPr>
                    <pic:cNvPr id="0" name="simplex_tabla_inicial.png"/>
                    <pic:cNvPicPr/>
                  </pic:nvPicPr>
                  <pic:blipFill>
                    <a:blip r:embed="rId15"/>
                    <a:stretch>
                      <a:fillRect/>
                    </a:stretch>
                  </pic:blipFill>
                  <pic:spPr>
                    <a:xfrm>
                      <a:off x="0" y="0"/>
                      <a:ext cx="2971800" cy="1728336"/>
                    </a:xfrm>
                    <a:prstGeom prst="rect"/>
                  </pic:spPr>
                </pic:pic>
              </a:graphicData>
            </a:graphic>
          </wp:inline>
        </w:drawing>
      </w:r>
    </w:p>
    <w:p>
      <w:pPr>
        <w:pStyle w:val="Caption"/>
      </w:pPr>
      <w:r>
        <w:t>Fig. 5. Tabla inicial del caso S-01.</w:t>
      </w:r>
    </w:p>
    <w:p>
      <w:pPr>
        <w:keepNext/>
        <w:spacing w:before="80" w:after="0"/>
        <w:jc w:val="center"/>
      </w:pPr>
      <w:r>
        <w:drawing>
          <wp:inline xmlns:a="http://schemas.openxmlformats.org/drawingml/2006/main" xmlns:pic="http://schemas.openxmlformats.org/drawingml/2006/picture">
            <wp:extent cx="2971800" cy="1728336"/>
            <wp:docPr id="6" name="Picture 6" descr="Captura de la segunda tabla Simplex y solución X1 30, X2 40, Z 2900." title="Fig. 6. Segunda iteración y solución final de S-01."/>
            <wp:cNvGraphicFramePr>
              <a:graphicFrameLocks noChangeAspect="1"/>
            </wp:cNvGraphicFramePr>
            <a:graphic>
              <a:graphicData uri="http://schemas.openxmlformats.org/drawingml/2006/picture">
                <pic:pic>
                  <pic:nvPicPr>
                    <pic:cNvPr id="0" name="simplex_solucion_final.png"/>
                    <pic:cNvPicPr/>
                  </pic:nvPicPr>
                  <pic:blipFill>
                    <a:blip r:embed="rId16"/>
                    <a:stretch>
                      <a:fillRect/>
                    </a:stretch>
                  </pic:blipFill>
                  <pic:spPr>
                    <a:xfrm>
                      <a:off x="0" y="0"/>
                      <a:ext cx="2971800" cy="1728336"/>
                    </a:xfrm>
                    <a:prstGeom prst="rect"/>
                  </pic:spPr>
                </pic:pic>
              </a:graphicData>
            </a:graphic>
          </wp:inline>
        </w:drawing>
      </w:r>
    </w:p>
    <w:p>
      <w:pPr>
        <w:pStyle w:val="Caption"/>
      </w:pPr>
      <w:r>
        <w:t>Fig. 6. Segunda iteración y solución final de S-01.</w:t>
      </w:r>
    </w:p>
    <w:p>
      <w:pPr>
        <w:pStyle w:val="Heading2"/>
      </w:pPr>
      <w:r>
        <w:t>C. Interpretación</w:t>
      </w:r>
    </w:p>
    <w:p>
      <w:r>
        <w:t>La coincidencia de 7 de 7 casos demuestra que la implementación reproduce los procedimientos esperados dentro del alcance evaluado. La prueba G-02 confirmó el manejo de cotas inferiores en el método gráfico; G-03 y G-04 comprobaron minimización con restricciones &gt;=; y S-03 verificó la construcción de tres variables de holgura.</w:t>
      </w:r>
    </w:p>
    <w:p>
      <w:pPr>
        <w:pStyle w:val="Heading1"/>
      </w:pPr>
      <w:r>
        <w:t>VI. LIMITACIONES</w:t>
      </w:r>
    </w:p>
    <w:p>
      <w:r>
        <w:t>Los resultados no deben generalizarse a casos excluidos. Simplex v1.0 no acepta minimización, restricciones &gt;= o =, términos independientes negativos, variables artificiales, Gran M ni dos fases. Tampoco detecta explícitamente degeneración, soluciones múltiples, infactibilidad o problemas no acotados. El método gráfico se limita a dos variables y supone una región poligonal adecuada para los casos académicos utilizados.</w:t>
      </w:r>
    </w:p>
    <w:p>
      <w:r>
        <w:t>Estas restricciones fueron decisiones conscientes para priorizar una primera versión comprensible. La segunda entrega ampliará Simplex a minimización sin presentar como implementadas funcionalidades que todavía pertenecen al trabajo futuro.</w:t>
      </w:r>
    </w:p>
    <w:p>
      <w:pPr>
        <w:pStyle w:val="Heading1"/>
      </w:pPr>
      <w:r>
        <w:t>VII. CONCLUSIONES</w:t>
      </w:r>
    </w:p>
    <w:p>
      <w:r>
        <w:t>El proyecto permitió relacionar el modelo algebraico con su interpretación geométrica. La construcción de intersecciones y el filtrado de puntos mostraron por qué la solución óptima se busca entre los vértices factibles, mientras que la gráfica hizo visible el efecto conjunto de las restricciones.</w:t>
      </w:r>
    </w:p>
    <w:p>
      <w:r>
        <w:t>La implementación de Simplex evidenció que el pivoteo no es una operación aislada: cada elección de variable entrante y saliente cambia la base y conduce a una nueva solución factible. Conservar las tablas y razones dentro de la interfaz facilitó seguir el proceso hasta la condición de optimalidad.</w:t>
      </w:r>
    </w:p>
    <w:p>
      <w:r>
        <w:t>El desarrollo incremental redujo el riesgo de mezclar errores de interfaz, modelado y cálculo. Verificar cada versión antes de integrar permitió alcanzar una v0.5 en la que ambos métodos comparten el mismo formulario y los siete casos de prueba coinciden con las soluciones manuales. La aplicación cumple el propósito de ser funcional, sencilla y explicable, dentro de las limitaciones declaradas.</w:t>
      </w:r>
    </w:p>
    <w:p>
      <w:pPr>
        <w:pStyle w:val="Heading1"/>
      </w:pPr>
      <w:r>
        <w:t>REFERENCIAS</w:t>
      </w:r>
    </w:p>
    <w:p>
      <w:pPr>
        <w:spacing w:after="60" w:line="240" w:lineRule="auto"/>
        <w:ind w:left="259" w:hanging="259"/>
      </w:pPr>
      <w:r>
        <w:rPr>
          <w:sz w:val="16"/>
        </w:rPr>
        <w:t>[1] S. A. Walteros Corredor, "Actividad N.° 2 - Taller Programación Lineal", material de la asignatura, 2026.</w:t>
      </w:r>
    </w:p>
    <w:p>
      <w:pPr>
        <w:spacing w:after="60" w:line="240" w:lineRule="auto"/>
        <w:ind w:left="259" w:hanging="259"/>
      </w:pPr>
      <w:r>
        <w:rPr>
          <w:sz w:val="16"/>
        </w:rPr>
        <w:t>[2] NEOS Guide, "Linear Programming", University of Wisconsin-Madison. Disponible: https://neos-guide.org/guide/types/lp/ (consulta: 31-08-2026).</w:t>
      </w:r>
    </w:p>
    <w:p>
      <w:pPr>
        <w:spacing w:after="60" w:line="240" w:lineRule="auto"/>
        <w:ind w:left="259" w:hanging="259"/>
      </w:pPr>
      <w:r>
        <w:rPr>
          <w:sz w:val="16"/>
        </w:rPr>
        <w:t>[3] NEOS Guide, "Simplex Method", University of Wisconsin-Madison. Disponible: https://neos-guide.org/guide/algorithms/simplex/ (consulta: 31-08-2026).</w:t>
      </w:r>
    </w:p>
    <w:p>
      <w:pPr>
        <w:spacing w:after="60" w:line="240" w:lineRule="auto"/>
        <w:ind w:left="259" w:hanging="259"/>
      </w:pPr>
      <w:r>
        <w:rPr>
          <w:sz w:val="16"/>
        </w:rPr>
        <w:t>[4] Python Software Foundation, "tkinter - Python interface to Tcl/Tk", Python Documentation. Disponible: https://docs.python.org/3/library/tkinter.html (consulta: 31-08-2026).</w:t>
      </w:r>
    </w:p>
    <w:p>
      <w:pPr>
        <w:spacing w:after="60" w:line="240" w:lineRule="auto"/>
        <w:ind w:left="259" w:hanging="259"/>
      </w:pPr>
      <w:r>
        <w:rPr>
          <w:sz w:val="16"/>
        </w:rPr>
        <w:t>[5] Matplotlib Development Team, "Embedding in Tk", Matplotlib Documentation. Disponible: https://matplotlib.org/stable/gallery/user_interfaces/embedding_in_tk_sgskip.html (consulta: 31-08-2026).</w:t>
      </w:r>
    </w:p>
    <w:sectPr w:rsidR="00FC693F" w:rsidRPr="0006063C" w:rsidSect="00034616">
      <w:type w:val="continuous"/>
      <w:pgSz w:w="12240" w:h="15840"/>
      <w:pgMar w:top="936" w:right="1008" w:bottom="936" w:left="1008" w:header="432" w:footer="504"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color w:val="5A6570"/>
        <w:sz w:val="15"/>
      </w:rPr>
      <w:t xml:space="preserve">Santiago A. Walteros Corredor  |  Página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smallCaps/>
        <w:color w:val="5A6570"/>
        <w:sz w:val="15"/>
      </w:rPr>
      <w:t>LABORATORIO DE OPTIMIZACIÓN - PRIMERA ENTREGA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60" w:line="252" w:lineRule="auto"/>
      <w:jc w:val="both"/>
    </w:pPr>
    <w:rPr>
      <w:rFonts w:ascii="Times New Roman" w:hAnsi="Times New Roman" w:eastAsia="Times New Roman"/>
      <w:b w:val="0"/>
      <w:i w:val="0"/>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jc w:val="center"/>
      <w:outlineLvl w:val="0"/>
    </w:pPr>
    <w:rPr>
      <w:rFonts w:asciiTheme="majorHAnsi" w:eastAsiaTheme="majorEastAsia" w:hAnsiTheme="majorHAnsi" w:cstheme="majorBidi" w:ascii="Times New Roman" w:hAnsi="Times New Roman" w:eastAsia="Times New Roman"/>
      <w:b/>
      <w:bCs/>
      <w:i w:val="0"/>
      <w:smallCaps/>
      <w:color w:val="17324D"/>
      <w:sz w:val="21"/>
      <w:szCs w:val="28"/>
    </w:rPr>
  </w:style>
  <w:style w:type="paragraph" w:styleId="Heading2">
    <w:name w:val="heading 2"/>
    <w:basedOn w:val="Normal"/>
    <w:next w:val="Normal"/>
    <w:link w:val="Heading2Char"/>
    <w:uiPriority w:val="9"/>
    <w:unhideWhenUsed/>
    <w:qFormat/>
    <w:rsid w:val="00FC693F"/>
    <w:pPr>
      <w:keepNext/>
      <w:keepLines/>
      <w:spacing w:before="120" w:after="40"/>
      <w:jc w:val="left"/>
      <w:outlineLvl w:val="1"/>
    </w:pPr>
    <w:rPr>
      <w:rFonts w:asciiTheme="majorHAnsi" w:eastAsiaTheme="majorEastAsia" w:hAnsiTheme="majorHAnsi" w:cstheme="majorBidi" w:ascii="Times New Roman" w:hAnsi="Times New Roman" w:eastAsia="Times New Roman"/>
      <w:b w:val="0"/>
      <w:bCs/>
      <w:i/>
      <w:color w:val="1A1A1A"/>
      <w:sz w:val="20"/>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Times New Roman" w:hAnsi="Times New Roman" w:eastAsia="Times New Roman"/>
      <w:b/>
      <w:bCs/>
      <w:i w:val="0"/>
      <w:color w:val="35546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80"/>
      <w:contextualSpacing/>
      <w:jc w:val="center"/>
    </w:pPr>
    <w:rPr>
      <w:rFonts w:asciiTheme="majorHAnsi" w:eastAsiaTheme="majorEastAsia" w:hAnsiTheme="majorHAnsi" w:cstheme="majorBidi" w:ascii="Times New Roman" w:hAnsi="Times New Roman" w:eastAsia="Times New Roman"/>
      <w:b/>
      <w:i w:val="0"/>
      <w:color w:val="1732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jc w:val="center"/>
    </w:pPr>
    <w:rPr>
      <w:rFonts w:asciiTheme="majorHAnsi" w:eastAsiaTheme="majorEastAsia" w:hAnsiTheme="majorHAnsi" w:cstheme="majorBidi" w:ascii="Times New Roman" w:hAnsi="Times New Roman" w:eastAsia="Times New Roman"/>
      <w:b w:val="0"/>
      <w:i/>
      <w:iCs/>
      <w:color w:val="5A657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40" w:after="120"/>
      <w:jc w:val="center"/>
    </w:pPr>
    <w:rPr>
      <w:rFonts w:ascii="Times New Roman" w:hAnsi="Times New Roman" w:eastAsia="Times New Roman"/>
      <w:b w:val="0"/>
      <w:bCs/>
      <w:i/>
      <w:color w:val="5A65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delinforme">
    <w:name w:val="Código del informe"/>
    <w:pPr>
      <w:keepLines/>
      <w:spacing w:before="60" w:after="100"/>
      <w:jc w:val="center"/>
    </w:pPr>
    <w:rPr>
      <w:rFonts w:ascii="Consolas" w:hAnsi="Consolas" w:eastAsia="Consolas"/>
      <w:b w:val="0"/>
      <w:i w:val="0"/>
      <w:color w:val="1A1A1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e implementación de una calculadora de programación lineal</dc:title>
  <dc:subject>Laboratorio de Optimización - primera entrega</dc:subject>
  <dc:creator>Santiago Andrés Walteros Corredor</dc:creator>
  <cp:keywords>programación lineal, método gráfico, Simplex, Python, Tkinter</cp:keywords>
  <dc:description>generated by python-docx</dc:description>
  <cp:lastModifiedBy/>
  <cp:revision>1</cp:revision>
  <dcterms:created xsi:type="dcterms:W3CDTF">2013-12-23T23:15:00Z</dcterms:created>
  <dcterms:modified xsi:type="dcterms:W3CDTF">2013-12-23T23:15:00Z</dcterms:modified>
  <cp:category/>
</cp:coreProperties>
</file>