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0C483D"/>
          <w:sz w:val="40"/>
          <w:szCs w:val="40"/>
        </w:rPr>
        <w:t xml:space="preserve">Respuesta a la revisión del protocolo de testeo</w:t>
      </w:r>
    </w:p>
    <w:p>
      <w:pPr>
        <w:spacing w:after="60"/>
      </w:pPr>
      <w:r>
        <w:rPr>
          <w:color w:val="52605C"/>
          <w:sz w:val="24"/>
          <w:szCs w:val="24"/>
        </w:rPr>
        <w:t xml:space="preserve">Proyecto 24 · Compañía COGIL · Escuela Móvil Anti-Phishing y bot Verifica Santa Fe</w:t>
      </w:r>
    </w:p>
    <w:p>
      <w:pPr>
        <w:spacing w:after="300"/>
      </w:pPr>
      <w:r>
        <w:rPr>
          <w:color w:val="52605C"/>
          <w:sz w:val="22"/>
          <w:szCs w:val="22"/>
        </w:rPr>
        <w:t xml:space="preserve">Revisión del 25 de octubre de 2026 · Respuesta del 28 de octubre de 2026</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7230"/>
      </w:tblGrid>
      <w:tr>
        <w:trPr>
          <w:tblHeader/>
        </w:trPr>
        <w:tc>
          <w:tcPr>
            <w:tcW w:type="dxa" w:w="2410"/>
            <w:shd w:fill="D1FAEC" w:color="auto" w:val="clear"/>
            <w:tcMar>
              <w:top w:type="dxa" w:w="60"/>
              <w:left w:type="dxa" w:w="100"/>
              <w:bottom w:type="dxa" w:w="60"/>
              <w:right w:type="dxa" w:w="100"/>
            </w:tcMar>
          </w:tcPr>
          <w:p>
            <w:pPr>
              <w:spacing w:after="40"/>
            </w:pPr>
            <w:r>
              <w:rPr>
                <w:b/>
                <w:bCs/>
                <w:sz w:val="19"/>
                <w:szCs w:val="19"/>
              </w:rPr>
              <w:t xml:space="preserve">Campo</w:t>
            </w:r>
          </w:p>
        </w:tc>
        <w:tc>
          <w:tcPr>
            <w:tcW w:type="dxa" w:w="7230"/>
            <w:shd w:fill="D1FAEC" w:color="auto" w:val="clear"/>
            <w:tcMar>
              <w:top w:type="dxa" w:w="60"/>
              <w:left w:type="dxa" w:w="100"/>
              <w:bottom w:type="dxa" w:w="60"/>
              <w:right w:type="dxa" w:w="100"/>
            </w:tcMar>
          </w:tcPr>
          <w:p>
            <w:pPr>
              <w:spacing w:after="40"/>
            </w:pPr>
            <w:r>
              <w:rPr>
                <w:b/>
                <w:bCs/>
                <w:sz w:val="19"/>
                <w:szCs w:val="19"/>
              </w:rPr>
              <w:t xml:space="preserve">Detalle</w:t>
            </w:r>
          </w:p>
        </w:tc>
      </w:tr>
      <w:tr>
        <w:trPr>
          <w:cantSplit/>
        </w:trPr>
        <w:tc>
          <w:tcPr>
            <w:tcW w:type="dxa" w:w="2410"/>
            <w:tcMar>
              <w:top w:type="dxa" w:w="60"/>
              <w:left w:type="dxa" w:w="100"/>
              <w:bottom w:type="dxa" w:w="60"/>
              <w:right w:type="dxa" w:w="100"/>
            </w:tcMar>
          </w:tcPr>
          <w:p>
            <w:pPr>
              <w:spacing w:after="40"/>
            </w:pPr>
            <w:r>
              <w:t xml:space="preserve">Dirigido a</w:t>
            </w:r>
          </w:p>
        </w:tc>
        <w:tc>
          <w:tcPr>
            <w:tcW w:type="dxa" w:w="7230"/>
            <w:tcMar>
              <w:top w:type="dxa" w:w="60"/>
              <w:left w:type="dxa" w:w="100"/>
              <w:bottom w:type="dxa" w:w="60"/>
              <w:right w:type="dxa" w:w="100"/>
            </w:tcMar>
          </w:tcPr>
          <w:p>
            <w:pPr>
              <w:spacing w:after="40"/>
            </w:pPr>
            <w:r>
              <w:t xml:space="preserve">Director metodológico Camilo Ramírez Motoa y codirectora temática Capitán Erika Yulieth Trujillo Vargas</w:t>
            </w:r>
          </w:p>
        </w:tc>
      </w:tr>
      <w:tr>
        <w:trPr>
          <w:cantSplit/>
        </w:trPr>
        <w:tc>
          <w:tcPr>
            <w:tcW w:type="dxa" w:w="2410"/>
            <w:tcMar>
              <w:top w:type="dxa" w:w="60"/>
              <w:left w:type="dxa" w:w="100"/>
              <w:bottom w:type="dxa" w:w="60"/>
              <w:right w:type="dxa" w:w="100"/>
            </w:tcMar>
          </w:tcPr>
          <w:p>
            <w:pPr>
              <w:spacing w:after="40"/>
            </w:pPr>
            <w:r>
              <w:t xml:space="preserve">De</w:t>
            </w:r>
          </w:p>
        </w:tc>
        <w:tc>
          <w:tcPr>
            <w:tcW w:type="dxa" w:w="7230"/>
            <w:tcMar>
              <w:top w:type="dxa" w:w="60"/>
              <w:left w:type="dxa" w:w="100"/>
              <w:bottom w:type="dxa" w:w="60"/>
              <w:right w:type="dxa" w:w="100"/>
            </w:tcMar>
          </w:tcPr>
          <w:p>
            <w:pPr>
              <w:spacing w:after="40"/>
            </w:pPr>
            <w:r>
              <w:t xml:space="preserve">Cadetes David Santiago Andrade Espinosa, Yojan Burbano Timaná y Julieth Camila De Antonio López</w:t>
            </w:r>
          </w:p>
        </w:tc>
      </w:tr>
      <w:tr>
        <w:trPr>
          <w:cantSplit/>
        </w:trPr>
        <w:tc>
          <w:tcPr>
            <w:tcW w:type="dxa" w:w="2410"/>
            <w:tcMar>
              <w:top w:type="dxa" w:w="60"/>
              <w:left w:type="dxa" w:w="100"/>
              <w:bottom w:type="dxa" w:w="60"/>
              <w:right w:type="dxa" w:w="100"/>
            </w:tcMar>
          </w:tcPr>
          <w:p>
            <w:pPr>
              <w:spacing w:after="40"/>
            </w:pPr>
            <w:r>
              <w:t xml:space="preserve">Documento revisado</w:t>
            </w:r>
          </w:p>
        </w:tc>
        <w:tc>
          <w:tcPr>
            <w:tcW w:type="dxa" w:w="7230"/>
            <w:tcMar>
              <w:top w:type="dxa" w:w="60"/>
              <w:left w:type="dxa" w:w="100"/>
              <w:bottom w:type="dxa" w:w="60"/>
              <w:right w:type="dxa" w:w="100"/>
            </w:tcMar>
          </w:tcPr>
          <w:p>
            <w:pPr>
              <w:spacing w:after="40"/>
            </w:pPr>
            <w:r>
              <w:t xml:space="preserve">Protocolo de testeo del producto mínimo viable, versión del 19 de octubre de 2026</w:t>
            </w:r>
          </w:p>
        </w:tc>
      </w:tr>
      <w:tr>
        <w:trPr>
          <w:cantSplit/>
        </w:trPr>
        <w:tc>
          <w:tcPr>
            <w:tcW w:type="dxa" w:w="2410"/>
            <w:tcMar>
              <w:top w:type="dxa" w:w="60"/>
              <w:left w:type="dxa" w:w="100"/>
              <w:bottom w:type="dxa" w:w="60"/>
              <w:right w:type="dxa" w:w="100"/>
            </w:tcMar>
          </w:tcPr>
          <w:p>
            <w:pPr>
              <w:spacing w:after="40"/>
            </w:pPr>
            <w:r>
              <w:t xml:space="preserve">Documento corregido</w:t>
            </w:r>
          </w:p>
        </w:tc>
        <w:tc>
          <w:tcPr>
            <w:tcW w:type="dxa" w:w="7230"/>
            <w:tcMar>
              <w:top w:type="dxa" w:w="60"/>
              <w:left w:type="dxa" w:w="100"/>
              <w:bottom w:type="dxa" w:w="60"/>
              <w:right w:type="dxa" w:w="100"/>
            </w:tcMar>
          </w:tcPr>
          <w:p>
            <w:pPr>
              <w:spacing w:after="40"/>
            </w:pPr>
            <w:r>
              <w:t xml:space="preserve">Protocolo de testeo del PMV, versión 2 (27 de octubre de 2026), que se entrega junto con esta respuesta</w:t>
            </w:r>
          </w:p>
        </w:tc>
      </w:tr>
    </w:tbl>
    <w:p>
      <w:pPr>
        <w:spacing w:after="60"/>
      </w:pPr>
    </w:p>
    <w:p>
      <w:pPr>
        <w:pStyle w:val="Heading1"/>
      </w:pPr>
      <w:r>
        <w:t xml:space="preserve">1. Resumen</w:t>
      </w:r>
    </w:p>
    <w:p>
      <w:pPr>
        <w:spacing w:after="140" w:line="300"/>
        <w:jc w:val="both"/>
      </w:pPr>
      <w:r>
        <w:t xml:space="preserve">El grupo agradece la revisión y </w:t>
      </w:r>
      <w:r>
        <w:rPr>
          <w:b/>
          <w:bCs/>
        </w:rPr>
        <w:t xml:space="preserve">acepta todas las observaciones</w:t>
      </w:r>
      <w:r>
        <w:t xml:space="preserve">. Después de analizarlas una por una, se concluye que la revisión tenía razón en lo fundamental: el protocolo mostraba bien el problema y la idea, pero el PMV se describía de formas distintas, los criterios no se podían medir con el instrumento declarado y el simulacro implicaba riesgos que no se habían evaluado.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712"/>
        <w:gridCol w:w="1928"/>
      </w:tblGrid>
      <w:tr>
        <w:trPr>
          <w:tblHeader/>
        </w:trPr>
        <w:tc>
          <w:tcPr>
            <w:tcW w:type="dxa" w:w="7712"/>
            <w:shd w:fill="D1FAEC" w:color="auto" w:val="clear"/>
            <w:tcMar>
              <w:top w:type="dxa" w:w="60"/>
              <w:left w:type="dxa" w:w="100"/>
              <w:bottom w:type="dxa" w:w="60"/>
              <w:right w:type="dxa" w:w="100"/>
            </w:tcMar>
          </w:tcPr>
          <w:p>
            <w:pPr>
              <w:spacing w:after="40"/>
            </w:pPr>
            <w:r>
              <w:rPr>
                <w:b/>
                <w:bCs/>
                <w:sz w:val="19"/>
                <w:szCs w:val="19"/>
              </w:rPr>
              <w:t xml:space="preserve">Resultado del análisis</w:t>
            </w:r>
          </w:p>
        </w:tc>
        <w:tc>
          <w:tcPr>
            <w:tcW w:type="dxa" w:w="1928"/>
            <w:shd w:fill="D1FAEC" w:color="auto" w:val="clear"/>
            <w:tcMar>
              <w:top w:type="dxa" w:w="60"/>
              <w:left w:type="dxa" w:w="100"/>
              <w:bottom w:type="dxa" w:w="60"/>
              <w:right w:type="dxa" w:w="100"/>
            </w:tcMar>
          </w:tcPr>
          <w:p>
            <w:pPr>
              <w:spacing w:after="40"/>
            </w:pPr>
            <w:r>
              <w:rPr>
                <w:b/>
                <w:bCs/>
                <w:sz w:val="19"/>
                <w:szCs w:val="19"/>
              </w:rPr>
              <w:t xml:space="preserve">Cantidad</w:t>
            </w:r>
          </w:p>
        </w:tc>
      </w:tr>
      <w:tr>
        <w:trPr>
          <w:cantSplit/>
        </w:trPr>
        <w:tc>
          <w:tcPr>
            <w:tcW w:type="dxa" w:w="7712"/>
            <w:tcMar>
              <w:top w:type="dxa" w:w="60"/>
              <w:left w:type="dxa" w:w="100"/>
              <w:bottom w:type="dxa" w:w="60"/>
              <w:right w:type="dxa" w:w="100"/>
            </w:tcMar>
          </w:tcPr>
          <w:p>
            <w:pPr>
              <w:spacing w:after="40"/>
            </w:pPr>
            <w:r>
              <w:t xml:space="preserve">Observaciones analizadas</w:t>
            </w:r>
          </w:p>
        </w:tc>
        <w:tc>
          <w:tcPr>
            <w:tcW w:type="dxa" w:w="1928"/>
            <w:tcMar>
              <w:top w:type="dxa" w:w="60"/>
              <w:left w:type="dxa" w:w="100"/>
              <w:bottom w:type="dxa" w:w="60"/>
              <w:right w:type="dxa" w:w="100"/>
            </w:tcMar>
          </w:tcPr>
          <w:p>
            <w:pPr>
              <w:spacing w:after="40"/>
            </w:pPr>
            <w:r>
              <w:t xml:space="preserve">32</w:t>
            </w:r>
          </w:p>
        </w:tc>
      </w:tr>
      <w:tr>
        <w:trPr>
          <w:cantSplit/>
        </w:trPr>
        <w:tc>
          <w:tcPr>
            <w:tcW w:type="dxa" w:w="7712"/>
            <w:tcMar>
              <w:top w:type="dxa" w:w="60"/>
              <w:left w:type="dxa" w:w="100"/>
              <w:bottom w:type="dxa" w:w="60"/>
              <w:right w:type="dxa" w:w="100"/>
            </w:tcMar>
          </w:tcPr>
          <w:p>
            <w:pPr>
              <w:spacing w:after="40"/>
            </w:pPr>
            <w:r>
              <w:t xml:space="preserve">Correctas y corregidas tal como se pidió</w:t>
            </w:r>
          </w:p>
        </w:tc>
        <w:tc>
          <w:tcPr>
            <w:tcW w:type="dxa" w:w="1928"/>
            <w:tcMar>
              <w:top w:type="dxa" w:w="60"/>
              <w:left w:type="dxa" w:w="100"/>
              <w:bottom w:type="dxa" w:w="60"/>
              <w:right w:type="dxa" w:w="100"/>
            </w:tcMar>
          </w:tcPr>
          <w:p>
            <w:pPr>
              <w:spacing w:after="40"/>
            </w:pPr>
            <w:r>
              <w:t xml:space="preserve">29</w:t>
            </w:r>
          </w:p>
        </w:tc>
      </w:tr>
      <w:tr>
        <w:trPr>
          <w:cantSplit/>
        </w:trPr>
        <w:tc>
          <w:tcPr>
            <w:tcW w:type="dxa" w:w="7712"/>
            <w:tcMar>
              <w:top w:type="dxa" w:w="60"/>
              <w:left w:type="dxa" w:w="100"/>
              <w:bottom w:type="dxa" w:w="60"/>
              <w:right w:type="dxa" w:w="100"/>
            </w:tcMar>
          </w:tcPr>
          <w:p>
            <w:pPr>
              <w:spacing w:after="40"/>
            </w:pPr>
            <w:r>
              <w:t xml:space="preserve">Correctas y corregidas, con una aclaración del grupo</w:t>
            </w:r>
          </w:p>
        </w:tc>
        <w:tc>
          <w:tcPr>
            <w:tcW w:type="dxa" w:w="1928"/>
            <w:tcMar>
              <w:top w:type="dxa" w:w="60"/>
              <w:left w:type="dxa" w:w="100"/>
              <w:bottom w:type="dxa" w:w="60"/>
              <w:right w:type="dxa" w:w="100"/>
            </w:tcMar>
          </w:tcPr>
          <w:p>
            <w:pPr>
              <w:spacing w:after="40"/>
            </w:pPr>
            <w:r>
              <w:t xml:space="preserve">3</w:t>
            </w:r>
          </w:p>
        </w:tc>
      </w:tr>
      <w:tr>
        <w:trPr>
          <w:cantSplit/>
        </w:trPr>
        <w:tc>
          <w:tcPr>
            <w:tcW w:type="dxa" w:w="7712"/>
            <w:tcMar>
              <w:top w:type="dxa" w:w="60"/>
              <w:left w:type="dxa" w:w="100"/>
              <w:bottom w:type="dxa" w:w="60"/>
              <w:right w:type="dxa" w:w="100"/>
            </w:tcMar>
          </w:tcPr>
          <w:p>
            <w:pPr>
              <w:spacing w:after="40"/>
            </w:pPr>
            <w:r>
              <w:t xml:space="preserve">Observaciones rechazadas</w:t>
            </w:r>
          </w:p>
        </w:tc>
        <w:tc>
          <w:tcPr>
            <w:tcW w:type="dxa" w:w="1928"/>
            <w:tcMar>
              <w:top w:type="dxa" w:w="60"/>
              <w:left w:type="dxa" w:w="100"/>
              <w:bottom w:type="dxa" w:w="60"/>
              <w:right w:type="dxa" w:w="100"/>
            </w:tcMar>
          </w:tcPr>
          <w:p>
            <w:pPr>
              <w:spacing w:after="40"/>
            </w:pPr>
            <w:r>
              <w:t xml:space="preserve">0</w:t>
            </w:r>
          </w:p>
        </w:tc>
      </w:tr>
      <w:tr>
        <w:trPr>
          <w:cantSplit/>
        </w:trPr>
        <w:tc>
          <w:tcPr>
            <w:tcW w:type="dxa" w:w="7712"/>
            <w:tcMar>
              <w:top w:type="dxa" w:w="60"/>
              <w:left w:type="dxa" w:w="100"/>
              <w:bottom w:type="dxa" w:w="60"/>
              <w:right w:type="dxa" w:w="100"/>
            </w:tcMar>
          </w:tcPr>
          <w:p>
            <w:pPr>
              <w:spacing w:after="40"/>
            </w:pPr>
            <w:r>
              <w:t xml:space="preserve">Mejoras adicionales que la revisión no señaló y que el grupo incorporó</w:t>
            </w:r>
          </w:p>
        </w:tc>
        <w:tc>
          <w:tcPr>
            <w:tcW w:type="dxa" w:w="1928"/>
            <w:tcMar>
              <w:top w:type="dxa" w:w="60"/>
              <w:left w:type="dxa" w:w="100"/>
              <w:bottom w:type="dxa" w:w="60"/>
              <w:right w:type="dxa" w:w="100"/>
            </w:tcMar>
          </w:tcPr>
          <w:p>
            <w:pPr>
              <w:spacing w:after="40"/>
            </w:pPr>
            <w:r>
              <w:t xml:space="preserve">6</w:t>
            </w:r>
          </w:p>
        </w:tc>
      </w:tr>
    </w:tbl>
    <w:p>
      <w:pPr>
        <w:spacing w:after="60"/>
      </w:pPr>
    </w:p>
    <w:p>
      <w:pPr>
        <w:spacing w:after="140" w:line="300"/>
        <w:jc w:val="both"/>
      </w:pPr>
      <w:r>
        <w:t xml:space="preserve">Las tres prioridades de la revisión quedaron resueltas: (1) el bot tiene ahora una sola descripción y un alcance definido para el testeo; (2) la hipótesis se dividió en dos hipótesis verificables y cada criterio tiene indicador, umbral, instrumento y momento, incluidos criterios para el bot y para la viabilidad institucional; y (3) el simulacro se rediseñó con entidades ficticias, sin enlaces funcionales ni captura de datos, con consentimiento escrito previo y cierre explicativo.</w:t>
      </w:r>
    </w:p>
    <w:p>
      <w:pPr>
        <w:spacing w:after="140" w:line="300"/>
        <w:jc w:val="both"/>
      </w:pPr>
      <w:r>
        <w:t xml:space="preserve">Las correcciones se hicieron en dos lugares: en el </w:t>
      </w:r>
      <w:r>
        <w:rPr>
          <w:b/>
          <w:bCs/>
        </w:rPr>
        <w:t xml:space="preserve">documento</w:t>
      </w:r>
      <w:r>
        <w:t xml:space="preserve"> (protocolo versión 2) y en la </w:t>
      </w:r>
      <w:r>
        <w:rPr>
          <w:b/>
          <w:bCs/>
        </w:rPr>
        <w:t xml:space="preserve">plataforma</w:t>
      </w:r>
      <w:r>
        <w:t xml:space="preserve"> (lab-bot-verifica-santa-fe.vercel.app), donde se construyeron las herramientas que permiten medir lo que el protocolo promete: el simulador de casos, el modo taller con código de participante, la lista de observación, el consentimiento imprimible, la valoración del bot y la encuesta de seguimiento.</w:t>
      </w:r>
    </w:p>
    <w:p>
      <w:pPr>
        <w:pBdr>
          <w:left w:val="single" w:color="D97706" w:sz="18" w:space="10"/>
        </w:pBdr>
        <w:shd w:fill="FFF7ED" w:color="auto" w:val="clear"/>
        <w:spacing w:after="160" w:before="80" w:line="280"/>
        <w:ind w:left="300" w:right="200"/>
      </w:pPr>
      <w:r>
        <w:rPr>
          <w:b/>
          <w:bCs/>
        </w:rPr>
        <w:t xml:space="preserve">Lo que aún depende del grupo.</w:t>
      </w:r>
      <w:r>
        <w:t xml:space="preserve"> Algunas correcciones requieren datos que solo el grupo tiene (por ejemplo, los resultados de la encuesta diagnóstica, las fuentes de las cifras y los avales). En el protocolo versión 2 están resaltados en amarillo y se listan en la sección 7 de esta respuesta.</w:t>
      </w:r>
    </w:p>
    <w:p>
      <w:r>
        <w:br w:type="page"/>
      </w:r>
    </w:p>
    <w:p>
      <w:pPr>
        <w:pStyle w:val="Heading1"/>
      </w:pPr>
      <w:r>
        <w:t xml:space="preserve">2. Las tres prioridades de la revisión</w:t>
      </w:r>
    </w:p>
    <w:p>
      <w:pPr>
        <w:pStyle w:val="Heading2"/>
      </w:pPr>
      <w:r>
        <w:t xml:space="preserve">Prioridad 1. El alcance real del bot</w:t>
      </w:r>
    </w:p>
    <w:p>
      <w:pPr>
        <w:spacing w:after="140" w:line="300"/>
        <w:jc w:val="both"/>
      </w:pPr>
      <w:r>
        <w:rPr>
          <w:b/>
          <w:bCs/>
        </w:rPr>
        <w:t xml:space="preserve">Por qué tenía razón.</w:t>
      </w:r>
      <w:r>
        <w:t xml:space="preserve"> Un protocolo de testeo debe decir con exactitud qué se va a probar. Si la sección 5.3 dice que el bot envía micro-simulacros semanales y alerta a los vecinos, y la sección 6.4.2 dice que solo responde mensajes reenviados, el lector no sabe cuál de los dos productos se evalúa, ni qué riesgos tiene (por ejemplo, enviar mensajes sin que la persona los pida es más invasivo que solo responder).</w:t>
      </w:r>
    </w:p>
    <w:p>
      <w:pPr>
        <w:spacing w:after="140" w:line="300"/>
        <w:jc w:val="both"/>
      </w:pPr>
      <w:r>
        <w:rPr>
          <w:b/>
          <w:bCs/>
        </w:rPr>
        <w:t xml:space="preserve">Cómo se solucionó.</w:t>
      </w:r>
      <w:r>
        <w:t xml:space="preserve"> Se definió que, durante el testeo, el bot solo actúa cuando el comerciante le escribe y cumple tres funciones: verificar un mensaje, enlace o captura; entrenar con un simulacro cuando el comerciante lo pide; y orientar a quien ya fue víctima con un texto de alerta que el comerciante decide si comparte. No envía mensajes programados, masivos ni alertas automáticas. Esa misma descripción se usa en las secciones 5.3 y 6.1, y la 6.4.2 ya no la contradice. La plataforma funciona exactamente así.</w:t>
      </w:r>
    </w:p>
    <w:p>
      <w:pPr>
        <w:pStyle w:val="Heading2"/>
      </w:pPr>
      <w:r>
        <w:t xml:space="preserve">Prioridad 2. Hipótesis, criterios e instrumentos</w:t>
      </w:r>
    </w:p>
    <w:p>
      <w:pPr>
        <w:spacing w:after="140" w:line="300"/>
        <w:jc w:val="both"/>
      </w:pPr>
      <w:r>
        <w:rPr>
          <w:b/>
          <w:bCs/>
        </w:rPr>
        <w:t xml:space="preserve">Por qué tenía razón.</w:t>
      </w:r>
      <w:r>
        <w:t xml:space="preserve"> Una hipótesis solo sirve si al final del testeo se puede decir si se cumplió o no. La versión anterior reunía tres resultados en una oración de 123 palabras y prometía «reducir la probabilidad de realizar pagos», algo que no se puede observar con 10 comerciantes en 15 días. Además, el criterio B pedía comprobar que el comerciante reconociera señales con su celular, pero el instrumento era una encuesta cerrada, que mide lo que la persona dice, no lo que hace. Y ningún criterio evaluaba el bot, aunque es parte central del PMV.</w:t>
      </w:r>
    </w:p>
    <w:p>
      <w:pPr>
        <w:spacing w:after="140" w:line="300"/>
        <w:jc w:val="both"/>
      </w:pPr>
      <w:r>
        <w:rPr>
          <w:b/>
          <w:bCs/>
        </w:rPr>
        <w:t xml:space="preserve">Cómo se solucionó.</w:t>
      </w:r>
      <w:r>
        <w:t xml:space="preserve"> Se plantearon dos hipótesis cortas (reconocimiento de señales y uso del bot) y la reducción de pagos pasó a «impacto esperado». Se definieron ocho criterios con umbral: A1 reconocimiento (8 de 10 identifican al menos 3 de 5 señales), A2 decisión correcta (≥ 80 %), A3 aprendizaje entre la prueba de entrada y la de salida, B conducta segura (7 de 10 no tocan el enlace trampa), C1 uso del bot, C2 utilidad del bot (≥ 80 % «me sirvió»), C3 tiempo de respuesta (≤ 10 s) y D viabilidad según los expertos del GAULA. Para que cada criterio tenga con qué medirse, la plataforma registra automáticamente lo que hace cada participante en el simulador, el bot tiene un botón de valoración y mide su tiempo de respuesta, y se creó una lista de observación y una encuesta de seguimiento.</w:t>
      </w:r>
    </w:p>
    <w:p>
      <w:pPr>
        <w:pStyle w:val="Heading2"/>
      </w:pPr>
      <w:r>
        <w:t xml:space="preserve">Prioridad 3. Simulacro y sección ética</w:t>
      </w:r>
    </w:p>
    <w:p>
      <w:pPr>
        <w:spacing w:after="140" w:line="300"/>
        <w:jc w:val="both"/>
      </w:pPr>
      <w:r>
        <w:rPr>
          <w:b/>
          <w:bCs/>
        </w:rPr>
        <w:t xml:space="preserve">Por qué tenía razón.</w:t>
      </w:r>
      <w:r>
        <w:t xml:space="preserve"> Un enlace «fraudulento controlado» a nombre de la DIAN tenía tres problemas: usaba una marca real sin autorización; se parecía, en su forma, a la conducta descrita en el artículo 269G de la Ley 1273 de 2009; y engañaba al comerciante sin un consentimiento suficiente, porque se entendía otorgado «al diligenciar» la encuesta. A esto se sumaba la frase ajena al proyecto («No es consentimiento canino ni dron») y la afirmación inexacta de que el bot no recolecta datos personales.</w:t>
      </w:r>
    </w:p>
    <w:p>
      <w:pPr>
        <w:spacing w:after="140" w:line="300"/>
        <w:jc w:val="both"/>
      </w:pPr>
      <w:r>
        <w:rPr>
          <w:b/>
          <w:bCs/>
        </w:rPr>
        <w:t xml:space="preserve">Cómo se solucionó.</w:t>
      </w:r>
      <w:r>
        <w:t xml:space="preserve"> El simulacro se trasladó a una maqueta digital (el simulador de casos) con entidades ficticias, como «Tributos Nacionales» en lugar de la DIAN. Los enlaces y archivos no funcionan: al tocarlos aparece un aviso que explica qué habría pasado. No se pide ningún dato. Antes de empezar se firma un consentimiento escrito que advierte que algunos mensajes son falsos a propósito, y al terminar cada caso el simulador explica las señales (cierre explicativo). La sección ética se redactó de nuevo y la de datos personales reconoce el tratamiento y describe cómo se minimiza.</w:t>
      </w:r>
    </w:p>
    <w:p>
      <w:r>
        <w:br w:type="page"/>
      </w:r>
    </w:p>
    <w:p>
      <w:pPr>
        <w:pStyle w:val="Heading1"/>
      </w:pPr>
      <w:r>
        <w:t xml:space="preserve">3. Respuesta punto por punto</w:t>
      </w:r>
    </w:p>
    <w:p>
      <w:pPr>
        <w:spacing w:after="140" w:line="300"/>
        <w:jc w:val="both"/>
      </w:pPr>
      <w:r>
        <w:t xml:space="preserve">Cada observación se presenta con lo que dijo la revisión, si tenía razón, por qué, cómo se solucionó y dónde quedó la corrección.</w:t>
      </w:r>
    </w:p>
    <w:p>
      <w:pPr>
        <w:pStyle w:val="Heading2"/>
      </w:pPr>
      <w:r>
        <w:t xml:space="preserve">3.1 Revisión formal</w:t>
      </w:r>
    </w:p>
    <w:p>
      <w:pPr>
        <w:keepNext/>
        <w:spacing w:after="80" w:before="220"/>
      </w:pPr>
      <w:r>
        <w:rPr>
          <w:b/>
          <w:bCs/>
          <w:color w:val="0C483D"/>
          <w:sz w:val="23"/>
          <w:szCs w:val="23"/>
        </w:rPr>
        <w:t xml:space="preserve">1. Título del proyecto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El título omite el nexo («Phishing principal modalidad…»).</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Sin el artículo y la preposición, el título no forma una oración y se lee como una lista de palabras clave.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Nuevo título: «El phishing como principal modalidad de extorsión informática contra los comerciantes de la localidad de Santa Fe».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portada.</w:t>
            </w:r>
          </w:p>
        </w:tc>
      </w:tr>
    </w:tbl>
    <w:p>
      <w:pPr>
        <w:keepNext/>
        <w:spacing w:after="80" w:before="220"/>
      </w:pPr>
      <w:r>
        <w:rPr>
          <w:b/>
          <w:bCs/>
          <w:color w:val="0C483D"/>
          <w:sz w:val="23"/>
          <w:szCs w:val="23"/>
        </w:rPr>
        <w:t xml:space="preserve">2. Redacción telegráfica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Estilo telegráfico, uso de «+», «vs» y flechas.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documento académico se escribe en oraciones completas y en voz impersonal; los signos y las flechas obligan al lector a adivinar la relación entre las ideas.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Todo el protocolo se redactó de nuevo en oraciones completas. Por ejemplo, «aumento 21,4% vs 2025» pasó a «Esta cifra representa un aumento del 21,4 % frente al mismo periodo de 2025».</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todo el documento.</w:t>
            </w:r>
          </w:p>
        </w:tc>
      </w:tr>
    </w:tbl>
    <w:p>
      <w:pPr>
        <w:keepNext/>
        <w:spacing w:after="80" w:before="220"/>
      </w:pPr>
      <w:r>
        <w:rPr>
          <w:b/>
          <w:bCs/>
          <w:color w:val="0C483D"/>
          <w:sz w:val="23"/>
          <w:szCs w:val="23"/>
        </w:rPr>
        <w:t xml:space="preserve">3. Restos de otros documentos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En 6.4.3 aparece «No es consentimiento canino ni dron».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La frase no tiene relación con el proyecto y proviene de otro documento.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retiró y la sección 6.4.3 se redactó de nuevo completa. Se revisó el resto del texto en busca de otros restos.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6.4.3.</w:t>
            </w:r>
          </w:p>
        </w:tc>
      </w:tr>
    </w:tbl>
    <w:p>
      <w:pPr>
        <w:keepNext/>
        <w:spacing w:after="80" w:before="220"/>
      </w:pPr>
      <w:r>
        <w:rPr>
          <w:b/>
          <w:bCs/>
          <w:color w:val="0C483D"/>
          <w:sz w:val="23"/>
          <w:szCs w:val="23"/>
        </w:rPr>
        <w:t xml:space="preserve">4. Frase incompleta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En 6.5.1 la frase «con antecedente recepción mensajes sospechosos falsa» quedó sin terminar.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Una frase incompleta en los criterios de inclusión deja ambiguo a quién se puede incluir.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Quedó así: «que hayan recibido mensajes sospechosos o falsos en los últimos seis meses».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6.5.1.</w:t>
            </w:r>
          </w:p>
        </w:tc>
      </w:tr>
    </w:tbl>
    <w:p>
      <w:pPr>
        <w:keepNext/>
        <w:spacing w:after="80" w:before="220"/>
      </w:pPr>
      <w:r>
        <w:rPr>
          <w:b/>
          <w:bCs/>
          <w:color w:val="0C483D"/>
          <w:sz w:val="23"/>
          <w:szCs w:val="23"/>
        </w:rPr>
        <w:t xml:space="preserve">5. Citas y referencias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SIEDCO y Medina et al. (2023) sin referencia completa; SIEDCO atribuido a dos entidades distintas.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Una cifra sin fuente verificable no puede sostener la causa, y atribuir la misma base de datos a dos entidades hace dudar de su origen.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creó la sección de referencias en APA 7, se dejó una sola fuente para SIEDCO y se marcó Medina et al. (2023) para verificar que exista y respalde lo que se le atribuye; si no, se retira.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5.1 y Referencias. Dato pendiente del grupo.</w:t>
            </w:r>
          </w:p>
        </w:tc>
      </w:tr>
    </w:tbl>
    <w:p>
      <w:pPr>
        <w:keepNext/>
        <w:spacing w:after="80" w:before="220"/>
      </w:pPr>
      <w:r>
        <w:rPr>
          <w:b/>
          <w:bCs/>
          <w:color w:val="0C483D"/>
          <w:sz w:val="23"/>
          <w:szCs w:val="23"/>
        </w:rPr>
        <w:t xml:space="preserve">6. Nombres propios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Se escribe «Tren Aragua».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El nombre correcto es «Tren de Aragua», y vincularlo con el phishing en Santa Fe requiere fuente.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corrigió el nombre y la mención quedó condicionada a que exista una fuente; si no la hay, se retira.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6.4.2.</w:t>
            </w:r>
          </w:p>
        </w:tc>
      </w:tr>
    </w:tbl>
    <w:p>
      <w:pPr>
        <w:keepNext/>
        <w:spacing w:after="80" w:before="220"/>
      </w:pPr>
      <w:r>
        <w:rPr>
          <w:b/>
          <w:bCs/>
          <w:color w:val="0C483D"/>
          <w:sz w:val="23"/>
          <w:szCs w:val="23"/>
        </w:rPr>
        <w:t xml:space="preserve">7. Fechas de firma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Las firmas tienen la fecha del protocolo, aunque las secciones 7 a 9 se diligencian después.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Firmar con la fecha del 19 de octubre un documento que se completa en noviembre da a entender que se aprobaron conceptos que aún no existían.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Las firmas quedaron sin fecha, para fecharlas al cerrar la sección 9.</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sección 9.</w:t>
            </w:r>
          </w:p>
        </w:tc>
      </w:tr>
    </w:tbl>
    <w:p>
      <w:pPr>
        <w:keepNext/>
        <w:spacing w:after="80" w:before="220"/>
      </w:pPr>
      <w:r>
        <w:rPr>
          <w:b/>
          <w:bCs/>
          <w:color w:val="0C483D"/>
          <w:sz w:val="23"/>
          <w:szCs w:val="23"/>
        </w:rPr>
        <w:t xml:space="preserve">8. Originalidad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La frase «canino ni dron» indica que se reutilizó texto de otro grupo.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en lo esencial. Se corrigió, con una aclaración del grupo.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La frase sí indica que se partió de una plantilla con texto ajeno, por lo que la alerta es razonable. El grupo aclara que el contenido del proyecto (problema, cifras, idea y solución) es propio.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El protocolo v2 se redactó completo de nuevo a partir del proyecto del grupo, sin reutilizar texto de otros documentos.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todo el documento.</w:t>
            </w:r>
          </w:p>
        </w:tc>
      </w:tr>
    </w:tbl>
    <w:p>
      <w:pPr>
        <w:pStyle w:val="Heading2"/>
      </w:pPr>
      <w:r>
        <w:t xml:space="preserve">3.2 Sección 5.1 · Causa seleccionada</w:t>
      </w:r>
    </w:p>
    <w:p>
      <w:pPr>
        <w:keepNext/>
        <w:spacing w:after="80" w:before="220"/>
      </w:pPr>
      <w:r>
        <w:rPr>
          <w:b/>
          <w:bCs/>
          <w:color w:val="0C483D"/>
          <w:sz w:val="23"/>
          <w:szCs w:val="23"/>
        </w:rPr>
        <w:t xml:space="preserve">9. Relación entre los datos y la causa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Los datos muestran la magnitud del phishing, pero no el desconocimiento de los comerciantes, que es la causa seleccionada.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Que haya muchos casos de phishing no prueba que la causa sea el desconocimiento: podría deberse, por ejemplo, a la sofisticación de las bandas. Para sostener la causa hace falta un dato sobre lo que los comerciantes saben.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agregó el párrafo «Evidencia del desconocimiento», que presenta los resultados de la encuesta diagnóstica a los 10 comerciantes (cuántos no distinguieron un dominio falso, no reconocieron la urgencia, no verifican por otro canal o usan contraseñas débiles).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5.1. Dato pendiente del grupo: resultados de la encuesta diagnóstica.</w:t>
            </w:r>
          </w:p>
        </w:tc>
      </w:tr>
    </w:tbl>
    <w:p>
      <w:pPr>
        <w:keepNext/>
        <w:spacing w:after="80" w:before="220"/>
      </w:pPr>
      <w:r>
        <w:rPr>
          <w:b/>
          <w:bCs/>
          <w:color w:val="0C483D"/>
          <w:sz w:val="23"/>
          <w:szCs w:val="23"/>
        </w:rPr>
        <w:t xml:space="preserve">10. Delimitación temporal de las cifras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 indica el periodo de los 109 y 74 casos ni la fuente del 61,7 %.</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Sin periodo, el lector no sabe si 109 casos son de un año o de tres, lo que cambia por completo su peso. El grupo verificó que las demás cuentas cuadran: 126 + 140 + 170 = 436; 170 frente a 140 es +21,4 %; 170 frente a 126 es +34,9 %; 109 es el 25 % de 436 y 74 es el 68 % de 109.</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Cada cifra tiene ahora su periodo y su fuente en el texto.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5.1. Dato pendiente: confirmar el año de cada cifra y la fuente del 61,7 %.</w:t>
            </w:r>
          </w:p>
        </w:tc>
      </w:tr>
    </w:tbl>
    <w:p>
      <w:pPr>
        <w:pStyle w:val="Heading2"/>
      </w:pPr>
      <w:r>
        <w:t xml:space="preserve">3.3 Sección 5.2 · Reto de innovación</w:t>
      </w:r>
    </w:p>
    <w:p>
      <w:pPr>
        <w:keepNext/>
        <w:spacing w:after="80" w:before="220"/>
      </w:pPr>
      <w:r>
        <w:rPr>
          <w:b/>
          <w:bCs/>
          <w:color w:val="0C483D"/>
          <w:sz w:val="23"/>
          <w:szCs w:val="23"/>
        </w:rPr>
        <w:t xml:space="preserve">11. Contraste con la situación actual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Se afirma que hoy se capacita «en estación con volantes» sin indicar la fuente.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Es la base para justificar que la idea es nueva; sin fuente es solo una opinión.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La afirmación se soporta con la entrevista a los expertos del GAULA o con la encuesta.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5.2. Dato pendiente: fuente.</w:t>
            </w:r>
          </w:p>
        </w:tc>
      </w:tr>
    </w:tbl>
    <w:p>
      <w:pPr>
        <w:keepNext/>
        <w:spacing w:after="80" w:before="220"/>
      </w:pPr>
      <w:r>
        <w:rPr>
          <w:b/>
          <w:bCs/>
          <w:color w:val="0C483D"/>
          <w:sz w:val="23"/>
          <w:szCs w:val="23"/>
        </w:rPr>
        <w:t xml:space="preserve">12. Área y línea de investigación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La solución es preventiva, pero la línea declarada es de ciencias forenses y policía judicial.</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La solución no investiga delitos ni produce pruebas judiciales: enseña a prevenirlos. Por eso corresponde a una línea de prevención o de convivencia.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propone la línea de prevención o convivencia de la Resolución 02078 de 2020, para confirmar con la codirectora.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portada y 5.2. Dato pendiente: confirmación.</w:t>
            </w:r>
          </w:p>
        </w:tc>
      </w:tr>
    </w:tbl>
    <w:p>
      <w:pPr>
        <w:pStyle w:val="Heading2"/>
      </w:pPr>
      <w:r>
        <w:t xml:space="preserve">3.4 Sección 5.3 · Idea seleccionada</w:t>
      </w:r>
    </w:p>
    <w:p>
      <w:pPr>
        <w:keepNext/>
        <w:spacing w:after="80" w:before="220"/>
      </w:pPr>
      <w:r>
        <w:rPr>
          <w:b/>
          <w:bCs/>
          <w:color w:val="0C483D"/>
          <w:sz w:val="23"/>
          <w:szCs w:val="23"/>
        </w:rPr>
        <w:t xml:space="preserve">13. Coherencia del bot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En 5.3 el bot envía micro-simulacros semanales y alerta a vecinos; en 6.4.2 «responde solo a mensaje reenviado».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Ver la prioridad 1: son dos productos distintos, con riesgos distintos.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Descripción única: el bot solo actúa cuando el comerciante le escribe (verificar, entrenar a pedido y orientar). Se retiraron los envíos semanales y las alertas automáticas.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5.3 y 6.1. Plataforma: así funciona el bot.</w:t>
            </w:r>
          </w:p>
        </w:tc>
      </w:tr>
    </w:tbl>
    <w:p>
      <w:pPr>
        <w:keepNext/>
        <w:spacing w:after="80" w:before="220"/>
      </w:pPr>
      <w:r>
        <w:rPr>
          <w:b/>
          <w:bCs/>
          <w:color w:val="0C483D"/>
          <w:sz w:val="23"/>
          <w:szCs w:val="23"/>
        </w:rPr>
        <w:t xml:space="preserve">14. Franja horaria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Dos franjas que se traslapan (16:00-19:00 y 18:00-22:00) y el 61,7 % atribuido a ambas.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mismo porcentaje no puede corresponder a dos franjas distintas, y el horario del taller debe justificarse con una de ellas.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fija una sola franja crítica con su fuente y se explica que el taller se hace al inicio de esa franja, cuando los comerciantes aún están en el local y antes del momento de mayor riesgo.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5.3 y 6.5.5. Dato pendiente: franja y fuente.</w:t>
            </w:r>
          </w:p>
        </w:tc>
      </w:tr>
    </w:tbl>
    <w:p>
      <w:pPr>
        <w:pStyle w:val="Heading2"/>
      </w:pPr>
      <w:r>
        <w:t xml:space="preserve">3.5 Sección 6.1 · Tipo de PMV</w:t>
      </w:r>
    </w:p>
    <w:p>
      <w:pPr>
        <w:keepNext/>
        <w:spacing w:after="80" w:before="220"/>
      </w:pPr>
      <w:r>
        <w:rPr>
          <w:b/>
          <w:bCs/>
          <w:color w:val="0C483D"/>
          <w:sz w:val="23"/>
          <w:szCs w:val="23"/>
        </w:rPr>
        <w:t xml:space="preserve">15. Factibilidad del bot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Se declara «sin costo de desarrollo», pero se espera que analice remitente, dominio y enlaces. WhatsApp Business por lo general solo permite respuestas automáticas básicas.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en lo esencial. Se corrigió, con una aclaración del grupo.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La revisión tenía razón en que «sin costo de desarrollo» era incoherente con un análisis automático, que sí exige desarrollo. El grupo aclara que la limitación de respuestas básicas corresponde a la aplicación WhatsApp Business; la plataforma de API de WhatsApp sí permite un bot completo, y fue la que se usó.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El bot se desarrolló y está funcionando: es automático (no es «Mago de Oz»), compara direcciones con listas de sitios oficiales y falsos, detecta imitaciones, lee capturas y aplica reglas. Funciona en la página web y en Telegram; WhatsApp queda sujeto a la verificación de Meta. Se precisó que el desarrollo lo hizo el equipo y que la operación usa capas gratuitas.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6.1. Plataforma: lab-bot-verifica-santa-fe.vercel.app.</w:t>
            </w:r>
          </w:p>
        </w:tc>
      </w:tr>
    </w:tbl>
    <w:p>
      <w:pPr>
        <w:keepNext/>
        <w:spacing w:after="80" w:before="220"/>
      </w:pPr>
      <w:r>
        <w:rPr>
          <w:b/>
          <w:bCs/>
          <w:color w:val="0C483D"/>
          <w:sz w:val="23"/>
          <w:szCs w:val="23"/>
        </w:rPr>
        <w:t xml:space="preserve">16. Recursos y responsables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Dos uniformados del GAULA sin evidencia de compromiso; «$20.000 por local, reutilizable», aunque el sticker queda en el local.</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recurso sin aval puede no estar disponible el día del taller, y un sticker que se entrega no se puede reutilizar.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Tabla de recursos que separa lo que se entrega (sticker) de lo que se reutiliza (tablet, plataforma), y anexo para el aval del GAULA.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6.1 y anexo I. Pendiente: aval y costos.</w:t>
            </w:r>
          </w:p>
        </w:tc>
      </w:tr>
    </w:tbl>
    <w:p>
      <w:pPr>
        <w:pStyle w:val="Heading2"/>
      </w:pPr>
      <w:r>
        <w:t xml:space="preserve">3.6 Secciones 6.2 y 6.3 · Hipótesis y criterios de éxito</w:t>
      </w:r>
    </w:p>
    <w:p>
      <w:pPr>
        <w:keepNext/>
        <w:spacing w:after="80" w:before="220"/>
      </w:pPr>
      <w:r>
        <w:rPr>
          <w:b/>
          <w:bCs/>
          <w:color w:val="0C483D"/>
          <w:sz w:val="23"/>
          <w:szCs w:val="23"/>
        </w:rPr>
        <w:t xml:space="preserve">17. Verificabilidad de la hipótesis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Una oración de 123 palabras con tres resultados; la reducción de pagos no se comprueba en 15 días; error de sujeto en «adoptará hábitos».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Ver la prioridad 2. Además, «el comerciante… adoptará» y «los comerciantes» en la misma oración generaban un error de concordancia.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Dos hipótesis cortas con sujeto plural y la reducción de pagos como impacto esperado.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6.2.</w:t>
            </w:r>
          </w:p>
        </w:tc>
      </w:tr>
    </w:tbl>
    <w:p>
      <w:pPr>
        <w:keepNext/>
        <w:spacing w:after="80" w:before="220"/>
      </w:pPr>
      <w:r>
        <w:rPr>
          <w:b/>
          <w:bCs/>
          <w:color w:val="0C483D"/>
          <w:sz w:val="23"/>
          <w:szCs w:val="23"/>
        </w:rPr>
        <w:t xml:space="preserve">18. Umbrales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El criterio A junta dos condiciones; el criterio B no tiene umbral.</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 un criterio junta dos condiciones, no se sabe qué concluir cuando se cumple una sola; y sin umbral no hay forma de decir si se cumplió.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A se separó en A1 (reconocimiento) y A3 (aprendizaje); B tiene umbral de 7 de 10. Se acogió la sugerencia del revisor: «8 de 10 identifican al menos 3 de las 5 señales» es el criterio A1.</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6.3.</w:t>
            </w:r>
          </w:p>
        </w:tc>
      </w:tr>
    </w:tbl>
    <w:p>
      <w:pPr>
        <w:keepNext/>
        <w:spacing w:after="80" w:before="220"/>
      </w:pPr>
      <w:r>
        <w:rPr>
          <w:b/>
          <w:bCs/>
          <w:color w:val="0C483D"/>
          <w:sz w:val="23"/>
          <w:szCs w:val="23"/>
        </w:rPr>
        <w:t xml:space="preserve">19. Cobertura del PMV</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Ningún criterio evalúa el bot ni la viabilidad según los expertos del GAULA.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 el bot y la viabilidad institucional son parte del PMV, el testeo debe decir si funcionan.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Criterios C1 (uso), C2 (utilidad) y C3 (tiempo de respuesta) para el bot, y D (viabilidad con rúbrica) para los expertos. La plataforma mide C2 y C3 automáticamente con un botón «👍 Me sirvió / 👎 No entendí» y el registro del tiempo de análisis.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6.3 y anexo D. Plataforma: panel de indicadores.</w:t>
            </w:r>
          </w:p>
        </w:tc>
      </w:tr>
    </w:tbl>
    <w:p>
      <w:pPr>
        <w:keepNext/>
        <w:spacing w:after="80" w:before="220"/>
      </w:pPr>
      <w:r>
        <w:rPr>
          <w:b/>
          <w:bCs/>
          <w:color w:val="0C483D"/>
          <w:sz w:val="23"/>
          <w:szCs w:val="23"/>
        </w:rPr>
        <w:t xml:space="preserve">20. Criterios e instrumentos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El criterio B requiere observación y el instrumento declarado es una encuesta cerrada.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Una encuesta mide lo que la persona dice que haría; el criterio pide ver lo que hace.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B se mide con dos instrumentos: el registro automático del simulador (qué señales marcó y si tocó la trampa) y la lista de observación que llena el facilitador.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6.3, 6.5.3 y anexo B. Plataforma: simulador y /taller/observacion.</w:t>
            </w:r>
          </w:p>
        </w:tc>
      </w:tr>
    </w:tbl>
    <w:p>
      <w:pPr>
        <w:pStyle w:val="Heading2"/>
      </w:pPr>
      <w:r>
        <w:t xml:space="preserve">3.7 Sección 6.4 · Filtros de viabilidad y seguridad</w:t>
      </w:r>
    </w:p>
    <w:p>
      <w:pPr>
        <w:keepNext/>
        <w:spacing w:after="80" w:before="220"/>
      </w:pPr>
      <w:r>
        <w:rPr>
          <w:b/>
          <w:bCs/>
          <w:color w:val="0C483D"/>
          <w:sz w:val="23"/>
          <w:szCs w:val="23"/>
        </w:rPr>
        <w:t xml:space="preserve">21. Datos personales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es exacto que el bot no recolecte datos: WhatsApp registra el número y los reenvíos traen datos de terceros; aplica la Ley 1581 de 2012.</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El número de teléfono es un dato personal, y un mensaje reenviado puede traer nombres o números de otras personas. Negarlo dejaba al proyecto sin las medidas que exige la ley.</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reconoce el tratamiento y se describen las medidas: el número se convierte en un código anónimo irreversible, los mensajes no se guardan, los reportes se anonimizan, el aviso de privacidad está publicado, el bot informa la autorización en su primer mensaje y en el taller se firma un consentimiento.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6.4.1. Plataforma: aviso de privacidad y primer mensaje del bot.</w:t>
            </w:r>
          </w:p>
        </w:tc>
      </w:tr>
    </w:tbl>
    <w:p>
      <w:pPr>
        <w:keepNext/>
        <w:spacing w:after="80" w:before="220"/>
      </w:pPr>
      <w:r>
        <w:rPr>
          <w:b/>
          <w:bCs/>
          <w:color w:val="0C483D"/>
          <w:sz w:val="23"/>
          <w:szCs w:val="23"/>
        </w:rPr>
        <w:t xml:space="preserve">22. Aval del canal y declaración de 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 menciona el aval para operar un canal a nombre de la Policía; si el bot usa IA, declararlo según el Instructivo 013 DIEPO-VICIN de 2025.</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comerciante puede creer que habla con la Policía y esperar una actuación oficial; y el uso de IA debe ser transparente.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La página y el bot muestran «Proyecto académico de prevención. No es un canal oficial de la Policía Nacional ni reemplaza una denuncia». Se gestiona el aval para la imagen institucional. La declaración de IA está en el protocolo, en el aviso de privacidad y en el primer mensaje del bot.</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6.4.1. Pendiente: aval y formato exacto del instructivo.</w:t>
            </w:r>
          </w:p>
        </w:tc>
      </w:tr>
    </w:tbl>
    <w:p>
      <w:pPr>
        <w:keepNext/>
        <w:spacing w:after="80" w:before="220"/>
      </w:pPr>
      <w:r>
        <w:rPr>
          <w:b/>
          <w:bCs/>
          <w:color w:val="0C483D"/>
          <w:sz w:val="23"/>
          <w:szCs w:val="23"/>
        </w:rPr>
        <w:t xml:space="preserve">23. Simulacro con la marca DIAN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Un enlace «fraudulento controlado» a nombre de la DIAN puede asemejarse a la conducta del artículo 269G de la Ley 1273 de 2009 y usa una marca sin autorización.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en lo esencial. Se corrigió, con una aclaración del grupo.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La recomendación es correcta y el grupo la acoge por completo. Como aclaración, el artículo 269G castiga a quien, «con objeto ilícito y sin estar facultado para ello», diseñe o envíe páginas o enlaces que suplanten sitios; un ejercicio educativo con consentimiento no persigue un objeto ilícito, por lo que el riesgo penal era bajo. Aun así, usar la marca DIAN sin autorización y crear un enlace que funcione eran malas decisiones por ética y por imagen institucional, que es lo que la revisión señaló.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Simulador con entidades ficticias, enlaces y archivos que no funcionan, ningún dato capturado, mensajes que no se envían a los celulares, consentimiento escrito previo y cierre explicativo.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6.4.1 y anexo G. Plataforma: /simulador.</w:t>
            </w:r>
          </w:p>
        </w:tc>
      </w:tr>
    </w:tbl>
    <w:p>
      <w:pPr>
        <w:keepNext/>
        <w:spacing w:after="80" w:before="220"/>
      </w:pPr>
      <w:r>
        <w:rPr>
          <w:b/>
          <w:bCs/>
          <w:color w:val="0C483D"/>
          <w:sz w:val="23"/>
          <w:szCs w:val="23"/>
        </w:rPr>
        <w:t xml:space="preserve">24. Estructuras criminales sin fuente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Se vincula a Los Satanás, el Tren de Aragua y Los Astronautas con el phishing sin fuente.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Atribuir un delito a una estructura criminal sin fuente es una afirmación grave que no se puede sostener en un documento institucional.</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La mención queda condicionada a una fuente; si no existe, se retira y el protocolo no atribuye los casos a una estructura específica.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6.4.2. Pendiente: fuente o retiro.</w:t>
            </w:r>
          </w:p>
        </w:tc>
      </w:tr>
    </w:tbl>
    <w:p>
      <w:pPr>
        <w:keepNext/>
        <w:spacing w:after="80" w:before="220"/>
      </w:pPr>
      <w:r>
        <w:rPr>
          <w:b/>
          <w:bCs/>
          <w:color w:val="0C483D"/>
          <w:sz w:val="23"/>
          <w:szCs w:val="23"/>
        </w:rPr>
        <w:t xml:space="preserve">25. Seguridad de los cadetes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 considera la seguridad del equipo en zona comercial nocturna.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 el taller se hace en la franja de mayor criminalidad, el equipo también queda expuesto.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Medidas: grupos de al menos dos personas, aviso previo al CAI del cuadrante, punto de encuentro, hora de cierre, contacto de emergencia del frente de seguridad y suspensión ante cualquier riesgo.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6.4.2.</w:t>
            </w:r>
          </w:p>
        </w:tc>
      </w:tr>
    </w:tbl>
    <w:p>
      <w:pPr>
        <w:keepNext/>
        <w:spacing w:after="80" w:before="220"/>
      </w:pPr>
      <w:r>
        <w:rPr>
          <w:b/>
          <w:bCs/>
          <w:color w:val="0C483D"/>
          <w:sz w:val="23"/>
          <w:szCs w:val="23"/>
        </w:rPr>
        <w:t xml:space="preserve">26. Consentimiento y cierre explicativo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El consentimiento «al diligenciar» no basta para un simulacro de engaño; falta un cierre explicativo.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En un ejercicio que engaña a propósito, la persona debe aceptar antes, por escrito y sabiendo que habrá mensajes falsos; y debe salir sabiendo qué pasó.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Consentimiento escrito previo (anexo A, imprimible en /taller/consentimiento) y cierre explicativo en cada caso del simulador y al final del taller.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6.4.3 y anexo A. Plataforma: /taller.</w:t>
            </w:r>
          </w:p>
        </w:tc>
      </w:tr>
    </w:tbl>
    <w:p>
      <w:pPr>
        <w:pStyle w:val="Heading2"/>
      </w:pPr>
      <w:r>
        <w:t xml:space="preserve">3.8 Sección 6.5 · Experimentación y muestra</w:t>
      </w:r>
    </w:p>
    <w:p>
      <w:pPr>
        <w:keepNext/>
        <w:spacing w:after="80" w:before="220"/>
      </w:pPr>
      <w:r>
        <w:rPr>
          <w:b/>
          <w:bCs/>
          <w:color w:val="0C483D"/>
          <w:sz w:val="23"/>
          <w:szCs w:val="23"/>
        </w:rPr>
        <w:t xml:space="preserve">27. Usuarios y expertos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Faltan criterios de exclusión; los expertos del GAULA se describen para el diagnóstico y no para evaluar el PMV.</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Sin exclusión no se sabe a quién no incluir, y si los expertos no evalúan el PMV, su participación no aporta al testeo.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Criterios de exclusión (menores de edad, quienes no firman el consentimiento, quienes participaron en la validación y quienes no quieren el simulacro) y expertos como evaluadores con rúbrica.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6.5.1 y anexo D.</w:t>
            </w:r>
          </w:p>
        </w:tc>
      </w:tr>
    </w:tbl>
    <w:p>
      <w:pPr>
        <w:keepNext/>
        <w:spacing w:after="80" w:before="220"/>
      </w:pPr>
      <w:r>
        <w:rPr>
          <w:b/>
          <w:bCs/>
          <w:color w:val="0C483D"/>
          <w:sz w:val="23"/>
          <w:szCs w:val="23"/>
        </w:rPr>
        <w:t xml:space="preserve">28. Tipo y tamaño de muestra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Muestreo intencional y por conveniencia a la vez; 9 combinaciones no caben en 10 personas; se usa el mismo grupo del diagnóstico.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Son dos tipos de muestreo distintos; y repetir el grupo del diagnóstico puede inflar los resultados porque esas personas ya conocen el tema.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Muestreo intencional, tabla con la distribución real de los 10 participantes y advertencia del sesgo, que se controla comparando a cada persona consigo misma.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6.5.2. Pendiente: distribución real.</w:t>
            </w:r>
          </w:p>
        </w:tc>
      </w:tr>
    </w:tbl>
    <w:p>
      <w:pPr>
        <w:keepNext/>
        <w:spacing w:after="80" w:before="220"/>
      </w:pPr>
      <w:r>
        <w:rPr>
          <w:b/>
          <w:bCs/>
          <w:color w:val="0C483D"/>
          <w:sz w:val="23"/>
          <w:szCs w:val="23"/>
        </w:rPr>
        <w:t xml:space="preserve">29. Herramientas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Se listan instrumentos de todas las fases; 30 ítems pueden ser muchos en horario de atención; no se menciona la validación.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La sección del testeo solo debe tener lo que se aplica en el testeo, y un comerciante atendiendo clientes no responde 30 preguntas.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Solo instrumentos del testeo (pruebas, simulador, lista de observación, registro del bot, encuestas, entrevista a expertos y matriz), cerca de 17 ítems, y validación por juicio de expertos y prueba piloto.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6.5.3 y anexo C. Pendiente: datos de la validación.</w:t>
            </w:r>
          </w:p>
        </w:tc>
      </w:tr>
    </w:tbl>
    <w:p>
      <w:pPr>
        <w:keepNext/>
        <w:spacing w:after="80" w:before="220"/>
      </w:pPr>
      <w:r>
        <w:rPr>
          <w:b/>
          <w:bCs/>
          <w:color w:val="0C483D"/>
          <w:sz w:val="23"/>
          <w:szCs w:val="23"/>
        </w:rPr>
        <w:t xml:space="preserve">30. Lugar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Adjuntar evidencia del aval del frente de seguridad y del GAULA.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Sin aval, no está garantizado que el testeo pueda hacerse en esas cuadras.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Anexo I reservado para los avales.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6.5.4 y anexo I. Pendiente: avales.</w:t>
            </w:r>
          </w:p>
        </w:tc>
      </w:tr>
    </w:tbl>
    <w:p>
      <w:pPr>
        <w:keepNext/>
        <w:spacing w:after="80" w:before="220"/>
      </w:pPr>
      <w:r>
        <w:rPr>
          <w:b/>
          <w:bCs/>
          <w:color w:val="0C483D"/>
          <w:sz w:val="23"/>
          <w:szCs w:val="23"/>
        </w:rPr>
        <w:t xml:space="preserve">31. Momento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 precisan los días ni se resuelve el traslape de franjas.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Sin fechas, no se puede verificar que los 15 días y los 4 talleres sean posibles en noviembre.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Cronograma con fechas, horas, cuadras y responsables, y franja única.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6.5.5. Pendiente: fechas.</w:t>
            </w:r>
          </w:p>
        </w:tc>
      </w:tr>
    </w:tbl>
    <w:p>
      <w:pPr>
        <w:pStyle w:val="Heading2"/>
      </w:pPr>
      <w:r>
        <w:t xml:space="preserve">3.9 Secciones 7 a 10</w:t>
      </w:r>
    </w:p>
    <w:p>
      <w:pPr>
        <w:keepNext/>
        <w:spacing w:after="80" w:before="220"/>
      </w:pPr>
      <w:r>
        <w:rPr>
          <w:b/>
          <w:bCs/>
          <w:color w:val="0C483D"/>
          <w:sz w:val="23"/>
          <w:szCs w:val="23"/>
        </w:rPr>
        <w:t xml:space="preserve">32. Hallazgos, conclusiones y conceptos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Al diligenciarlas, organizar los hallazgos en la matriz de cuatro cuadrantes y justificar la decisión con los umbrales.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ECFDF3" w:color="auto" w:val="clear"/>
            <w:tcMar>
              <w:top w:type="dxa" w:w="60"/>
              <w:left w:type="dxa" w:w="100"/>
              <w:bottom w:type="dxa" w:w="60"/>
              <w:right w:type="dxa" w:w="100"/>
            </w:tcMar>
          </w:tcPr>
          <w:p>
            <w:r>
              <w:rPr>
                <w:b/>
                <w:bCs/>
              </w:rPr>
              <w:t xml:space="preserve">Correcta. Se corrigió tal como se pidió.</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Así la decisión de validar, iterar o replantear se basa en datos y no en impresiones.</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Instrucciones en las secciones 7 a 9, matriz en el anexo E y regla de decisión en 6.3. El panel calcula los indicadores de cada criterio.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secciones 7 a 9 y anexo E.</w:t>
            </w:r>
          </w:p>
        </w:tc>
      </w:tr>
    </w:tbl>
    <w:p>
      <w:r>
        <w:br w:type="page"/>
      </w:r>
    </w:p>
    <w:p>
      <w:pPr>
        <w:pStyle w:val="Heading1"/>
      </w:pPr>
      <w:r>
        <w:t xml:space="preserve">4. Aclaraciones del grupo</w:t>
      </w:r>
    </w:p>
    <w:p>
      <w:pPr>
        <w:spacing w:after="140" w:line="300"/>
        <w:jc w:val="both"/>
      </w:pPr>
      <w:r>
        <w:t xml:space="preserve">El grupo acepta todas las observaciones. En tres casos, sin embargo, considera útil precisar el alcance de la observación: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6"/>
        <w:gridCol w:w="4242"/>
        <w:gridCol w:w="2892"/>
      </w:tblGrid>
      <w:tr>
        <w:trPr>
          <w:tblHeader/>
        </w:trPr>
        <w:tc>
          <w:tcPr>
            <w:tcW w:type="dxa" w:w="2506"/>
            <w:shd w:fill="D1FAEC" w:color="auto" w:val="clear"/>
            <w:tcMar>
              <w:top w:type="dxa" w:w="60"/>
              <w:left w:type="dxa" w:w="100"/>
              <w:bottom w:type="dxa" w:w="60"/>
              <w:right w:type="dxa" w:w="100"/>
            </w:tcMar>
          </w:tcPr>
          <w:p>
            <w:pPr>
              <w:spacing w:after="40"/>
            </w:pPr>
            <w:r>
              <w:rPr>
                <w:b/>
                <w:bCs/>
                <w:sz w:val="19"/>
                <w:szCs w:val="19"/>
              </w:rPr>
              <w:t xml:space="preserve">Observación</w:t>
            </w:r>
          </w:p>
        </w:tc>
        <w:tc>
          <w:tcPr>
            <w:tcW w:type="dxa" w:w="4242"/>
            <w:shd w:fill="D1FAEC" w:color="auto" w:val="clear"/>
            <w:tcMar>
              <w:top w:type="dxa" w:w="60"/>
              <w:left w:type="dxa" w:w="100"/>
              <w:bottom w:type="dxa" w:w="60"/>
              <w:right w:type="dxa" w:w="100"/>
            </w:tcMar>
          </w:tcPr>
          <w:p>
            <w:pPr>
              <w:spacing w:after="40"/>
            </w:pPr>
            <w:r>
              <w:rPr>
                <w:b/>
                <w:bCs/>
                <w:sz w:val="19"/>
                <w:szCs w:val="19"/>
              </w:rPr>
              <w:t xml:space="preserve">Aclaración</w:t>
            </w:r>
          </w:p>
        </w:tc>
        <w:tc>
          <w:tcPr>
            <w:tcW w:type="dxa" w:w="2892"/>
            <w:shd w:fill="D1FAEC" w:color="auto" w:val="clear"/>
            <w:tcMar>
              <w:top w:type="dxa" w:w="60"/>
              <w:left w:type="dxa" w:w="100"/>
              <w:bottom w:type="dxa" w:w="60"/>
              <w:right w:type="dxa" w:w="100"/>
            </w:tcMar>
          </w:tcPr>
          <w:p>
            <w:pPr>
              <w:spacing w:after="40"/>
            </w:pPr>
            <w:r>
              <w:rPr>
                <w:b/>
                <w:bCs/>
                <w:sz w:val="19"/>
                <w:szCs w:val="19"/>
              </w:rPr>
              <w:t xml:space="preserve">Efecto en la corrección</w:t>
            </w:r>
          </w:p>
        </w:tc>
      </w:tr>
      <w:tr>
        <w:trPr>
          <w:cantSplit/>
        </w:trPr>
        <w:tc>
          <w:tcPr>
            <w:tcW w:type="dxa" w:w="2506"/>
            <w:tcMar>
              <w:top w:type="dxa" w:w="60"/>
              <w:left w:type="dxa" w:w="100"/>
              <w:bottom w:type="dxa" w:w="60"/>
              <w:right w:type="dxa" w:w="100"/>
            </w:tcMar>
          </w:tcPr>
          <w:p>
            <w:pPr>
              <w:spacing w:after="40"/>
            </w:pPr>
            <w:r>
              <w:t xml:space="preserve">Artículo 269G de la Ley 1273 de 2009</w:t>
            </w:r>
          </w:p>
        </w:tc>
        <w:tc>
          <w:tcPr>
            <w:tcW w:type="dxa" w:w="4242"/>
            <w:tcMar>
              <w:top w:type="dxa" w:w="60"/>
              <w:left w:type="dxa" w:w="100"/>
              <w:bottom w:type="dxa" w:w="60"/>
              <w:right w:type="dxa" w:w="100"/>
            </w:tcMar>
          </w:tcPr>
          <w:p>
            <w:pPr>
              <w:spacing w:after="40"/>
            </w:pPr>
            <w:r>
              <w:t xml:space="preserve">El tipo penal exige actuar «con objeto ilícito y sin estar facultado para ello». Un simulacro educativo con consentimiento no tiene un objeto ilícito, por lo que el riesgo penal era bajo.</w:t>
            </w:r>
          </w:p>
        </w:tc>
        <w:tc>
          <w:tcPr>
            <w:tcW w:type="dxa" w:w="2892"/>
            <w:tcMar>
              <w:top w:type="dxa" w:w="60"/>
              <w:left w:type="dxa" w:w="100"/>
              <w:bottom w:type="dxa" w:w="60"/>
              <w:right w:type="dxa" w:w="100"/>
            </w:tcMar>
          </w:tcPr>
          <w:p>
            <w:pPr>
              <w:spacing w:after="40"/>
            </w:pPr>
            <w:r>
              <w:t xml:space="preserve">Ninguno: el simulacro se rediseñó igual, porque el uso de la marca sin autorización y el engaño sin consentimiento suficiente sí eran problemas reales.</w:t>
            </w:r>
          </w:p>
        </w:tc>
      </w:tr>
      <w:tr>
        <w:trPr>
          <w:cantSplit/>
        </w:trPr>
        <w:tc>
          <w:tcPr>
            <w:tcW w:type="dxa" w:w="2506"/>
            <w:tcMar>
              <w:top w:type="dxa" w:w="60"/>
              <w:left w:type="dxa" w:w="100"/>
              <w:bottom w:type="dxa" w:w="60"/>
              <w:right w:type="dxa" w:w="100"/>
            </w:tcMar>
          </w:tcPr>
          <w:p>
            <w:pPr>
              <w:spacing w:after="40"/>
            </w:pPr>
            <w:r>
              <w:t xml:space="preserve">WhatsApp Business solo permite respuestas automáticas básicas</w:t>
            </w:r>
          </w:p>
        </w:tc>
        <w:tc>
          <w:tcPr>
            <w:tcW w:type="dxa" w:w="4242"/>
            <w:tcMar>
              <w:top w:type="dxa" w:w="60"/>
              <w:left w:type="dxa" w:w="100"/>
              <w:bottom w:type="dxa" w:w="60"/>
              <w:right w:type="dxa" w:w="100"/>
            </w:tcMar>
          </w:tcPr>
          <w:p>
            <w:pPr>
              <w:spacing w:after="40"/>
            </w:pPr>
            <w:r>
              <w:t xml:space="preserve">Eso aplica a la aplicación WhatsApp Business. La plataforma de API de WhatsApp permite un bot completo.</w:t>
            </w:r>
          </w:p>
        </w:tc>
        <w:tc>
          <w:tcPr>
            <w:tcW w:type="dxa" w:w="2892"/>
            <w:tcMar>
              <w:top w:type="dxa" w:w="60"/>
              <w:left w:type="dxa" w:w="100"/>
              <w:bottom w:type="dxa" w:w="60"/>
              <w:right w:type="dxa" w:w="100"/>
            </w:tcMar>
          </w:tcPr>
          <w:p>
            <w:pPr>
              <w:spacing w:after="40"/>
            </w:pPr>
            <w:r>
              <w:t xml:space="preserve">Ninguno: la observación de fondo era correcta («sin costo de desarrollo» no era coherente). El bot ya se desarrolló.</w:t>
            </w:r>
          </w:p>
        </w:tc>
      </w:tr>
      <w:tr>
        <w:trPr>
          <w:cantSplit/>
        </w:trPr>
        <w:tc>
          <w:tcPr>
            <w:tcW w:type="dxa" w:w="2506"/>
            <w:tcMar>
              <w:top w:type="dxa" w:w="60"/>
              <w:left w:type="dxa" w:w="100"/>
              <w:bottom w:type="dxa" w:w="60"/>
              <w:right w:type="dxa" w:w="100"/>
            </w:tcMar>
          </w:tcPr>
          <w:p>
            <w:pPr>
              <w:spacing w:after="40"/>
            </w:pPr>
            <w:r>
              <w:t xml:space="preserve">Riesgo de originalidad</w:t>
            </w:r>
          </w:p>
        </w:tc>
        <w:tc>
          <w:tcPr>
            <w:tcW w:type="dxa" w:w="4242"/>
            <w:tcMar>
              <w:top w:type="dxa" w:w="60"/>
              <w:left w:type="dxa" w:w="100"/>
              <w:bottom w:type="dxa" w:w="60"/>
              <w:right w:type="dxa" w:w="100"/>
            </w:tcMar>
          </w:tcPr>
          <w:p>
            <w:pPr>
              <w:spacing w:after="40"/>
            </w:pPr>
            <w:r>
              <w:t xml:space="preserve">El contenido del proyecto (problema, cifras, idea y solución) es elaboración del grupo; la frase ajena provenía de una plantilla.</w:t>
            </w:r>
          </w:p>
        </w:tc>
        <w:tc>
          <w:tcPr>
            <w:tcW w:type="dxa" w:w="2892"/>
            <w:tcMar>
              <w:top w:type="dxa" w:w="60"/>
              <w:left w:type="dxa" w:w="100"/>
              <w:bottom w:type="dxa" w:w="60"/>
              <w:right w:type="dxa" w:w="100"/>
            </w:tcMar>
          </w:tcPr>
          <w:p>
            <w:pPr>
              <w:spacing w:after="40"/>
            </w:pPr>
            <w:r>
              <w:t xml:space="preserve">Ninguno: el protocolo se redactó completo de nuevo.</w:t>
            </w:r>
          </w:p>
        </w:tc>
      </w:tr>
    </w:tbl>
    <w:p>
      <w:r>
        <w:br w:type="page"/>
      </w:r>
    </w:p>
    <w:p>
      <w:pPr>
        <w:pStyle w:val="Heading1"/>
      </w:pPr>
      <w:r>
        <w:t xml:space="preserve">5. Mejoras que la revisión no señaló</w:t>
      </w:r>
    </w:p>
    <w:p>
      <w:pPr>
        <w:spacing w:after="140" w:line="300"/>
        <w:jc w:val="both"/>
      </w:pPr>
      <w:r>
        <w:t xml:space="preserve">Al revisar el protocolo con detalle, el grupo encontró otros puntos que también se corrigieron:</w:t>
      </w:r>
    </w:p>
    <w:p>
      <w:pPr>
        <w:keepNext/>
        <w:spacing w:after="80" w:before="220"/>
      </w:pPr>
      <w:r>
        <w:rPr>
          <w:b/>
          <w:bCs/>
          <w:color w:val="0C483D"/>
          <w:sz w:val="23"/>
          <w:szCs w:val="23"/>
        </w:rPr>
        <w:t xml:space="preserve">33. Porcentaje mal citado del phishing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señalado.) En algunos textos del grupo se escribió «el 25 % de las ciberextorsiones son phishing».</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FFF7ED" w:color="auto" w:val="clear"/>
            <w:tcMar>
              <w:top w:type="dxa" w:w="60"/>
              <w:left w:type="dxa" w:w="100"/>
              <w:bottom w:type="dxa" w:w="60"/>
              <w:right w:type="dxa" w:w="100"/>
            </w:tcMar>
          </w:tcPr>
          <w:p>
            <w:r>
              <w:rPr>
                <w:b/>
                <w:bCs/>
              </w:rPr>
              <w:t xml:space="preserve">Error del grupo. Corregido.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Según las propias cifras, el 25 % de las extorsiones (109 de 436) son ciberextorsión, y el 68 % de las ciberextorsiones (74 de 109) se cometieron por phishing. Confundir las dos proporciones subestima el problema.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El protocolo v2 usa las dos proporciones correctamente.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5.1.</w:t>
            </w:r>
          </w:p>
        </w:tc>
      </w:tr>
    </w:tbl>
    <w:p>
      <w:pPr>
        <w:keepNext/>
        <w:spacing w:after="80" w:before="220"/>
      </w:pPr>
      <w:r>
        <w:rPr>
          <w:b/>
          <w:bCs/>
          <w:color w:val="0C483D"/>
          <w:sz w:val="23"/>
          <w:szCs w:val="23"/>
        </w:rPr>
        <w:t xml:space="preserve">34. Contraseñas: parte de la causa sin solución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señalado.) La causa incluye la «falta de contraseñas fuertes», pero el kit de 5 puntos no trata ese tema.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FFF7ED" w:color="auto" w:val="clear"/>
            <w:tcMar>
              <w:top w:type="dxa" w:w="60"/>
              <w:left w:type="dxa" w:w="100"/>
              <w:bottom w:type="dxa" w:w="60"/>
              <w:right w:type="dxa" w:w="100"/>
            </w:tcMar>
          </w:tcPr>
          <w:p>
            <w:r>
              <w:rPr>
                <w:b/>
                <w:bCs/>
              </w:rPr>
              <w:t xml:space="preserve">Incoherencia del grupo. Corregida.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Si una parte de la causa no tiene ninguna acción en la solución, el reto no la atiende.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Se agregó al taller un bloque de 4 minutos, «Cuida tus cuentas» (contraseñas robustas y verificación en dos pasos en WhatsApp y en la app del banco), y una práctica de 5 preguntas con el mismo nombre en el aula virtual.</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5.3, 6.5.3 y anexo F. Plataforma: /aula/cuida-tus-cuentas.</w:t>
            </w:r>
          </w:p>
        </w:tc>
      </w:tr>
    </w:tbl>
    <w:p>
      <w:pPr>
        <w:keepNext/>
        <w:spacing w:after="80" w:before="220"/>
      </w:pPr>
      <w:r>
        <w:rPr>
          <w:b/>
          <w:bCs/>
          <w:color w:val="0C483D"/>
          <w:sz w:val="23"/>
          <w:szCs w:val="23"/>
        </w:rPr>
        <w:t xml:space="preserve">35. Tablet compartida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señalado.) Si varios comerciantes usan la misma tablet, sus pruebas de entrada y salida se mezclan.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FFF7ED" w:color="auto" w:val="clear"/>
            <w:tcMar>
              <w:top w:type="dxa" w:w="60"/>
              <w:left w:type="dxa" w:w="100"/>
              <w:bottom w:type="dxa" w:w="60"/>
              <w:right w:type="dxa" w:w="100"/>
            </w:tcMar>
          </w:tcPr>
          <w:p>
            <w:r>
              <w:rPr>
                <w:b/>
                <w:bCs/>
              </w:rPr>
              <w:t xml:space="preserve">Riesgo de medición. Corregido.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El «antes y después» de cada persona solo es válido si se registra por separado.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Modo taller: el facilitador asigna un código de participante (T1-P01) y todo lo que la persona hace queda con ese código, sin pedir su nombre.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6.5.2. Plataforma: /taller.</w:t>
            </w:r>
          </w:p>
        </w:tc>
      </w:tr>
    </w:tbl>
    <w:p>
      <w:pPr>
        <w:keepNext/>
        <w:spacing w:after="80" w:before="220"/>
      </w:pPr>
      <w:r>
        <w:rPr>
          <w:b/>
          <w:bCs/>
          <w:color w:val="0C483D"/>
          <w:sz w:val="23"/>
          <w:szCs w:val="23"/>
        </w:rPr>
        <w:t xml:space="preserve">36. Uso de la imagen institucional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(Relacionado con el aval del canal.) El personaje del proyecto usa un uniforme similar al de la Policía.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FFF7ED" w:color="auto" w:val="clear"/>
            <w:tcMar>
              <w:top w:type="dxa" w:w="60"/>
              <w:left w:type="dxa" w:w="100"/>
              <w:bottom w:type="dxa" w:w="60"/>
              <w:right w:type="dxa" w:w="100"/>
            </w:tcMar>
          </w:tcPr>
          <w:p>
            <w:r>
              <w:rPr>
                <w:b/>
                <w:bCs/>
              </w:rPr>
              <w:t xml:space="preserve">Riesgo de confusión. Mitigado.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comerciante podría creer que la página es un canal oficial de denuncia.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Aviso de proyecto académico en todas las páginas y gestión del aval para la imagen.</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6.4.1. Plataforma: pie de página y aviso de privacidad.</w:t>
            </w:r>
          </w:p>
        </w:tc>
      </w:tr>
    </w:tbl>
    <w:p>
      <w:pPr>
        <w:keepNext/>
        <w:spacing w:after="80" w:before="220"/>
      </w:pPr>
      <w:r>
        <w:rPr>
          <w:b/>
          <w:bCs/>
          <w:color w:val="0C483D"/>
          <w:sz w:val="23"/>
          <w:szCs w:val="23"/>
        </w:rPr>
        <w:t xml:space="preserve">37. Seguimiento a los 15 días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(No señalado.) El protocolo no tenía cómo saber si el comerciante usó el bot y el kit después del taller.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FFF7ED" w:color="auto" w:val="clear"/>
            <w:tcMar>
              <w:top w:type="dxa" w:w="60"/>
              <w:left w:type="dxa" w:w="100"/>
              <w:bottom w:type="dxa" w:w="60"/>
              <w:right w:type="dxa" w:w="100"/>
            </w:tcMar>
          </w:tcPr>
          <w:p>
            <w:r>
              <w:rPr>
                <w:b/>
                <w:bCs/>
              </w:rPr>
              <w:t xml:space="preserve">Vacío de medición. Corregido.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El criterio C1 (uso del bot) necesita un dato al final del pilotaje.</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Encuesta de seguimiento de 7 preguntas para el día 15.</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6.5.3 y anexo C. Plataforma: /aula/encuesta-de-seguimiento.</w:t>
            </w:r>
          </w:p>
        </w:tc>
      </w:tr>
    </w:tbl>
    <w:p>
      <w:pPr>
        <w:keepNext/>
        <w:spacing w:after="80" w:before="220"/>
      </w:pPr>
      <w:r>
        <w:rPr>
          <w:b/>
          <w:bCs/>
          <w:color w:val="0C483D"/>
          <w:sz w:val="23"/>
          <w:szCs w:val="23"/>
        </w:rPr>
        <w:t xml:space="preserve">38. Instrumentos listos para usar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21"/>
        <w:gridCol w:w="7519"/>
      </w:tblGrid>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Qué dijo la revisión</w:t>
            </w:r>
          </w:p>
        </w:tc>
        <w:tc>
          <w:tcPr>
            <w:tcW w:type="dxa" w:w="7519"/>
            <w:tcMar>
              <w:top w:type="dxa" w:w="60"/>
              <w:left w:type="dxa" w:w="100"/>
              <w:bottom w:type="dxa" w:w="60"/>
              <w:right w:type="dxa" w:w="100"/>
            </w:tcMar>
          </w:tcPr>
          <w:p>
            <w:r>
              <w:t xml:space="preserve">(Relacionado con 6.5.3.) La revisión pidió adjuntar el instrumento y el consentimiento.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¿Tenía razón?</w:t>
            </w:r>
          </w:p>
        </w:tc>
        <w:tc>
          <w:tcPr>
            <w:tcW w:type="dxa" w:w="7519"/>
            <w:shd w:fill="FFF7ED" w:color="auto" w:val="clear"/>
            <w:tcMar>
              <w:top w:type="dxa" w:w="60"/>
              <w:left w:type="dxa" w:w="100"/>
              <w:bottom w:type="dxa" w:w="60"/>
              <w:right w:type="dxa" w:w="100"/>
            </w:tcMar>
          </w:tcPr>
          <w:p>
            <w:r>
              <w:rPr>
                <w:b/>
                <w:bCs/>
              </w:rPr>
              <w:t xml:space="preserve">Completado.</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Por qué</w:t>
            </w:r>
          </w:p>
        </w:tc>
        <w:tc>
          <w:tcPr>
            <w:tcW w:type="dxa" w:w="7519"/>
            <w:tcMar>
              <w:top w:type="dxa" w:w="60"/>
              <w:left w:type="dxa" w:w="100"/>
              <w:bottom w:type="dxa" w:w="60"/>
              <w:right w:type="dxa" w:w="100"/>
            </w:tcMar>
          </w:tcPr>
          <w:p>
            <w:r>
              <w:t xml:space="preserve">Un instrumento descrito pero no elaborado no se puede validar ni aplicar.</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Cómo se solucionó</w:t>
            </w:r>
          </w:p>
        </w:tc>
        <w:tc>
          <w:tcPr>
            <w:tcW w:type="dxa" w:w="7519"/>
            <w:tcMar>
              <w:top w:type="dxa" w:w="60"/>
              <w:left w:type="dxa" w:w="100"/>
              <w:bottom w:type="dxa" w:w="60"/>
              <w:right w:type="dxa" w:w="100"/>
            </w:tcMar>
          </w:tcPr>
          <w:p>
            <w:r>
              <w:t xml:space="preserve">Formatos imprimibles en la plataforma: consentimiento (/taller/consentimiento), lista de observación (/taller/observacion) y kit (/kit). Las pruebas, el simulador y las encuestas funcionan en línea.</w:t>
            </w:r>
          </w:p>
        </w:tc>
      </w:tr>
      <w:tr>
        <w:trPr>
          <w:cantSplit/>
        </w:trPr>
        <w:tc>
          <w:tcPr>
            <w:tcW w:type="dxa" w:w="2121"/>
            <w:shd w:fill="F3F7F5" w:color="auto" w:val="clear"/>
            <w:tcMar>
              <w:top w:type="dxa" w:w="60"/>
              <w:left w:type="dxa" w:w="100"/>
              <w:bottom w:type="dxa" w:w="60"/>
              <w:right w:type="dxa" w:w="100"/>
            </w:tcMar>
          </w:tcPr>
          <w:p>
            <w:r>
              <w:rPr>
                <w:b/>
                <w:bCs/>
                <w:color w:val="10201C"/>
                <w:sz w:val="19"/>
                <w:szCs w:val="19"/>
              </w:rPr>
              <w:t xml:space="preserve">Dónde quedó</w:t>
            </w:r>
          </w:p>
        </w:tc>
        <w:tc>
          <w:tcPr>
            <w:tcW w:type="dxa" w:w="7519"/>
            <w:tcMar>
              <w:top w:type="dxa" w:w="60"/>
              <w:left w:type="dxa" w:w="100"/>
              <w:bottom w:type="dxa" w:w="60"/>
              <w:right w:type="dxa" w:w="100"/>
            </w:tcMar>
          </w:tcPr>
          <w:p>
            <w:r>
              <w:t xml:space="preserve">Protocolo v2, anexos A a D. Plataforma: /taller.</w:t>
            </w:r>
          </w:p>
        </w:tc>
      </w:tr>
    </w:tbl>
    <w:p>
      <w:r>
        <w:br w:type="page"/>
      </w:r>
    </w:p>
    <w:p>
      <w:pPr>
        <w:pStyle w:val="Heading1"/>
      </w:pPr>
      <w:r>
        <w:t xml:space="preserve">6. Cumplimiento de los compromisos para la siguiente entrega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2314"/>
        <w:gridCol w:w="2506"/>
      </w:tblGrid>
      <w:tr>
        <w:trPr>
          <w:tblHeader/>
        </w:trPr>
        <w:tc>
          <w:tcPr>
            <w:tcW w:type="dxa" w:w="4820"/>
            <w:shd w:fill="D1FAEC" w:color="auto" w:val="clear"/>
            <w:tcMar>
              <w:top w:type="dxa" w:w="60"/>
              <w:left w:type="dxa" w:w="100"/>
              <w:bottom w:type="dxa" w:w="60"/>
              <w:right w:type="dxa" w:w="100"/>
            </w:tcMar>
          </w:tcPr>
          <w:p>
            <w:pPr>
              <w:spacing w:after="40"/>
            </w:pPr>
            <w:r>
              <w:rPr>
                <w:b/>
                <w:bCs/>
                <w:sz w:val="19"/>
                <w:szCs w:val="19"/>
              </w:rPr>
              <w:t xml:space="preserve">Compromiso de la revisión</w:t>
            </w:r>
          </w:p>
        </w:tc>
        <w:tc>
          <w:tcPr>
            <w:tcW w:type="dxa" w:w="2314"/>
            <w:shd w:fill="D1FAEC" w:color="auto" w:val="clear"/>
            <w:tcMar>
              <w:top w:type="dxa" w:w="60"/>
              <w:left w:type="dxa" w:w="100"/>
              <w:bottom w:type="dxa" w:w="60"/>
              <w:right w:type="dxa" w:w="100"/>
            </w:tcMar>
          </w:tcPr>
          <w:p>
            <w:pPr>
              <w:spacing w:after="40"/>
            </w:pPr>
            <w:r>
              <w:rPr>
                <w:b/>
                <w:bCs/>
                <w:sz w:val="19"/>
                <w:szCs w:val="19"/>
              </w:rPr>
              <w:t xml:space="preserve">Estado</w:t>
            </w:r>
          </w:p>
        </w:tc>
        <w:tc>
          <w:tcPr>
            <w:tcW w:type="dxa" w:w="2506"/>
            <w:shd w:fill="D1FAEC" w:color="auto" w:val="clear"/>
            <w:tcMar>
              <w:top w:type="dxa" w:w="60"/>
              <w:left w:type="dxa" w:w="100"/>
              <w:bottom w:type="dxa" w:w="60"/>
              <w:right w:type="dxa" w:w="100"/>
            </w:tcMar>
          </w:tcPr>
          <w:p>
            <w:pPr>
              <w:spacing w:after="40"/>
            </w:pPr>
            <w:r>
              <w:rPr>
                <w:b/>
                <w:bCs/>
                <w:sz w:val="19"/>
                <w:szCs w:val="19"/>
              </w:rPr>
              <w:t xml:space="preserve">Evidencia</w:t>
            </w:r>
          </w:p>
        </w:tc>
      </w:tr>
      <w:tr>
        <w:trPr>
          <w:cantSplit/>
        </w:trPr>
        <w:tc>
          <w:tcPr>
            <w:tcW w:type="dxa" w:w="4820"/>
            <w:tcMar>
              <w:top w:type="dxa" w:w="60"/>
              <w:left w:type="dxa" w:w="100"/>
              <w:bottom w:type="dxa" w:w="60"/>
              <w:right w:type="dxa" w:w="100"/>
            </w:tcMar>
          </w:tcPr>
          <w:p>
            <w:pPr>
              <w:spacing w:after="40"/>
            </w:pPr>
            <w:r>
              <w:t xml:space="preserve">(i) Retirar la frase de otro proyecto en 6.4.3</w:t>
            </w:r>
          </w:p>
        </w:tc>
        <w:tc>
          <w:tcPr>
            <w:tcW w:type="dxa" w:w="2314"/>
            <w:tcMar>
              <w:top w:type="dxa" w:w="60"/>
              <w:left w:type="dxa" w:w="100"/>
              <w:bottom w:type="dxa" w:w="60"/>
              <w:right w:type="dxa" w:w="100"/>
            </w:tcMar>
          </w:tcPr>
          <w:p>
            <w:pPr>
              <w:spacing w:after="40"/>
            </w:pPr>
            <w:r>
              <w:t xml:space="preserve">Cumplido</w:t>
            </w:r>
          </w:p>
        </w:tc>
        <w:tc>
          <w:tcPr>
            <w:tcW w:type="dxa" w:w="2506"/>
            <w:tcMar>
              <w:top w:type="dxa" w:w="60"/>
              <w:left w:type="dxa" w:w="100"/>
              <w:bottom w:type="dxa" w:w="60"/>
              <w:right w:type="dxa" w:w="100"/>
            </w:tcMar>
          </w:tcPr>
          <w:p>
            <w:pPr>
              <w:spacing w:after="40"/>
            </w:pPr>
            <w:r>
              <w:t xml:space="preserve">Protocolo v2, 6.4.3</w:t>
            </w:r>
          </w:p>
        </w:tc>
      </w:tr>
      <w:tr>
        <w:trPr>
          <w:cantSplit/>
        </w:trPr>
        <w:tc>
          <w:tcPr>
            <w:tcW w:type="dxa" w:w="4820"/>
            <w:tcMar>
              <w:top w:type="dxa" w:w="60"/>
              <w:left w:type="dxa" w:w="100"/>
              <w:bottom w:type="dxa" w:w="60"/>
              <w:right w:type="dxa" w:w="100"/>
            </w:tcMar>
          </w:tcPr>
          <w:p>
            <w:pPr>
              <w:spacing w:after="40"/>
            </w:pPr>
            <w:r>
              <w:t xml:space="preserve">(ii) Definir el alcance real del bot y unificar 5.3, 6.1 y 6.4.2</w:t>
            </w:r>
          </w:p>
        </w:tc>
        <w:tc>
          <w:tcPr>
            <w:tcW w:type="dxa" w:w="2314"/>
            <w:tcMar>
              <w:top w:type="dxa" w:w="60"/>
              <w:left w:type="dxa" w:w="100"/>
              <w:bottom w:type="dxa" w:w="60"/>
              <w:right w:type="dxa" w:w="100"/>
            </w:tcMar>
          </w:tcPr>
          <w:p>
            <w:pPr>
              <w:spacing w:after="40"/>
            </w:pPr>
            <w:r>
              <w:t xml:space="preserve">Cumplido</w:t>
            </w:r>
          </w:p>
        </w:tc>
        <w:tc>
          <w:tcPr>
            <w:tcW w:type="dxa" w:w="2506"/>
            <w:tcMar>
              <w:top w:type="dxa" w:w="60"/>
              <w:left w:type="dxa" w:w="100"/>
              <w:bottom w:type="dxa" w:w="60"/>
              <w:right w:type="dxa" w:w="100"/>
            </w:tcMar>
          </w:tcPr>
          <w:p>
            <w:pPr>
              <w:spacing w:after="40"/>
            </w:pPr>
            <w:r>
              <w:t xml:space="preserve">Protocolo v2, 5.3 y 6.1; plataforma</w:t>
            </w:r>
          </w:p>
        </w:tc>
      </w:tr>
      <w:tr>
        <w:trPr>
          <w:cantSplit/>
        </w:trPr>
        <w:tc>
          <w:tcPr>
            <w:tcW w:type="dxa" w:w="4820"/>
            <w:tcMar>
              <w:top w:type="dxa" w:w="60"/>
              <w:left w:type="dxa" w:w="100"/>
              <w:bottom w:type="dxa" w:w="60"/>
              <w:right w:type="dxa" w:w="100"/>
            </w:tcMar>
          </w:tcPr>
          <w:p>
            <w:pPr>
              <w:spacing w:after="40"/>
            </w:pPr>
            <w:r>
              <w:t xml:space="preserve">(iii) Reformular el simulacro sin enlace funcional a nombre de la DIAN</w:t>
            </w:r>
          </w:p>
        </w:tc>
        <w:tc>
          <w:tcPr>
            <w:tcW w:type="dxa" w:w="2314"/>
            <w:tcMar>
              <w:top w:type="dxa" w:w="60"/>
              <w:left w:type="dxa" w:w="100"/>
              <w:bottom w:type="dxa" w:w="60"/>
              <w:right w:type="dxa" w:w="100"/>
            </w:tcMar>
          </w:tcPr>
          <w:p>
            <w:pPr>
              <w:spacing w:after="40"/>
            </w:pPr>
            <w:r>
              <w:t xml:space="preserve">Cumplido</w:t>
            </w:r>
          </w:p>
        </w:tc>
        <w:tc>
          <w:tcPr>
            <w:tcW w:type="dxa" w:w="2506"/>
            <w:tcMar>
              <w:top w:type="dxa" w:w="60"/>
              <w:left w:type="dxa" w:w="100"/>
              <w:bottom w:type="dxa" w:w="60"/>
              <w:right w:type="dxa" w:w="100"/>
            </w:tcMar>
          </w:tcPr>
          <w:p>
            <w:pPr>
              <w:spacing w:after="40"/>
            </w:pPr>
            <w:r>
              <w:t xml:space="preserve">Protocolo v2, 6.4.1 y anexo G; /simulador</w:t>
            </w:r>
          </w:p>
        </w:tc>
      </w:tr>
      <w:tr>
        <w:trPr>
          <w:cantSplit/>
        </w:trPr>
        <w:tc>
          <w:tcPr>
            <w:tcW w:type="dxa" w:w="4820"/>
            <w:tcMar>
              <w:top w:type="dxa" w:w="60"/>
              <w:left w:type="dxa" w:w="100"/>
              <w:bottom w:type="dxa" w:w="60"/>
              <w:right w:type="dxa" w:w="100"/>
            </w:tcMar>
          </w:tcPr>
          <w:p>
            <w:pPr>
              <w:spacing w:after="40"/>
            </w:pPr>
            <w:r>
              <w:t xml:space="preserve">(iv) Partir la hipótesis y dar umbral e instrumento a cada criterio, con uno para el bot</w:t>
            </w:r>
          </w:p>
        </w:tc>
        <w:tc>
          <w:tcPr>
            <w:tcW w:type="dxa" w:w="2314"/>
            <w:tcMar>
              <w:top w:type="dxa" w:w="60"/>
              <w:left w:type="dxa" w:w="100"/>
              <w:bottom w:type="dxa" w:w="60"/>
              <w:right w:type="dxa" w:w="100"/>
            </w:tcMar>
          </w:tcPr>
          <w:p>
            <w:pPr>
              <w:spacing w:after="40"/>
            </w:pPr>
            <w:r>
              <w:t xml:space="preserve">Cumplido</w:t>
            </w:r>
          </w:p>
        </w:tc>
        <w:tc>
          <w:tcPr>
            <w:tcW w:type="dxa" w:w="2506"/>
            <w:tcMar>
              <w:top w:type="dxa" w:w="60"/>
              <w:left w:type="dxa" w:w="100"/>
              <w:bottom w:type="dxa" w:w="60"/>
              <w:right w:type="dxa" w:w="100"/>
            </w:tcMar>
          </w:tcPr>
          <w:p>
            <w:pPr>
              <w:spacing w:after="40"/>
            </w:pPr>
            <w:r>
              <w:t xml:space="preserve">Protocolo v2, 6.2 y 6.3</w:t>
            </w:r>
          </w:p>
        </w:tc>
      </w:tr>
      <w:tr>
        <w:trPr>
          <w:cantSplit/>
        </w:trPr>
        <w:tc>
          <w:tcPr>
            <w:tcW w:type="dxa" w:w="4820"/>
            <w:tcMar>
              <w:top w:type="dxa" w:w="60"/>
              <w:left w:type="dxa" w:w="100"/>
              <w:bottom w:type="dxa" w:w="60"/>
              <w:right w:type="dxa" w:w="100"/>
            </w:tcMar>
          </w:tcPr>
          <w:p>
            <w:pPr>
              <w:spacing w:after="40"/>
            </w:pPr>
            <w:r>
              <w:t xml:space="preserve">(v) Depurar 6.5.3, unificar la franja y adjuntar instrumento y consentimiento</w:t>
            </w:r>
          </w:p>
        </w:tc>
        <w:tc>
          <w:tcPr>
            <w:tcW w:type="dxa" w:w="2314"/>
            <w:tcMar>
              <w:top w:type="dxa" w:w="60"/>
              <w:left w:type="dxa" w:w="100"/>
              <w:bottom w:type="dxa" w:w="60"/>
              <w:right w:type="dxa" w:w="100"/>
            </w:tcMar>
          </w:tcPr>
          <w:p>
            <w:pPr>
              <w:spacing w:after="40"/>
            </w:pPr>
            <w:r>
              <w:t xml:space="preserve">Cumplido; franja con dato pendiente</w:t>
            </w:r>
          </w:p>
        </w:tc>
        <w:tc>
          <w:tcPr>
            <w:tcW w:type="dxa" w:w="2506"/>
            <w:tcMar>
              <w:top w:type="dxa" w:w="60"/>
              <w:left w:type="dxa" w:w="100"/>
              <w:bottom w:type="dxa" w:w="60"/>
              <w:right w:type="dxa" w:w="100"/>
            </w:tcMar>
          </w:tcPr>
          <w:p>
            <w:pPr>
              <w:spacing w:after="40"/>
            </w:pPr>
            <w:r>
              <w:t xml:space="preserve">Protocolo v2, 6.5.3, 5.3 y anexos A a D</w:t>
            </w:r>
          </w:p>
        </w:tc>
      </w:tr>
      <w:tr>
        <w:trPr>
          <w:cantSplit/>
        </w:trPr>
        <w:tc>
          <w:tcPr>
            <w:tcW w:type="dxa" w:w="4820"/>
            <w:tcMar>
              <w:top w:type="dxa" w:w="60"/>
              <w:left w:type="dxa" w:w="100"/>
              <w:bottom w:type="dxa" w:w="60"/>
              <w:right w:type="dxa" w:w="100"/>
            </w:tcMar>
          </w:tcPr>
          <w:p>
            <w:pPr>
              <w:spacing w:after="40"/>
            </w:pPr>
            <w:r>
              <w:t xml:space="preserve">(vi) Corregir la redacción y completar las referencias</w:t>
            </w:r>
          </w:p>
        </w:tc>
        <w:tc>
          <w:tcPr>
            <w:tcW w:type="dxa" w:w="2314"/>
            <w:tcMar>
              <w:top w:type="dxa" w:w="60"/>
              <w:left w:type="dxa" w:w="100"/>
              <w:bottom w:type="dxa" w:w="60"/>
              <w:right w:type="dxa" w:w="100"/>
            </w:tcMar>
          </w:tcPr>
          <w:p>
            <w:pPr>
              <w:spacing w:after="40"/>
            </w:pPr>
            <w:r>
              <w:t xml:space="preserve">Redacción cumplida; referencias con datos pendientes</w:t>
            </w:r>
          </w:p>
        </w:tc>
        <w:tc>
          <w:tcPr>
            <w:tcW w:type="dxa" w:w="2506"/>
            <w:tcMar>
              <w:top w:type="dxa" w:w="60"/>
              <w:left w:type="dxa" w:w="100"/>
              <w:bottom w:type="dxa" w:w="60"/>
              <w:right w:type="dxa" w:w="100"/>
            </w:tcMar>
          </w:tcPr>
          <w:p>
            <w:pPr>
              <w:spacing w:after="40"/>
            </w:pPr>
            <w:r>
              <w:t xml:space="preserve">Protocolo v2, todo el documento y Referencias</w:t>
            </w:r>
          </w:p>
        </w:tc>
      </w:tr>
    </w:tbl>
    <w:p>
      <w:pPr>
        <w:pStyle w:val="Heading1"/>
      </w:pPr>
      <w:r>
        <w:t xml:space="preserve">7. Datos pendientes del grupo</w:t>
      </w:r>
    </w:p>
    <w:p>
      <w:pPr>
        <w:spacing w:after="140" w:line="300"/>
        <w:jc w:val="both"/>
      </w:pPr>
      <w:r>
        <w:t xml:space="preserve">Estos datos no pueden completarse sin información del grupo. En el protocolo v2 aparecen resaltados en amarillo: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206"/>
        <w:gridCol w:w="1542"/>
        <w:gridCol w:w="1446"/>
        <w:gridCol w:w="1446"/>
      </w:tblGrid>
      <w:tr>
        <w:trPr>
          <w:tblHeader/>
        </w:trPr>
        <w:tc>
          <w:tcPr>
            <w:tcW w:type="dxa" w:w="5206"/>
            <w:shd w:fill="D1FAEC" w:color="auto" w:val="clear"/>
            <w:tcMar>
              <w:top w:type="dxa" w:w="60"/>
              <w:left w:type="dxa" w:w="100"/>
              <w:bottom w:type="dxa" w:w="60"/>
              <w:right w:type="dxa" w:w="100"/>
            </w:tcMar>
          </w:tcPr>
          <w:p>
            <w:pPr>
              <w:spacing w:after="40"/>
            </w:pPr>
            <w:r>
              <w:rPr>
                <w:b/>
                <w:bCs/>
                <w:sz w:val="19"/>
                <w:szCs w:val="19"/>
              </w:rPr>
              <w:t xml:space="preserve">Dato</w:t>
            </w:r>
          </w:p>
        </w:tc>
        <w:tc>
          <w:tcPr>
            <w:tcW w:type="dxa" w:w="1542"/>
            <w:shd w:fill="D1FAEC" w:color="auto" w:val="clear"/>
            <w:tcMar>
              <w:top w:type="dxa" w:w="60"/>
              <w:left w:type="dxa" w:w="100"/>
              <w:bottom w:type="dxa" w:w="60"/>
              <w:right w:type="dxa" w:w="100"/>
            </w:tcMar>
          </w:tcPr>
          <w:p>
            <w:pPr>
              <w:spacing w:after="40"/>
            </w:pPr>
            <w:r>
              <w:rPr>
                <w:b/>
                <w:bCs/>
                <w:sz w:val="19"/>
                <w:szCs w:val="19"/>
              </w:rPr>
              <w:t xml:space="preserve">Sección</w:t>
            </w:r>
          </w:p>
        </w:tc>
        <w:tc>
          <w:tcPr>
            <w:tcW w:type="dxa" w:w="1446"/>
            <w:shd w:fill="D1FAEC" w:color="auto" w:val="clear"/>
            <w:tcMar>
              <w:top w:type="dxa" w:w="60"/>
              <w:left w:type="dxa" w:w="100"/>
              <w:bottom w:type="dxa" w:w="60"/>
              <w:right w:type="dxa" w:w="100"/>
            </w:tcMar>
          </w:tcPr>
          <w:p>
            <w:pPr>
              <w:spacing w:after="40"/>
            </w:pPr>
            <w:r>
              <w:rPr>
                <w:b/>
                <w:bCs/>
                <w:sz w:val="19"/>
                <w:szCs w:val="19"/>
              </w:rPr>
              <w:t xml:space="preserve">Responsable</w:t>
            </w:r>
          </w:p>
        </w:tc>
        <w:tc>
          <w:tcPr>
            <w:tcW w:type="dxa" w:w="1446"/>
            <w:shd w:fill="D1FAEC" w:color="auto" w:val="clear"/>
            <w:tcMar>
              <w:top w:type="dxa" w:w="60"/>
              <w:left w:type="dxa" w:w="100"/>
              <w:bottom w:type="dxa" w:w="60"/>
              <w:right w:type="dxa" w:w="100"/>
            </w:tcMar>
          </w:tcPr>
          <w:p>
            <w:pPr>
              <w:spacing w:after="40"/>
            </w:pPr>
            <w:r>
              <w:rPr>
                <w:b/>
                <w:bCs/>
                <w:sz w:val="19"/>
                <w:szCs w:val="19"/>
              </w:rPr>
              <w:t xml:space="preserve">Fecha límite</w:t>
            </w:r>
          </w:p>
        </w:tc>
      </w:tr>
      <w:tr>
        <w:trPr>
          <w:cantSplit/>
        </w:trPr>
        <w:tc>
          <w:tcPr>
            <w:tcW w:type="dxa" w:w="5206"/>
            <w:tcMar>
              <w:top w:type="dxa" w:w="60"/>
              <w:left w:type="dxa" w:w="100"/>
              <w:bottom w:type="dxa" w:w="60"/>
              <w:right w:type="dxa" w:w="100"/>
            </w:tcMar>
          </w:tcPr>
          <w:p>
            <w:pPr>
              <w:spacing w:after="40"/>
            </w:pPr>
            <w:r>
              <w:t xml:space="preserve">Resultados de la encuesta diagnóstica (prueba del desconocimiento)</w:t>
            </w:r>
          </w:p>
        </w:tc>
        <w:tc>
          <w:tcPr>
            <w:tcW w:type="dxa" w:w="1542"/>
            <w:tcMar>
              <w:top w:type="dxa" w:w="60"/>
              <w:left w:type="dxa" w:w="100"/>
              <w:bottom w:type="dxa" w:w="60"/>
              <w:right w:type="dxa" w:w="100"/>
            </w:tcMar>
          </w:tcPr>
          <w:p>
            <w:pPr>
              <w:spacing w:after="40"/>
            </w:pPr>
            <w:r>
              <w:t xml:space="preserve">5.1</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Año de cada cifra, periodo de los 109 y 74 casos y fuente del 61,7 %</w:t>
            </w:r>
          </w:p>
        </w:tc>
        <w:tc>
          <w:tcPr>
            <w:tcW w:type="dxa" w:w="1542"/>
            <w:tcMar>
              <w:top w:type="dxa" w:w="60"/>
              <w:left w:type="dxa" w:w="100"/>
              <w:bottom w:type="dxa" w:w="60"/>
              <w:right w:type="dxa" w:w="100"/>
            </w:tcMar>
          </w:tcPr>
          <w:p>
            <w:pPr>
              <w:spacing w:after="40"/>
            </w:pPr>
            <w:r>
              <w:t xml:space="preserve">5.1</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Franja horaria crítica con fuente y horario del taller</w:t>
            </w:r>
          </w:p>
        </w:tc>
        <w:tc>
          <w:tcPr>
            <w:tcW w:type="dxa" w:w="1542"/>
            <w:tcMar>
              <w:top w:type="dxa" w:w="60"/>
              <w:left w:type="dxa" w:w="100"/>
              <w:bottom w:type="dxa" w:w="60"/>
              <w:right w:type="dxa" w:w="100"/>
            </w:tcMar>
          </w:tcPr>
          <w:p>
            <w:pPr>
              <w:spacing w:after="40"/>
            </w:pPr>
            <w:r>
              <w:t xml:space="preserve">5.3, 6.5.5</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Área y línea de investigación confirmadas con la codirectora</w:t>
            </w:r>
          </w:p>
        </w:tc>
        <w:tc>
          <w:tcPr>
            <w:tcW w:type="dxa" w:w="1542"/>
            <w:tcMar>
              <w:top w:type="dxa" w:w="60"/>
              <w:left w:type="dxa" w:w="100"/>
              <w:bottom w:type="dxa" w:w="60"/>
              <w:right w:type="dxa" w:w="100"/>
            </w:tcMar>
          </w:tcPr>
          <w:p>
            <w:pPr>
              <w:spacing w:after="40"/>
            </w:pPr>
            <w:r>
              <w:t xml:space="preserve">Portada, 5.2</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Fuente de la capacitación actual «en estación con volantes»</w:t>
            </w:r>
          </w:p>
        </w:tc>
        <w:tc>
          <w:tcPr>
            <w:tcW w:type="dxa" w:w="1542"/>
            <w:tcMar>
              <w:top w:type="dxa" w:w="60"/>
              <w:left w:type="dxa" w:w="100"/>
              <w:bottom w:type="dxa" w:w="60"/>
              <w:right w:type="dxa" w:w="100"/>
            </w:tcMar>
          </w:tcPr>
          <w:p>
            <w:pPr>
              <w:spacing w:after="40"/>
            </w:pPr>
            <w:r>
              <w:t xml:space="preserve">5.2</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Costos del kit, el afiche, las impresiones y la SIM; número de uniformados</w:t>
            </w:r>
          </w:p>
        </w:tc>
        <w:tc>
          <w:tcPr>
            <w:tcW w:type="dxa" w:w="1542"/>
            <w:tcMar>
              <w:top w:type="dxa" w:w="60"/>
              <w:left w:type="dxa" w:w="100"/>
              <w:bottom w:type="dxa" w:w="60"/>
              <w:right w:type="dxa" w:w="100"/>
            </w:tcMar>
          </w:tcPr>
          <w:p>
            <w:pPr>
              <w:spacing w:after="40"/>
            </w:pPr>
            <w:r>
              <w:t xml:space="preserve">6.1</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Fuente sobre las estructuras criminales o retiro de la mención</w:t>
            </w:r>
          </w:p>
        </w:tc>
        <w:tc>
          <w:tcPr>
            <w:tcW w:type="dxa" w:w="1542"/>
            <w:tcMar>
              <w:top w:type="dxa" w:w="60"/>
              <w:left w:type="dxa" w:w="100"/>
              <w:bottom w:type="dxa" w:w="60"/>
              <w:right w:type="dxa" w:w="100"/>
            </w:tcMar>
          </w:tcPr>
          <w:p>
            <w:pPr>
              <w:spacing w:after="40"/>
            </w:pPr>
            <w:r>
              <w:t xml:space="preserve">6.4.2</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Nombre del CAI, cuadras y justificación</w:t>
            </w:r>
          </w:p>
        </w:tc>
        <w:tc>
          <w:tcPr>
            <w:tcW w:type="dxa" w:w="1542"/>
            <w:tcMar>
              <w:top w:type="dxa" w:w="60"/>
              <w:left w:type="dxa" w:w="100"/>
              <w:bottom w:type="dxa" w:w="60"/>
              <w:right w:type="dxa" w:w="100"/>
            </w:tcMar>
          </w:tcPr>
          <w:p>
            <w:pPr>
              <w:spacing w:after="40"/>
            </w:pPr>
            <w:r>
              <w:t xml:space="preserve">6.4.2, 6.5.4</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Distribución real de los 10 participantes</w:t>
            </w:r>
          </w:p>
        </w:tc>
        <w:tc>
          <w:tcPr>
            <w:tcW w:type="dxa" w:w="1542"/>
            <w:tcMar>
              <w:top w:type="dxa" w:w="60"/>
              <w:left w:type="dxa" w:w="100"/>
              <w:bottom w:type="dxa" w:w="60"/>
              <w:right w:type="dxa" w:w="100"/>
            </w:tcMar>
          </w:tcPr>
          <w:p>
            <w:pPr>
              <w:spacing w:after="40"/>
            </w:pPr>
            <w:r>
              <w:t xml:space="preserve">6.5.2</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Validación de instrumentos (expertos, prueba piloto, fecha)</w:t>
            </w:r>
          </w:p>
        </w:tc>
        <w:tc>
          <w:tcPr>
            <w:tcW w:type="dxa" w:w="1542"/>
            <w:tcMar>
              <w:top w:type="dxa" w:w="60"/>
              <w:left w:type="dxa" w:w="100"/>
              <w:bottom w:type="dxa" w:w="60"/>
              <w:right w:type="dxa" w:w="100"/>
            </w:tcMar>
          </w:tcPr>
          <w:p>
            <w:pPr>
              <w:spacing w:after="40"/>
            </w:pPr>
            <w:r>
              <w:t xml:space="preserve">6.5.3</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Fechas y responsables del cronograma</w:t>
            </w:r>
          </w:p>
        </w:tc>
        <w:tc>
          <w:tcPr>
            <w:tcW w:type="dxa" w:w="1542"/>
            <w:tcMar>
              <w:top w:type="dxa" w:w="60"/>
              <w:left w:type="dxa" w:w="100"/>
              <w:bottom w:type="dxa" w:w="60"/>
              <w:right w:type="dxa" w:w="100"/>
            </w:tcMar>
          </w:tcPr>
          <w:p>
            <w:pPr>
              <w:spacing w:after="40"/>
            </w:pPr>
            <w:r>
              <w:t xml:space="preserve">6.5.5</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Referencias APA 7 completas y verificación de Medina et al. (2023)</w:t>
            </w:r>
          </w:p>
        </w:tc>
        <w:tc>
          <w:tcPr>
            <w:tcW w:type="dxa" w:w="1542"/>
            <w:tcMar>
              <w:top w:type="dxa" w:w="60"/>
              <w:left w:type="dxa" w:w="100"/>
              <w:bottom w:type="dxa" w:w="60"/>
              <w:right w:type="dxa" w:w="100"/>
            </w:tcMar>
          </w:tcPr>
          <w:p>
            <w:pPr>
              <w:spacing w:after="40"/>
            </w:pPr>
            <w:r>
              <w:t xml:space="preserve">Referencias</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Avales del GAULA, del frente de seguridad y de la imagen institucional</w:t>
            </w:r>
          </w:p>
        </w:tc>
        <w:tc>
          <w:tcPr>
            <w:tcW w:type="dxa" w:w="1542"/>
            <w:tcMar>
              <w:top w:type="dxa" w:w="60"/>
              <w:left w:type="dxa" w:w="100"/>
              <w:bottom w:type="dxa" w:w="60"/>
              <w:right w:type="dxa" w:w="100"/>
            </w:tcMar>
          </w:tcPr>
          <w:p>
            <w:pPr>
              <w:spacing w:after="40"/>
            </w:pPr>
            <w:r>
              <w:t xml:space="preserve">Anexo I</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r>
        <w:trPr>
          <w:cantSplit/>
        </w:trPr>
        <w:tc>
          <w:tcPr>
            <w:tcW w:type="dxa" w:w="5206"/>
            <w:tcMar>
              <w:top w:type="dxa" w:w="60"/>
              <w:left w:type="dxa" w:w="100"/>
              <w:bottom w:type="dxa" w:w="60"/>
              <w:right w:type="dxa" w:w="100"/>
            </w:tcMar>
          </w:tcPr>
          <w:p>
            <w:pPr>
              <w:spacing w:after="40"/>
            </w:pPr>
            <w:r>
              <w:t xml:space="preserve">Formato de declaración de IA según el Instructivo 013 DIEPO-VICIN de 2025</w:t>
            </w:r>
          </w:p>
        </w:tc>
        <w:tc>
          <w:tcPr>
            <w:tcW w:type="dxa" w:w="1542"/>
            <w:tcMar>
              <w:top w:type="dxa" w:w="60"/>
              <w:left w:type="dxa" w:w="100"/>
              <w:bottom w:type="dxa" w:w="60"/>
              <w:right w:type="dxa" w:w="100"/>
            </w:tcMar>
          </w:tcPr>
          <w:p>
            <w:pPr>
              <w:spacing w:after="40"/>
            </w:pPr>
            <w:r>
              <w:t xml:space="preserve">6.4.1</w:t>
            </w:r>
          </w:p>
        </w:tc>
        <w:tc>
          <w:tcPr>
            <w:tcW w:type="dxa" w:w="1446"/>
            <w:tcMar>
              <w:top w:type="dxa" w:w="60"/>
              <w:left w:type="dxa" w:w="100"/>
              <w:bottom w:type="dxa" w:w="60"/>
              <w:right w:type="dxa" w:w="100"/>
            </w:tcMar>
          </w:tcPr>
          <w:p>
            <w:pPr>
              <w:spacing w:after="40"/>
            </w:pPr>
            <w:r>
              <w:t xml:space="preserve">[ ]</w:t>
            </w:r>
          </w:p>
        </w:tc>
        <w:tc>
          <w:tcPr>
            <w:tcW w:type="dxa" w:w="1446"/>
            <w:tcMar>
              <w:top w:type="dxa" w:w="60"/>
              <w:left w:type="dxa" w:w="100"/>
              <w:bottom w:type="dxa" w:w="60"/>
              <w:right w:type="dxa" w:w="100"/>
            </w:tcMar>
          </w:tcPr>
          <w:p>
            <w:pPr>
              <w:spacing w:after="40"/>
            </w:pPr>
            <w:r>
              <w:t xml:space="preserve">[ ]</w:t>
            </w:r>
          </w:p>
        </w:tc>
      </w:tr>
    </w:tbl>
    <w:p>
      <w:pPr>
        <w:spacing w:after="60"/>
      </w:pPr>
    </w:p>
    <w:p>
      <w:pPr>
        <w:spacing w:after="140" w:line="300"/>
        <w:jc w:val="both"/>
      </w:pPr>
      <w:r>
        <w:t xml:space="preserve">El grupo queda atento a cualquier comentario adicional antes de iniciar el testeo.</w:t>
      </w:r>
    </w:p>
    <w:p>
      <w:pPr>
        <w:spacing w:after="6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784"/>
        <w:gridCol w:w="3856"/>
      </w:tblGrid>
      <w:tr>
        <w:trPr>
          <w:tblHeader/>
        </w:trPr>
        <w:tc>
          <w:tcPr>
            <w:tcW w:type="dxa" w:w="5784"/>
            <w:shd w:fill="D1FAEC" w:color="auto" w:val="clear"/>
            <w:tcMar>
              <w:top w:type="dxa" w:w="60"/>
              <w:left w:type="dxa" w:w="100"/>
              <w:bottom w:type="dxa" w:w="60"/>
              <w:right w:type="dxa" w:w="100"/>
            </w:tcMar>
          </w:tcPr>
          <w:p>
            <w:pPr>
              <w:spacing w:after="40"/>
            </w:pPr>
            <w:r>
              <w:rPr>
                <w:b/>
                <w:bCs/>
                <w:sz w:val="19"/>
                <w:szCs w:val="19"/>
              </w:rPr>
              <w:t xml:space="preserve">Cadete</w:t>
            </w:r>
          </w:p>
        </w:tc>
        <w:tc>
          <w:tcPr>
            <w:tcW w:type="dxa" w:w="3856"/>
            <w:shd w:fill="D1FAEC" w:color="auto" w:val="clear"/>
            <w:tcMar>
              <w:top w:type="dxa" w:w="60"/>
              <w:left w:type="dxa" w:w="100"/>
              <w:bottom w:type="dxa" w:w="60"/>
              <w:right w:type="dxa" w:w="100"/>
            </w:tcMar>
          </w:tcPr>
          <w:p>
            <w:pPr>
              <w:spacing w:after="40"/>
            </w:pPr>
            <w:r>
              <w:rPr>
                <w:b/>
                <w:bCs/>
                <w:sz w:val="19"/>
                <w:szCs w:val="19"/>
              </w:rPr>
              <w:t xml:space="preserve">Firma</w:t>
            </w:r>
          </w:p>
        </w:tc>
      </w:tr>
      <w:tr>
        <w:trPr>
          <w:cantSplit/>
        </w:trPr>
        <w:tc>
          <w:tcPr>
            <w:tcW w:type="dxa" w:w="5784"/>
            <w:tcMar>
              <w:top w:type="dxa" w:w="60"/>
              <w:left w:type="dxa" w:w="100"/>
              <w:bottom w:type="dxa" w:w="60"/>
              <w:right w:type="dxa" w:w="100"/>
            </w:tcMar>
          </w:tcPr>
          <w:p>
            <w:pPr>
              <w:spacing w:after="40"/>
            </w:pPr>
            <w:r>
              <w:t xml:space="preserve">David Santiago Andrade Espinosa</w:t>
            </w:r>
          </w:p>
        </w:tc>
        <w:tc>
          <w:tcPr>
            <w:tcW w:type="dxa" w:w="3856"/>
            <w:tcMar>
              <w:top w:type="dxa" w:w="60"/>
              <w:left w:type="dxa" w:w="100"/>
              <w:bottom w:type="dxa" w:w="60"/>
              <w:right w:type="dxa" w:w="100"/>
            </w:tcMar>
          </w:tcPr>
          <w:p>
            <w:pPr>
              <w:spacing w:after="40"/>
            </w:pPr>
          </w:p>
        </w:tc>
      </w:tr>
      <w:tr>
        <w:trPr>
          <w:cantSplit/>
        </w:trPr>
        <w:tc>
          <w:tcPr>
            <w:tcW w:type="dxa" w:w="5784"/>
            <w:tcMar>
              <w:top w:type="dxa" w:w="60"/>
              <w:left w:type="dxa" w:w="100"/>
              <w:bottom w:type="dxa" w:w="60"/>
              <w:right w:type="dxa" w:w="100"/>
            </w:tcMar>
          </w:tcPr>
          <w:p>
            <w:pPr>
              <w:spacing w:after="40"/>
            </w:pPr>
            <w:r>
              <w:t xml:space="preserve">Yojan Burbano Timaná</w:t>
            </w:r>
          </w:p>
        </w:tc>
        <w:tc>
          <w:tcPr>
            <w:tcW w:type="dxa" w:w="3856"/>
            <w:tcMar>
              <w:top w:type="dxa" w:w="60"/>
              <w:left w:type="dxa" w:w="100"/>
              <w:bottom w:type="dxa" w:w="60"/>
              <w:right w:type="dxa" w:w="100"/>
            </w:tcMar>
          </w:tcPr>
          <w:p>
            <w:pPr>
              <w:spacing w:after="40"/>
            </w:pPr>
          </w:p>
        </w:tc>
      </w:tr>
      <w:tr>
        <w:trPr>
          <w:cantSplit/>
        </w:trPr>
        <w:tc>
          <w:tcPr>
            <w:tcW w:type="dxa" w:w="5784"/>
            <w:tcMar>
              <w:top w:type="dxa" w:w="60"/>
              <w:left w:type="dxa" w:w="100"/>
              <w:bottom w:type="dxa" w:w="60"/>
              <w:right w:type="dxa" w:w="100"/>
            </w:tcMar>
          </w:tcPr>
          <w:p>
            <w:pPr>
              <w:spacing w:after="40"/>
            </w:pPr>
            <w:r>
              <w:t xml:space="preserve">Julieth Camila De Antonio López</w:t>
            </w:r>
          </w:p>
        </w:tc>
        <w:tc>
          <w:tcPr>
            <w:tcW w:type="dxa" w:w="3856"/>
            <w:tcMar>
              <w:top w:type="dxa" w:w="60"/>
              <w:left w:type="dxa" w:w="100"/>
              <w:bottom w:type="dxa" w:w="60"/>
              <w:right w:type="dxa" w:w="100"/>
            </w:tcMar>
          </w:tcPr>
          <w:p>
            <w:pPr>
              <w:spacing w:after="40"/>
            </w:pPr>
          </w:p>
        </w:tc>
      </w:tr>
    </w:tbl>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605C"/>
        <w:sz w:val="16"/>
        <w:szCs w:val="16"/>
      </w:rPr>
      <w:t xml:space="preserve">Respuesta a la revisión · Proyecto 24 · página </w:t>
    </w:r>
    <w:r>
      <w:rPr>
        <w:color w:val="5260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C483D"/>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C483D"/>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0201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 revisión del protocolo de testeo</dc:title>
  <dc:creator>Proyecto 24</dc:creator>
  <cp:lastModifiedBy>Un-named</cp:lastModifiedBy>
  <cp:revision>1</cp:revision>
  <dcterms:created xsi:type="dcterms:W3CDTF">2026-10-28T03:43:54.537Z</dcterms:created>
  <dcterms:modified xsi:type="dcterms:W3CDTF">2026-10-28T03:43:54.537Z</dcterms:modified>
</cp:coreProperties>
</file>

<file path=docProps/custom.xml><?xml version="1.0" encoding="utf-8"?>
<Properties xmlns="http://schemas.openxmlformats.org/officeDocument/2006/custom-properties" xmlns:vt="http://schemas.openxmlformats.org/officeDocument/2006/docPropsVTypes"/>
</file>