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0C483D"/>
          <w:sz w:val="40"/>
          <w:szCs w:val="40"/>
        </w:rPr>
        <w:t xml:space="preserve">Respuesta a la revisión del protocolo de testeo</w:t>
      </w:r>
    </w:p>
    <w:p>
      <w:pPr>
        <w:spacing w:after="60"/>
      </w:pPr>
      <w:r>
        <w:rPr>
          <w:color w:val="52605C"/>
          <w:sz w:val="24"/>
          <w:szCs w:val="24"/>
        </w:rPr>
        <w:t xml:space="preserve">Proyecto 24 · Compañía COGIL · Escuela Móvil Anti-Phishing y bot Verifica Santa Fe</w:t>
      </w:r>
    </w:p>
    <w:p>
      <w:pPr>
        <w:spacing w:after="300"/>
      </w:pPr>
      <w:r>
        <w:rPr>
          <w:color w:val="52605C"/>
          <w:sz w:val="22"/>
          <w:szCs w:val="22"/>
        </w:rPr>
        <w:t xml:space="preserve">Revisión del 25 de octubre de 2026 · Respuesta del 28 de octubre de 2026</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7230"/>
      </w:tblGrid>
      <w:tr>
        <w:trPr>
          <w:tblHeader/>
        </w:trPr>
        <w:tc>
          <w:tcPr>
            <w:tcW w:type="dxa" w:w="2410"/>
            <w:shd w:fill="D1FAEC" w:color="auto" w:val="clear"/>
            <w:tcMar>
              <w:top w:type="dxa" w:w="60"/>
              <w:left w:type="dxa" w:w="100"/>
              <w:bottom w:type="dxa" w:w="60"/>
              <w:right w:type="dxa" w:w="100"/>
            </w:tcMar>
          </w:tcPr>
          <w:p>
            <w:pPr>
              <w:spacing w:after="40"/>
            </w:pPr>
            <w:r>
              <w:rPr>
                <w:b/>
                <w:bCs/>
                <w:sz w:val="19"/>
                <w:szCs w:val="19"/>
              </w:rPr>
              <w:t xml:space="preserve">Campo</w:t>
            </w:r>
          </w:p>
        </w:tc>
        <w:tc>
          <w:tcPr>
            <w:tcW w:type="dxa" w:w="7230"/>
            <w:shd w:fill="D1FAEC" w:color="auto" w:val="clear"/>
            <w:tcMar>
              <w:top w:type="dxa" w:w="60"/>
              <w:left w:type="dxa" w:w="100"/>
              <w:bottom w:type="dxa" w:w="60"/>
              <w:right w:type="dxa" w:w="100"/>
            </w:tcMar>
          </w:tcPr>
          <w:p>
            <w:pPr>
              <w:spacing w:after="40"/>
            </w:pPr>
            <w:r>
              <w:rPr>
                <w:b/>
                <w:bCs/>
                <w:sz w:val="19"/>
                <w:szCs w:val="19"/>
              </w:rPr>
              <w:t xml:space="preserve">Detalle</w:t>
            </w:r>
          </w:p>
        </w:tc>
      </w:tr>
      <w:tr>
        <w:trPr>
          <w:cantSplit/>
        </w:trPr>
        <w:tc>
          <w:tcPr>
            <w:tcW w:type="dxa" w:w="2410"/>
            <w:tcMar>
              <w:top w:type="dxa" w:w="60"/>
              <w:left w:type="dxa" w:w="100"/>
              <w:bottom w:type="dxa" w:w="60"/>
              <w:right w:type="dxa" w:w="100"/>
            </w:tcMar>
          </w:tcPr>
          <w:p>
            <w:pPr>
              <w:spacing w:after="40"/>
            </w:pPr>
            <w:r>
              <w:t xml:space="preserve">Dirigido a</w:t>
            </w:r>
          </w:p>
        </w:tc>
        <w:tc>
          <w:tcPr>
            <w:tcW w:type="dxa" w:w="7230"/>
            <w:tcMar>
              <w:top w:type="dxa" w:w="60"/>
              <w:left w:type="dxa" w:w="100"/>
              <w:bottom w:type="dxa" w:w="60"/>
              <w:right w:type="dxa" w:w="100"/>
            </w:tcMar>
          </w:tcPr>
          <w:p>
            <w:pPr>
              <w:spacing w:after="40"/>
            </w:pPr>
            <w:r>
              <w:t xml:space="preserve">Director metodológico Camilo Ramírez Motoa y codirectora temática Capitán Erika Yulieth Trujillo Vargas</w:t>
            </w:r>
          </w:p>
        </w:tc>
      </w:tr>
      <w:tr>
        <w:trPr>
          <w:cantSplit/>
        </w:trPr>
        <w:tc>
          <w:tcPr>
            <w:tcW w:type="dxa" w:w="2410"/>
            <w:tcMar>
              <w:top w:type="dxa" w:w="60"/>
              <w:left w:type="dxa" w:w="100"/>
              <w:bottom w:type="dxa" w:w="60"/>
              <w:right w:type="dxa" w:w="100"/>
            </w:tcMar>
          </w:tcPr>
          <w:p>
            <w:pPr>
              <w:spacing w:after="40"/>
            </w:pPr>
            <w:r>
              <w:t xml:space="preserve">De</w:t>
            </w:r>
          </w:p>
        </w:tc>
        <w:tc>
          <w:tcPr>
            <w:tcW w:type="dxa" w:w="7230"/>
            <w:tcMar>
              <w:top w:type="dxa" w:w="60"/>
              <w:left w:type="dxa" w:w="100"/>
              <w:bottom w:type="dxa" w:w="60"/>
              <w:right w:type="dxa" w:w="100"/>
            </w:tcMar>
          </w:tcPr>
          <w:p>
            <w:pPr>
              <w:spacing w:after="40"/>
            </w:pPr>
            <w:r>
              <w:t xml:space="preserve">Cadetes David Santiago Andrade Espinosa, Yojan Burbano Timaná y Julieth Camila De Antonio López</w:t>
            </w:r>
          </w:p>
        </w:tc>
      </w:tr>
      <w:tr>
        <w:trPr>
          <w:cantSplit/>
        </w:trPr>
        <w:tc>
          <w:tcPr>
            <w:tcW w:type="dxa" w:w="2410"/>
            <w:tcMar>
              <w:top w:type="dxa" w:w="60"/>
              <w:left w:type="dxa" w:w="100"/>
              <w:bottom w:type="dxa" w:w="60"/>
              <w:right w:type="dxa" w:w="100"/>
            </w:tcMar>
          </w:tcPr>
          <w:p>
            <w:pPr>
              <w:spacing w:after="40"/>
            </w:pPr>
            <w:r>
              <w:t xml:space="preserve">Documento revisado</w:t>
            </w:r>
          </w:p>
        </w:tc>
        <w:tc>
          <w:tcPr>
            <w:tcW w:type="dxa" w:w="7230"/>
            <w:tcMar>
              <w:top w:type="dxa" w:w="60"/>
              <w:left w:type="dxa" w:w="100"/>
              <w:bottom w:type="dxa" w:w="60"/>
              <w:right w:type="dxa" w:w="100"/>
            </w:tcMar>
          </w:tcPr>
          <w:p>
            <w:pPr>
              <w:spacing w:after="40"/>
            </w:pPr>
            <w:r>
              <w:t xml:space="preserve">Protocolo de testeo del producto mínimo viable, enviado el 19 de octubre de 2026</w:t>
            </w:r>
          </w:p>
        </w:tc>
      </w:tr>
      <w:tr>
        <w:trPr>
          <w:cantSplit/>
        </w:trPr>
        <w:tc>
          <w:tcPr>
            <w:tcW w:type="dxa" w:w="2410"/>
            <w:tcMar>
              <w:top w:type="dxa" w:w="60"/>
              <w:left w:type="dxa" w:w="100"/>
              <w:bottom w:type="dxa" w:w="60"/>
              <w:right w:type="dxa" w:w="100"/>
            </w:tcMar>
          </w:tcPr>
          <w:p>
            <w:pPr>
              <w:spacing w:after="40"/>
            </w:pPr>
            <w:r>
              <w:t xml:space="preserve">Alcance de esta respuesta</w:t>
            </w:r>
          </w:p>
        </w:tc>
        <w:tc>
          <w:tcPr>
            <w:tcW w:type="dxa" w:w="7230"/>
            <w:tcMar>
              <w:top w:type="dxa" w:w="60"/>
              <w:left w:type="dxa" w:w="100"/>
              <w:bottom w:type="dxa" w:w="60"/>
              <w:right w:type="dxa" w:w="100"/>
            </w:tcMar>
          </w:tcPr>
          <w:p>
            <w:pPr>
              <w:spacing w:after="40"/>
            </w:pPr>
            <w:r>
              <w:t xml:space="preserve">El producto mínimo viable: bot Verifica Santa Fe, simulador de casos, kit de verificación, modo taller, instrumentos de medición y consideraciones de datos, ética y seguridad</w:t>
            </w:r>
          </w:p>
        </w:tc>
      </w:tr>
    </w:tbl>
    <w:p>
      <w:pPr>
        <w:spacing w:after="60"/>
      </w:pPr>
    </w:p>
    <w:p>
      <w:pPr>
        <w:pStyle w:val="Heading1"/>
      </w:pPr>
      <w:r>
        <w:t xml:space="preserve">1. Resumen</w:t>
      </w:r>
    </w:p>
    <w:p>
      <w:pPr>
        <w:spacing w:after="140" w:line="300"/>
        <w:jc w:val="both"/>
      </w:pPr>
      <w:r>
        <w:t xml:space="preserve">El grupo agradece la revisión. Esta respuesta atiende las observaciones que corresponden al producto mínimo viable y a su forma de medirlo, que son las tres prioridades señaladas por la revisión: el alcance del bot, la correspondencia entre hipótesis, criterios e instrumentos, y el diseño del simulacro con sus consideraciones éticas.</w:t>
      </w:r>
    </w:p>
    <w:p>
      <w:pPr>
        <w:spacing w:after="140" w:line="300"/>
        <w:jc w:val="both"/>
      </w:pPr>
      <w:r>
        <w:t xml:space="preserve">Las observaciones que se refieren al texto del documento enviado el 19 de octubre de 2026 (redacción, citas, cifras, fechas y otros apartes) se registran en esta respuesta con la anotación </w:t>
      </w:r>
      <w:r>
        <w:rPr>
          <w:b/>
          <w:bCs/>
        </w:rPr>
        <w:t xml:space="preserve">«Falta contexto del documento enviado el 19 de octubre de 2026»</w:t>
      </w:r>
      <w:r>
        <w:t xml:space="preserv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712"/>
        <w:gridCol w:w="1928"/>
      </w:tblGrid>
      <w:tr>
        <w:trPr>
          <w:tblHeader/>
        </w:trPr>
        <w:tc>
          <w:tcPr>
            <w:tcW w:type="dxa" w:w="7712"/>
            <w:shd w:fill="D1FAEC" w:color="auto" w:val="clear"/>
            <w:tcMar>
              <w:top w:type="dxa" w:w="60"/>
              <w:left w:type="dxa" w:w="100"/>
              <w:bottom w:type="dxa" w:w="60"/>
              <w:right w:type="dxa" w:w="100"/>
            </w:tcMar>
          </w:tcPr>
          <w:p>
            <w:pPr>
              <w:spacing w:after="40"/>
            </w:pPr>
            <w:r>
              <w:rPr>
                <w:b/>
                <w:bCs/>
                <w:sz w:val="19"/>
                <w:szCs w:val="19"/>
              </w:rPr>
              <w:t xml:space="preserve">Observaciones de la revisión</w:t>
            </w:r>
          </w:p>
        </w:tc>
        <w:tc>
          <w:tcPr>
            <w:tcW w:type="dxa" w:w="1928"/>
            <w:shd w:fill="D1FAEC" w:color="auto" w:val="clear"/>
            <w:tcMar>
              <w:top w:type="dxa" w:w="60"/>
              <w:left w:type="dxa" w:w="100"/>
              <w:bottom w:type="dxa" w:w="60"/>
              <w:right w:type="dxa" w:w="100"/>
            </w:tcMar>
          </w:tcPr>
          <w:p>
            <w:pPr>
              <w:spacing w:after="40"/>
            </w:pPr>
            <w:r>
              <w:rPr>
                <w:b/>
                <w:bCs/>
                <w:sz w:val="19"/>
                <w:szCs w:val="19"/>
              </w:rPr>
              <w:t xml:space="preserve">Cantidad</w:t>
            </w:r>
          </w:p>
        </w:tc>
      </w:tr>
      <w:tr>
        <w:trPr>
          <w:cantSplit/>
        </w:trPr>
        <w:tc>
          <w:tcPr>
            <w:tcW w:type="dxa" w:w="7712"/>
            <w:tcMar>
              <w:top w:type="dxa" w:w="60"/>
              <w:left w:type="dxa" w:w="100"/>
              <w:bottom w:type="dxa" w:w="60"/>
              <w:right w:type="dxa" w:w="100"/>
            </w:tcMar>
          </w:tcPr>
          <w:p>
            <w:pPr>
              <w:spacing w:after="40"/>
            </w:pPr>
            <w:r>
              <w:t xml:space="preserve">Observaciones analizadas</w:t>
            </w:r>
          </w:p>
        </w:tc>
        <w:tc>
          <w:tcPr>
            <w:tcW w:type="dxa" w:w="1928"/>
            <w:tcMar>
              <w:top w:type="dxa" w:w="60"/>
              <w:left w:type="dxa" w:w="100"/>
              <w:bottom w:type="dxa" w:w="60"/>
              <w:right w:type="dxa" w:w="100"/>
            </w:tcMar>
          </w:tcPr>
          <w:p>
            <w:pPr>
              <w:spacing w:after="40"/>
            </w:pPr>
            <w:r>
              <w:t xml:space="preserve">32</w:t>
            </w:r>
          </w:p>
        </w:tc>
      </w:tr>
      <w:tr>
        <w:trPr>
          <w:cantSplit/>
        </w:trPr>
        <w:tc>
          <w:tcPr>
            <w:tcW w:type="dxa" w:w="7712"/>
            <w:tcMar>
              <w:top w:type="dxa" w:w="60"/>
              <w:left w:type="dxa" w:w="100"/>
              <w:bottom w:type="dxa" w:w="60"/>
              <w:right w:type="dxa" w:w="100"/>
            </w:tcMar>
          </w:tcPr>
          <w:p>
            <w:pPr>
              <w:spacing w:after="40"/>
            </w:pPr>
            <w:r>
              <w:t xml:space="preserve">Observaciones del alcance del PMV, atendidas</w:t>
            </w:r>
          </w:p>
        </w:tc>
        <w:tc>
          <w:tcPr>
            <w:tcW w:type="dxa" w:w="1928"/>
            <w:tcMar>
              <w:top w:type="dxa" w:w="60"/>
              <w:left w:type="dxa" w:w="100"/>
              <w:bottom w:type="dxa" w:w="60"/>
              <w:right w:type="dxa" w:w="100"/>
            </w:tcMar>
          </w:tcPr>
          <w:p>
            <w:pPr>
              <w:spacing w:after="40"/>
            </w:pPr>
            <w:r>
              <w:t xml:space="preserve">14</w:t>
            </w:r>
          </w:p>
        </w:tc>
      </w:tr>
      <w:tr>
        <w:trPr>
          <w:cantSplit/>
        </w:trPr>
        <w:tc>
          <w:tcPr>
            <w:tcW w:type="dxa" w:w="7712"/>
            <w:tcMar>
              <w:top w:type="dxa" w:w="60"/>
              <w:left w:type="dxa" w:w="100"/>
              <w:bottom w:type="dxa" w:w="60"/>
              <w:right w:type="dxa" w:w="100"/>
            </w:tcMar>
          </w:tcPr>
          <w:p>
            <w:pPr>
              <w:spacing w:after="40"/>
            </w:pPr>
            <w:r>
              <w:t xml:space="preserve">Observaciones con la anotación «Falta contexto del documento enviado el 19 de octubre de 2026»</w:t>
            </w:r>
          </w:p>
        </w:tc>
        <w:tc>
          <w:tcPr>
            <w:tcW w:type="dxa" w:w="1928"/>
            <w:tcMar>
              <w:top w:type="dxa" w:w="60"/>
              <w:left w:type="dxa" w:w="100"/>
              <w:bottom w:type="dxa" w:w="60"/>
              <w:right w:type="dxa" w:w="100"/>
            </w:tcMar>
          </w:tcPr>
          <w:p>
            <w:pPr>
              <w:spacing w:after="40"/>
            </w:pPr>
            <w:r>
              <w:t xml:space="preserve">18</w:t>
            </w:r>
          </w:p>
        </w:tc>
      </w:tr>
      <w:tr>
        <w:trPr>
          <w:cantSplit/>
        </w:trPr>
        <w:tc>
          <w:tcPr>
            <w:tcW w:type="dxa" w:w="7712"/>
            <w:tcMar>
              <w:top w:type="dxa" w:w="60"/>
              <w:left w:type="dxa" w:w="100"/>
              <w:bottom w:type="dxa" w:w="60"/>
              <w:right w:type="dxa" w:w="100"/>
            </w:tcMar>
          </w:tcPr>
          <w:p>
            <w:pPr>
              <w:spacing w:after="40"/>
            </w:pPr>
            <w:r>
              <w:t xml:space="preserve">Mejoras adicionales incorporadas por el grupo</w:t>
            </w:r>
          </w:p>
        </w:tc>
        <w:tc>
          <w:tcPr>
            <w:tcW w:type="dxa" w:w="1928"/>
            <w:tcMar>
              <w:top w:type="dxa" w:w="60"/>
              <w:left w:type="dxa" w:w="100"/>
              <w:bottom w:type="dxa" w:w="60"/>
              <w:right w:type="dxa" w:w="100"/>
            </w:tcMar>
          </w:tcPr>
          <w:p>
            <w:pPr>
              <w:spacing w:after="40"/>
            </w:pPr>
            <w:r>
              <w:t xml:space="preserve">5</w:t>
            </w:r>
          </w:p>
        </w:tc>
      </w:tr>
    </w:tbl>
    <w:p>
      <w:pPr>
        <w:spacing w:after="60"/>
      </w:pPr>
    </w:p>
    <w:p>
      <w:pPr>
        <w:spacing w:after="140" w:line="300"/>
        <w:jc w:val="both"/>
      </w:pPr>
      <w:r>
        <w:t xml:space="preserve">Las correcciones del alcance del PMV se hicieron en la </w:t>
      </w:r>
      <w:r>
        <w:rPr>
          <w:b/>
          <w:bCs/>
        </w:rPr>
        <w:t xml:space="preserve">plataforma</w:t>
      </w:r>
      <w:r>
        <w:t xml:space="preserve"> (lab-bot-verifica-santa-fe.vercel.app), donde se construyeron las herramientas que permiten medir lo que el testeo promete, y en el documento de apoyo </w:t>
      </w:r>
      <w:r>
        <w:rPr>
          <w:b/>
          <w:bCs/>
        </w:rPr>
        <w:t xml:space="preserve">«Protocolo de testeo del PMV, versión 2»</w:t>
      </w:r>
      <w:r>
        <w:t xml:space="preserve">, que reúne los textos propuestos para incorporar al protocolo.</w:t>
      </w:r>
    </w:p>
    <w:p>
      <w:r>
        <w:br w:type="page"/>
      </w:r>
    </w:p>
    <w:p>
      <w:pPr>
        <w:pStyle w:val="Heading1"/>
      </w:pPr>
      <w:r>
        <w:t xml:space="preserve">2. Valoraciones de la revisión y estado de la respuesta</w:t>
      </w:r>
    </w:p>
    <w:p>
      <w:pPr>
        <w:spacing w:after="140" w:line="300"/>
        <w:jc w:val="both"/>
      </w:pPr>
      <w:r>
        <w:t xml:space="preserve">Se reproducen las tablas de la revisión con la valoración asignada (Cumple, Cumple parcialmente, No cumple, Riesgo o No aplica) y el estado de la respuesta del grupo.</w:t>
      </w:r>
    </w:p>
    <w:p>
      <w:pPr>
        <w:pStyle w:val="Heading2"/>
      </w:pPr>
      <w:r>
        <w:t xml:space="preserve">2.1 Revisión formal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92"/>
        <w:gridCol w:w="2506"/>
        <w:gridCol w:w="4242"/>
      </w:tblGrid>
      <w:tr>
        <w:trPr>
          <w:tblHeader/>
        </w:trPr>
        <w:tc>
          <w:tcPr>
            <w:tcW w:type="dxa" w:w="2892"/>
            <w:shd w:fill="D1FAEC" w:color="auto" w:val="clear"/>
            <w:tcMar>
              <w:top w:type="dxa" w:w="60"/>
              <w:left w:type="dxa" w:w="100"/>
              <w:bottom w:type="dxa" w:w="60"/>
              <w:right w:type="dxa" w:w="100"/>
            </w:tcMar>
          </w:tcPr>
          <w:p>
            <w:pPr>
              <w:spacing w:after="40"/>
            </w:pPr>
            <w:r>
              <w:rPr>
                <w:b/>
                <w:bCs/>
                <w:sz w:val="19"/>
                <w:szCs w:val="19"/>
              </w:rPr>
              <w:t xml:space="preserve">Criterio</w:t>
            </w:r>
          </w:p>
        </w:tc>
        <w:tc>
          <w:tcPr>
            <w:tcW w:type="dxa" w:w="2506"/>
            <w:shd w:fill="D1FAEC" w:color="auto" w:val="clear"/>
            <w:tcMar>
              <w:top w:type="dxa" w:w="60"/>
              <w:left w:type="dxa" w:w="100"/>
              <w:bottom w:type="dxa" w:w="60"/>
              <w:right w:type="dxa" w:w="100"/>
            </w:tcMar>
          </w:tcPr>
          <w:p>
            <w:pPr>
              <w:spacing w:after="40"/>
            </w:pPr>
            <w:r>
              <w:rPr>
                <w:b/>
                <w:bCs/>
                <w:sz w:val="19"/>
                <w:szCs w:val="19"/>
              </w:rPr>
              <w:t xml:space="preserve">Valoración de la revisión</w:t>
            </w:r>
          </w:p>
        </w:tc>
        <w:tc>
          <w:tcPr>
            <w:tcW w:type="dxa" w:w="4242"/>
            <w:shd w:fill="D1FAEC" w:color="auto" w:val="clear"/>
            <w:tcMar>
              <w:top w:type="dxa" w:w="60"/>
              <w:left w:type="dxa" w:w="100"/>
              <w:bottom w:type="dxa" w:w="60"/>
              <w:right w:type="dxa" w:w="100"/>
            </w:tcMar>
          </w:tcPr>
          <w:p>
            <w:pPr>
              <w:spacing w:after="40"/>
            </w:pPr>
            <w:r>
              <w:rPr>
                <w:b/>
                <w:bCs/>
                <w:sz w:val="19"/>
                <w:szCs w:val="19"/>
              </w:rPr>
              <w:t xml:space="preserve">Estado de la respuesta</w:t>
            </w:r>
          </w:p>
        </w:tc>
      </w:tr>
      <w:tr>
        <w:trPr>
          <w:cantSplit/>
        </w:trPr>
        <w:tc>
          <w:tcPr>
            <w:tcW w:type="dxa" w:w="2892"/>
            <w:tcMar>
              <w:top w:type="dxa" w:w="60"/>
              <w:left w:type="dxa" w:w="100"/>
              <w:bottom w:type="dxa" w:w="60"/>
              <w:right w:type="dxa" w:w="100"/>
            </w:tcMar>
          </w:tcPr>
          <w:p>
            <w:pPr>
              <w:spacing w:after="40"/>
            </w:pPr>
            <w:r>
              <w:t xml:space="preserve">Diligenciamiento del formato</w:t>
            </w:r>
          </w:p>
        </w:tc>
        <w:tc>
          <w:tcPr>
            <w:tcW w:type="dxa" w:w="2506"/>
            <w:tcMar>
              <w:top w:type="dxa" w:w="60"/>
              <w:left w:type="dxa" w:w="100"/>
              <w:bottom w:type="dxa" w:w="60"/>
              <w:right w:type="dxa" w:w="100"/>
            </w:tcMar>
          </w:tcPr>
          <w:p>
            <w:pPr>
              <w:spacing w:after="40"/>
            </w:pPr>
            <w:r>
              <w:t xml:space="preserve">✅ Cumple</w:t>
            </w:r>
          </w:p>
        </w:tc>
        <w:tc>
          <w:tcPr>
            <w:tcW w:type="dxa" w:w="4242"/>
            <w:tcMar>
              <w:top w:type="dxa" w:w="60"/>
              <w:left w:type="dxa" w:w="100"/>
              <w:bottom w:type="dxa" w:w="60"/>
              <w:right w:type="dxa" w:w="100"/>
            </w:tcMar>
          </w:tcPr>
          <w:p>
            <w:pPr>
              <w:spacing w:after="40"/>
            </w:pPr>
            <w:r>
              <w:t xml:space="preserve">Sin acción requerida</w:t>
            </w:r>
          </w:p>
        </w:tc>
      </w:tr>
      <w:tr>
        <w:trPr>
          <w:cantSplit/>
        </w:trPr>
        <w:tc>
          <w:tcPr>
            <w:tcW w:type="dxa" w:w="2892"/>
            <w:tcMar>
              <w:top w:type="dxa" w:w="60"/>
              <w:left w:type="dxa" w:w="100"/>
              <w:bottom w:type="dxa" w:w="60"/>
              <w:right w:type="dxa" w:w="100"/>
            </w:tcMar>
          </w:tcPr>
          <w:p>
            <w:pPr>
              <w:spacing w:after="40"/>
            </w:pPr>
            <w:r>
              <w:t xml:space="preserve">Identificación del proyecto</w:t>
            </w:r>
          </w:p>
        </w:tc>
        <w:tc>
          <w:tcPr>
            <w:tcW w:type="dxa" w:w="2506"/>
            <w:tcMar>
              <w:top w:type="dxa" w:w="60"/>
              <w:left w:type="dxa" w:w="100"/>
              <w:bottom w:type="dxa" w:w="60"/>
              <w:right w:type="dxa" w:w="100"/>
            </w:tcMar>
          </w:tcPr>
          <w:p>
            <w:pPr>
              <w:spacing w:after="40"/>
            </w:pPr>
            <w:r>
              <w:t xml:space="preserve">🟡 Cumple parcialmente</w:t>
            </w:r>
          </w:p>
        </w:tc>
        <w:tc>
          <w:tcPr>
            <w:tcW w:type="dxa" w:w="4242"/>
            <w:tcMar>
              <w:top w:type="dxa" w:w="60"/>
              <w:left w:type="dxa" w:w="100"/>
              <w:bottom w:type="dxa" w:w="60"/>
              <w:right w:type="dxa" w:w="100"/>
            </w:tcMar>
          </w:tcPr>
          <w:p>
            <w:pPr>
              <w:spacing w:after="40"/>
            </w:pPr>
            <w:r>
              <w:t xml:space="preserve">Falta contexto del documento enviado el 19/10/2026</w:t>
            </w:r>
          </w:p>
        </w:tc>
      </w:tr>
      <w:tr>
        <w:trPr>
          <w:cantSplit/>
        </w:trPr>
        <w:tc>
          <w:tcPr>
            <w:tcW w:type="dxa" w:w="2892"/>
            <w:tcMar>
              <w:top w:type="dxa" w:w="60"/>
              <w:left w:type="dxa" w:w="100"/>
              <w:bottom w:type="dxa" w:w="60"/>
              <w:right w:type="dxa" w:w="100"/>
            </w:tcMar>
          </w:tcPr>
          <w:p>
            <w:pPr>
              <w:spacing w:after="40"/>
            </w:pPr>
            <w:r>
              <w:t xml:space="preserve">Redacción</w:t>
            </w:r>
          </w:p>
        </w:tc>
        <w:tc>
          <w:tcPr>
            <w:tcW w:type="dxa" w:w="2506"/>
            <w:tcMar>
              <w:top w:type="dxa" w:w="60"/>
              <w:left w:type="dxa" w:w="100"/>
              <w:bottom w:type="dxa" w:w="60"/>
              <w:right w:type="dxa" w:w="100"/>
            </w:tcMar>
          </w:tcPr>
          <w:p>
            <w:pPr>
              <w:spacing w:after="40"/>
            </w:pPr>
            <w:r>
              <w:t xml:space="preserve">❌ No cumple</w:t>
            </w:r>
          </w:p>
        </w:tc>
        <w:tc>
          <w:tcPr>
            <w:tcW w:type="dxa" w:w="4242"/>
            <w:tcMar>
              <w:top w:type="dxa" w:w="60"/>
              <w:left w:type="dxa" w:w="100"/>
              <w:bottom w:type="dxa" w:w="60"/>
              <w:right w:type="dxa" w:w="100"/>
            </w:tcMar>
          </w:tcPr>
          <w:p>
            <w:pPr>
              <w:spacing w:after="40"/>
            </w:pPr>
            <w:r>
              <w:t xml:space="preserve">Falta contexto del documento enviado el 19/10/2026</w:t>
            </w:r>
          </w:p>
        </w:tc>
      </w:tr>
      <w:tr>
        <w:trPr>
          <w:cantSplit/>
        </w:trPr>
        <w:tc>
          <w:tcPr>
            <w:tcW w:type="dxa" w:w="2892"/>
            <w:tcMar>
              <w:top w:type="dxa" w:w="60"/>
              <w:left w:type="dxa" w:w="100"/>
              <w:bottom w:type="dxa" w:w="60"/>
              <w:right w:type="dxa" w:w="100"/>
            </w:tcMar>
          </w:tcPr>
          <w:p>
            <w:pPr>
              <w:spacing w:after="40"/>
            </w:pPr>
            <w:r>
              <w:t xml:space="preserve">Restos de otros documentos</w:t>
            </w:r>
          </w:p>
        </w:tc>
        <w:tc>
          <w:tcPr>
            <w:tcW w:type="dxa" w:w="2506"/>
            <w:tcMar>
              <w:top w:type="dxa" w:w="60"/>
              <w:left w:type="dxa" w:w="100"/>
              <w:bottom w:type="dxa" w:w="60"/>
              <w:right w:type="dxa" w:w="100"/>
            </w:tcMar>
          </w:tcPr>
          <w:p>
            <w:pPr>
              <w:spacing w:after="40"/>
            </w:pPr>
            <w:r>
              <w:t xml:space="preserve">❌ No cumple</w:t>
            </w:r>
          </w:p>
        </w:tc>
        <w:tc>
          <w:tcPr>
            <w:tcW w:type="dxa" w:w="4242"/>
            <w:tcMar>
              <w:top w:type="dxa" w:w="60"/>
              <w:left w:type="dxa" w:w="100"/>
              <w:bottom w:type="dxa" w:w="60"/>
              <w:right w:type="dxa" w:w="100"/>
            </w:tcMar>
          </w:tcPr>
          <w:p>
            <w:pPr>
              <w:spacing w:after="40"/>
            </w:pPr>
            <w:r>
              <w:t xml:space="preserve">Falta contexto del documento enviado el 19/10/2026</w:t>
            </w:r>
          </w:p>
        </w:tc>
      </w:tr>
      <w:tr>
        <w:trPr>
          <w:cantSplit/>
        </w:trPr>
        <w:tc>
          <w:tcPr>
            <w:tcW w:type="dxa" w:w="2892"/>
            <w:tcMar>
              <w:top w:type="dxa" w:w="60"/>
              <w:left w:type="dxa" w:w="100"/>
              <w:bottom w:type="dxa" w:w="60"/>
              <w:right w:type="dxa" w:w="100"/>
            </w:tcMar>
          </w:tcPr>
          <w:p>
            <w:pPr>
              <w:spacing w:after="40"/>
            </w:pPr>
            <w:r>
              <w:t xml:space="preserve">Integridad del texto</w:t>
            </w:r>
          </w:p>
        </w:tc>
        <w:tc>
          <w:tcPr>
            <w:tcW w:type="dxa" w:w="2506"/>
            <w:tcMar>
              <w:top w:type="dxa" w:w="60"/>
              <w:left w:type="dxa" w:w="100"/>
              <w:bottom w:type="dxa" w:w="60"/>
              <w:right w:type="dxa" w:w="100"/>
            </w:tcMar>
          </w:tcPr>
          <w:p>
            <w:pPr>
              <w:spacing w:after="40"/>
            </w:pPr>
            <w:r>
              <w:t xml:space="preserve">🟡 Cumple parcialmente</w:t>
            </w:r>
          </w:p>
        </w:tc>
        <w:tc>
          <w:tcPr>
            <w:tcW w:type="dxa" w:w="4242"/>
            <w:tcMar>
              <w:top w:type="dxa" w:w="60"/>
              <w:left w:type="dxa" w:w="100"/>
              <w:bottom w:type="dxa" w:w="60"/>
              <w:right w:type="dxa" w:w="100"/>
            </w:tcMar>
          </w:tcPr>
          <w:p>
            <w:pPr>
              <w:spacing w:after="40"/>
            </w:pPr>
            <w:r>
              <w:t xml:space="preserve">Falta contexto del documento enviado el 19/10/2026</w:t>
            </w:r>
          </w:p>
        </w:tc>
      </w:tr>
      <w:tr>
        <w:trPr>
          <w:cantSplit/>
        </w:trPr>
        <w:tc>
          <w:tcPr>
            <w:tcW w:type="dxa" w:w="2892"/>
            <w:tcMar>
              <w:top w:type="dxa" w:w="60"/>
              <w:left w:type="dxa" w:w="100"/>
              <w:bottom w:type="dxa" w:w="60"/>
              <w:right w:type="dxa" w:w="100"/>
            </w:tcMar>
          </w:tcPr>
          <w:p>
            <w:pPr>
              <w:spacing w:after="40"/>
            </w:pPr>
            <w:r>
              <w:t xml:space="preserve">Citas y referencias</w:t>
            </w:r>
          </w:p>
        </w:tc>
        <w:tc>
          <w:tcPr>
            <w:tcW w:type="dxa" w:w="2506"/>
            <w:tcMar>
              <w:top w:type="dxa" w:w="60"/>
              <w:left w:type="dxa" w:w="100"/>
              <w:bottom w:type="dxa" w:w="60"/>
              <w:right w:type="dxa" w:w="100"/>
            </w:tcMar>
          </w:tcPr>
          <w:p>
            <w:pPr>
              <w:spacing w:after="40"/>
            </w:pPr>
            <w:r>
              <w:t xml:space="preserve">🟡 Cumple parcialmente</w:t>
            </w:r>
          </w:p>
        </w:tc>
        <w:tc>
          <w:tcPr>
            <w:tcW w:type="dxa" w:w="4242"/>
            <w:tcMar>
              <w:top w:type="dxa" w:w="60"/>
              <w:left w:type="dxa" w:w="100"/>
              <w:bottom w:type="dxa" w:w="60"/>
              <w:right w:type="dxa" w:w="100"/>
            </w:tcMar>
          </w:tcPr>
          <w:p>
            <w:pPr>
              <w:spacing w:after="40"/>
            </w:pPr>
            <w:r>
              <w:t xml:space="preserve">Falta contexto del documento enviado el 19/10/2026</w:t>
            </w:r>
          </w:p>
        </w:tc>
      </w:tr>
      <w:tr>
        <w:trPr>
          <w:cantSplit/>
        </w:trPr>
        <w:tc>
          <w:tcPr>
            <w:tcW w:type="dxa" w:w="2892"/>
            <w:tcMar>
              <w:top w:type="dxa" w:w="60"/>
              <w:left w:type="dxa" w:w="100"/>
              <w:bottom w:type="dxa" w:w="60"/>
              <w:right w:type="dxa" w:w="100"/>
            </w:tcMar>
          </w:tcPr>
          <w:p>
            <w:pPr>
              <w:spacing w:after="40"/>
            </w:pPr>
            <w:r>
              <w:t xml:space="preserve">Nombres propios</w:t>
            </w:r>
          </w:p>
        </w:tc>
        <w:tc>
          <w:tcPr>
            <w:tcW w:type="dxa" w:w="2506"/>
            <w:tcMar>
              <w:top w:type="dxa" w:w="60"/>
              <w:left w:type="dxa" w:w="100"/>
              <w:bottom w:type="dxa" w:w="60"/>
              <w:right w:type="dxa" w:w="100"/>
            </w:tcMar>
          </w:tcPr>
          <w:p>
            <w:pPr>
              <w:spacing w:after="40"/>
            </w:pPr>
            <w:r>
              <w:t xml:space="preserve">🟡 Cumple parcialmente</w:t>
            </w:r>
          </w:p>
        </w:tc>
        <w:tc>
          <w:tcPr>
            <w:tcW w:type="dxa" w:w="4242"/>
            <w:tcMar>
              <w:top w:type="dxa" w:w="60"/>
              <w:left w:type="dxa" w:w="100"/>
              <w:bottom w:type="dxa" w:w="60"/>
              <w:right w:type="dxa" w:w="100"/>
            </w:tcMar>
          </w:tcPr>
          <w:p>
            <w:pPr>
              <w:spacing w:after="40"/>
            </w:pPr>
            <w:r>
              <w:t xml:space="preserve">Falta contexto del documento enviado el 19/10/2026</w:t>
            </w:r>
          </w:p>
        </w:tc>
      </w:tr>
      <w:tr>
        <w:trPr>
          <w:cantSplit/>
        </w:trPr>
        <w:tc>
          <w:tcPr>
            <w:tcW w:type="dxa" w:w="2892"/>
            <w:tcMar>
              <w:top w:type="dxa" w:w="60"/>
              <w:left w:type="dxa" w:w="100"/>
              <w:bottom w:type="dxa" w:w="60"/>
              <w:right w:type="dxa" w:w="100"/>
            </w:tcMar>
          </w:tcPr>
          <w:p>
            <w:pPr>
              <w:spacing w:after="40"/>
            </w:pPr>
            <w:r>
              <w:t xml:space="preserve">Fechas de firma</w:t>
            </w:r>
          </w:p>
        </w:tc>
        <w:tc>
          <w:tcPr>
            <w:tcW w:type="dxa" w:w="2506"/>
            <w:tcMar>
              <w:top w:type="dxa" w:w="60"/>
              <w:left w:type="dxa" w:w="100"/>
              <w:bottom w:type="dxa" w:w="60"/>
              <w:right w:type="dxa" w:w="100"/>
            </w:tcMar>
          </w:tcPr>
          <w:p>
            <w:pPr>
              <w:spacing w:after="40"/>
            </w:pPr>
            <w:r>
              <w:t xml:space="preserve">🟡 Cumple parcialmente</w:t>
            </w:r>
          </w:p>
        </w:tc>
        <w:tc>
          <w:tcPr>
            <w:tcW w:type="dxa" w:w="4242"/>
            <w:tcMar>
              <w:top w:type="dxa" w:w="60"/>
              <w:left w:type="dxa" w:w="100"/>
              <w:bottom w:type="dxa" w:w="60"/>
              <w:right w:type="dxa" w:w="100"/>
            </w:tcMar>
          </w:tcPr>
          <w:p>
            <w:pPr>
              <w:spacing w:after="40"/>
            </w:pPr>
            <w:r>
              <w:t xml:space="preserve">Falta contexto del documento enviado el 19/10/2026</w:t>
            </w:r>
          </w:p>
        </w:tc>
      </w:tr>
      <w:tr>
        <w:trPr>
          <w:cantSplit/>
        </w:trPr>
        <w:tc>
          <w:tcPr>
            <w:tcW w:type="dxa" w:w="2892"/>
            <w:tcMar>
              <w:top w:type="dxa" w:w="60"/>
              <w:left w:type="dxa" w:w="100"/>
              <w:bottom w:type="dxa" w:w="60"/>
              <w:right w:type="dxa" w:w="100"/>
            </w:tcMar>
          </w:tcPr>
          <w:p>
            <w:pPr>
              <w:spacing w:after="40"/>
            </w:pPr>
            <w:r>
              <w:t xml:space="preserve">Originalidad</w:t>
            </w:r>
          </w:p>
        </w:tc>
        <w:tc>
          <w:tcPr>
            <w:tcW w:type="dxa" w:w="2506"/>
            <w:tcMar>
              <w:top w:type="dxa" w:w="60"/>
              <w:left w:type="dxa" w:w="100"/>
              <w:bottom w:type="dxa" w:w="60"/>
              <w:right w:type="dxa" w:w="100"/>
            </w:tcMar>
          </w:tcPr>
          <w:p>
            <w:pPr>
              <w:spacing w:after="40"/>
            </w:pPr>
            <w:r>
              <w:t xml:space="preserve">⚠️ Riesgo</w:t>
            </w:r>
          </w:p>
        </w:tc>
        <w:tc>
          <w:tcPr>
            <w:tcW w:type="dxa" w:w="4242"/>
            <w:tcMar>
              <w:top w:type="dxa" w:w="60"/>
              <w:left w:type="dxa" w:w="100"/>
              <w:bottom w:type="dxa" w:w="60"/>
              <w:right w:type="dxa" w:w="100"/>
            </w:tcMar>
          </w:tcPr>
          <w:p>
            <w:pPr>
              <w:spacing w:after="40"/>
            </w:pPr>
            <w:r>
              <w:t xml:space="preserve">Falta contexto del documento enviado el 19/10/2026</w:t>
            </w:r>
          </w:p>
        </w:tc>
      </w:tr>
    </w:tbl>
    <w:p>
      <w:pPr>
        <w:pStyle w:val="Heading2"/>
      </w:pPr>
      <w:r>
        <w:t xml:space="preserve">2.2 Revisión de contenido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
        <w:gridCol w:w="2699"/>
        <w:gridCol w:w="2314"/>
        <w:gridCol w:w="3663"/>
      </w:tblGrid>
      <w:tr>
        <w:trPr>
          <w:tblHeader/>
        </w:trPr>
        <w:tc>
          <w:tcPr>
            <w:tcW w:type="dxa" w:w="964"/>
            <w:shd w:fill="D1FAEC" w:color="auto" w:val="clear"/>
            <w:tcMar>
              <w:top w:type="dxa" w:w="60"/>
              <w:left w:type="dxa" w:w="100"/>
              <w:bottom w:type="dxa" w:w="60"/>
              <w:right w:type="dxa" w:w="100"/>
            </w:tcMar>
          </w:tcPr>
          <w:p>
            <w:pPr>
              <w:spacing w:after="40"/>
            </w:pPr>
            <w:r>
              <w:rPr>
                <w:b/>
                <w:bCs/>
                <w:sz w:val="18"/>
                <w:szCs w:val="18"/>
              </w:rPr>
              <w:t xml:space="preserve">Sección</w:t>
            </w:r>
          </w:p>
        </w:tc>
        <w:tc>
          <w:tcPr>
            <w:tcW w:type="dxa" w:w="2699"/>
            <w:shd w:fill="D1FAEC" w:color="auto" w:val="clear"/>
            <w:tcMar>
              <w:top w:type="dxa" w:w="60"/>
              <w:left w:type="dxa" w:w="100"/>
              <w:bottom w:type="dxa" w:w="60"/>
              <w:right w:type="dxa" w:w="100"/>
            </w:tcMar>
          </w:tcPr>
          <w:p>
            <w:pPr>
              <w:spacing w:after="40"/>
            </w:pPr>
            <w:r>
              <w:rPr>
                <w:b/>
                <w:bCs/>
                <w:sz w:val="18"/>
                <w:szCs w:val="18"/>
              </w:rPr>
              <w:t xml:space="preserve">Criterio</w:t>
            </w:r>
          </w:p>
        </w:tc>
        <w:tc>
          <w:tcPr>
            <w:tcW w:type="dxa" w:w="2314"/>
            <w:shd w:fill="D1FAEC" w:color="auto" w:val="clear"/>
            <w:tcMar>
              <w:top w:type="dxa" w:w="60"/>
              <w:left w:type="dxa" w:w="100"/>
              <w:bottom w:type="dxa" w:w="60"/>
              <w:right w:type="dxa" w:w="100"/>
            </w:tcMar>
          </w:tcPr>
          <w:p>
            <w:pPr>
              <w:spacing w:after="40"/>
            </w:pPr>
            <w:r>
              <w:rPr>
                <w:b/>
                <w:bCs/>
                <w:sz w:val="18"/>
                <w:szCs w:val="18"/>
              </w:rPr>
              <w:t xml:space="preserve">Valoración de la revisión</w:t>
            </w:r>
          </w:p>
        </w:tc>
        <w:tc>
          <w:tcPr>
            <w:tcW w:type="dxa" w:w="3663"/>
            <w:shd w:fill="D1FAEC" w:color="auto" w:val="clear"/>
            <w:tcMar>
              <w:top w:type="dxa" w:w="60"/>
              <w:left w:type="dxa" w:w="100"/>
              <w:bottom w:type="dxa" w:w="60"/>
              <w:right w:type="dxa" w:w="100"/>
            </w:tcMar>
          </w:tcPr>
          <w:p>
            <w:pPr>
              <w:spacing w:after="40"/>
            </w:pPr>
            <w:r>
              <w:rPr>
                <w:b/>
                <w:bCs/>
                <w:sz w:val="18"/>
                <w:szCs w:val="18"/>
              </w:rPr>
              <w:t xml:space="preserve">Estado de la respuesta</w:t>
            </w:r>
          </w:p>
        </w:tc>
      </w:tr>
      <w:tr>
        <w:trPr>
          <w:cantSplit/>
        </w:trPr>
        <w:tc>
          <w:tcPr>
            <w:tcW w:type="dxa" w:w="964"/>
            <w:tcMar>
              <w:top w:type="dxa" w:w="60"/>
              <w:left w:type="dxa" w:w="100"/>
              <w:bottom w:type="dxa" w:w="60"/>
              <w:right w:type="dxa" w:w="100"/>
            </w:tcMar>
          </w:tcPr>
          <w:p>
            <w:pPr>
              <w:spacing w:after="40"/>
            </w:pPr>
            <w:r>
              <w:t xml:space="preserve">5.1</w:t>
            </w:r>
          </w:p>
        </w:tc>
        <w:tc>
          <w:tcPr>
            <w:tcW w:type="dxa" w:w="2699"/>
            <w:tcMar>
              <w:top w:type="dxa" w:w="60"/>
              <w:left w:type="dxa" w:w="100"/>
              <w:bottom w:type="dxa" w:w="60"/>
              <w:right w:type="dxa" w:w="100"/>
            </w:tcMar>
          </w:tcPr>
          <w:p>
            <w:pPr>
              <w:spacing w:after="40"/>
            </w:pPr>
            <w:r>
              <w:t xml:space="preserve">Soporte cuantitativo</w:t>
            </w:r>
          </w:p>
        </w:tc>
        <w:tc>
          <w:tcPr>
            <w:tcW w:type="dxa" w:w="2314"/>
            <w:tcMar>
              <w:top w:type="dxa" w:w="60"/>
              <w:left w:type="dxa" w:w="100"/>
              <w:bottom w:type="dxa" w:w="60"/>
              <w:right w:type="dxa" w:w="100"/>
            </w:tcMar>
          </w:tcPr>
          <w:p>
            <w:pPr>
              <w:spacing w:after="40"/>
            </w:pPr>
            <w:r>
              <w:t xml:space="preserve">✅ Cumple</w:t>
            </w:r>
          </w:p>
        </w:tc>
        <w:tc>
          <w:tcPr>
            <w:tcW w:type="dxa" w:w="3663"/>
            <w:tcMar>
              <w:top w:type="dxa" w:w="60"/>
              <w:left w:type="dxa" w:w="100"/>
              <w:bottom w:type="dxa" w:w="60"/>
              <w:right w:type="dxa" w:w="100"/>
            </w:tcMar>
          </w:tcPr>
          <w:p>
            <w:pPr>
              <w:spacing w:after="40"/>
            </w:pPr>
            <w:r>
              <w:t xml:space="preserve">Sin acción requerida</w:t>
            </w:r>
          </w:p>
        </w:tc>
      </w:tr>
      <w:tr>
        <w:trPr>
          <w:cantSplit/>
        </w:trPr>
        <w:tc>
          <w:tcPr>
            <w:tcW w:type="dxa" w:w="964"/>
            <w:tcMar>
              <w:top w:type="dxa" w:w="60"/>
              <w:left w:type="dxa" w:w="100"/>
              <w:bottom w:type="dxa" w:w="60"/>
              <w:right w:type="dxa" w:w="100"/>
            </w:tcMar>
          </w:tcPr>
          <w:p>
            <w:pPr>
              <w:spacing w:after="40"/>
            </w:pPr>
            <w:r>
              <w:t xml:space="preserve">5.1</w:t>
            </w:r>
          </w:p>
        </w:tc>
        <w:tc>
          <w:tcPr>
            <w:tcW w:type="dxa" w:w="2699"/>
            <w:tcMar>
              <w:top w:type="dxa" w:w="60"/>
              <w:left w:type="dxa" w:w="100"/>
              <w:bottom w:type="dxa" w:w="60"/>
              <w:right w:type="dxa" w:w="100"/>
            </w:tcMar>
          </w:tcPr>
          <w:p>
            <w:pPr>
              <w:spacing w:after="40"/>
            </w:pPr>
            <w:r>
              <w:t xml:space="preserve">Relación entre datos y causa</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5.1</w:t>
            </w:r>
          </w:p>
        </w:tc>
        <w:tc>
          <w:tcPr>
            <w:tcW w:type="dxa" w:w="2699"/>
            <w:tcMar>
              <w:top w:type="dxa" w:w="60"/>
              <w:left w:type="dxa" w:w="100"/>
              <w:bottom w:type="dxa" w:w="60"/>
              <w:right w:type="dxa" w:w="100"/>
            </w:tcMar>
          </w:tcPr>
          <w:p>
            <w:pPr>
              <w:spacing w:after="40"/>
            </w:pPr>
            <w:r>
              <w:t xml:space="preserve">Delimitación temporal</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5.2</w:t>
            </w:r>
          </w:p>
        </w:tc>
        <w:tc>
          <w:tcPr>
            <w:tcW w:type="dxa" w:w="2699"/>
            <w:tcMar>
              <w:top w:type="dxa" w:w="60"/>
              <w:left w:type="dxa" w:w="100"/>
              <w:bottom w:type="dxa" w:w="60"/>
              <w:right w:type="dxa" w:w="100"/>
            </w:tcMar>
          </w:tcPr>
          <w:p>
            <w:pPr>
              <w:spacing w:after="40"/>
            </w:pPr>
            <w:r>
              <w:t xml:space="preserve">Formulación en Design Thinking</w:t>
            </w:r>
          </w:p>
        </w:tc>
        <w:tc>
          <w:tcPr>
            <w:tcW w:type="dxa" w:w="2314"/>
            <w:tcMar>
              <w:top w:type="dxa" w:w="60"/>
              <w:left w:type="dxa" w:w="100"/>
              <w:bottom w:type="dxa" w:w="60"/>
              <w:right w:type="dxa" w:w="100"/>
            </w:tcMar>
          </w:tcPr>
          <w:p>
            <w:pPr>
              <w:spacing w:after="40"/>
            </w:pPr>
            <w:r>
              <w:t xml:space="preserve">✅ Cumple</w:t>
            </w:r>
          </w:p>
        </w:tc>
        <w:tc>
          <w:tcPr>
            <w:tcW w:type="dxa" w:w="3663"/>
            <w:tcMar>
              <w:top w:type="dxa" w:w="60"/>
              <w:left w:type="dxa" w:w="100"/>
              <w:bottom w:type="dxa" w:w="60"/>
              <w:right w:type="dxa" w:w="100"/>
            </w:tcMar>
          </w:tcPr>
          <w:p>
            <w:pPr>
              <w:spacing w:after="40"/>
            </w:pPr>
            <w:r>
              <w:t xml:space="preserve">Sin acción requerida</w:t>
            </w:r>
          </w:p>
        </w:tc>
      </w:tr>
      <w:tr>
        <w:trPr>
          <w:cantSplit/>
        </w:trPr>
        <w:tc>
          <w:tcPr>
            <w:tcW w:type="dxa" w:w="964"/>
            <w:tcMar>
              <w:top w:type="dxa" w:w="60"/>
              <w:left w:type="dxa" w:w="100"/>
              <w:bottom w:type="dxa" w:w="60"/>
              <w:right w:type="dxa" w:w="100"/>
            </w:tcMar>
          </w:tcPr>
          <w:p>
            <w:pPr>
              <w:spacing w:after="40"/>
            </w:pPr>
            <w:r>
              <w:t xml:space="preserve">5.2</w:t>
            </w:r>
          </w:p>
        </w:tc>
        <w:tc>
          <w:tcPr>
            <w:tcW w:type="dxa" w:w="2699"/>
            <w:tcMar>
              <w:top w:type="dxa" w:w="60"/>
              <w:left w:type="dxa" w:w="100"/>
              <w:bottom w:type="dxa" w:w="60"/>
              <w:right w:type="dxa" w:w="100"/>
            </w:tcMar>
          </w:tcPr>
          <w:p>
            <w:pPr>
              <w:spacing w:after="40"/>
            </w:pPr>
            <w:r>
              <w:t xml:space="preserve">Contraste con la situación actual</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5.2</w:t>
            </w:r>
          </w:p>
        </w:tc>
        <w:tc>
          <w:tcPr>
            <w:tcW w:type="dxa" w:w="2699"/>
            <w:tcMar>
              <w:top w:type="dxa" w:w="60"/>
              <w:left w:type="dxa" w:w="100"/>
              <w:bottom w:type="dxa" w:w="60"/>
              <w:right w:type="dxa" w:w="100"/>
            </w:tcMar>
          </w:tcPr>
          <w:p>
            <w:pPr>
              <w:spacing w:after="40"/>
            </w:pPr>
            <w:r>
              <w:t xml:space="preserve">Área y línea de investigación</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5.3</w:t>
            </w:r>
          </w:p>
        </w:tc>
        <w:tc>
          <w:tcPr>
            <w:tcW w:type="dxa" w:w="2699"/>
            <w:tcMar>
              <w:top w:type="dxa" w:w="60"/>
              <w:left w:type="dxa" w:w="100"/>
              <w:bottom w:type="dxa" w:w="60"/>
              <w:right w:type="dxa" w:w="100"/>
            </w:tcMar>
          </w:tcPr>
          <w:p>
            <w:pPr>
              <w:spacing w:after="40"/>
            </w:pPr>
            <w:r>
              <w:t xml:space="preserve">Concreción de la idea</w:t>
            </w:r>
          </w:p>
        </w:tc>
        <w:tc>
          <w:tcPr>
            <w:tcW w:type="dxa" w:w="2314"/>
            <w:tcMar>
              <w:top w:type="dxa" w:w="60"/>
              <w:left w:type="dxa" w:w="100"/>
              <w:bottom w:type="dxa" w:w="60"/>
              <w:right w:type="dxa" w:w="100"/>
            </w:tcMar>
          </w:tcPr>
          <w:p>
            <w:pPr>
              <w:spacing w:after="40"/>
            </w:pPr>
            <w:r>
              <w:t xml:space="preserve">✅ Cumple</w:t>
            </w:r>
          </w:p>
        </w:tc>
        <w:tc>
          <w:tcPr>
            <w:tcW w:type="dxa" w:w="3663"/>
            <w:tcMar>
              <w:top w:type="dxa" w:w="60"/>
              <w:left w:type="dxa" w:w="100"/>
              <w:bottom w:type="dxa" w:w="60"/>
              <w:right w:type="dxa" w:w="100"/>
            </w:tcMar>
          </w:tcPr>
          <w:p>
            <w:pPr>
              <w:spacing w:after="40"/>
            </w:pPr>
            <w:r>
              <w:t xml:space="preserve">Sin acción requerida</w:t>
            </w:r>
          </w:p>
        </w:tc>
      </w:tr>
      <w:tr>
        <w:trPr>
          <w:cantSplit/>
        </w:trPr>
        <w:tc>
          <w:tcPr>
            <w:tcW w:type="dxa" w:w="964"/>
            <w:tcMar>
              <w:top w:type="dxa" w:w="60"/>
              <w:left w:type="dxa" w:w="100"/>
              <w:bottom w:type="dxa" w:w="60"/>
              <w:right w:type="dxa" w:w="100"/>
            </w:tcMar>
          </w:tcPr>
          <w:p>
            <w:pPr>
              <w:spacing w:after="40"/>
            </w:pPr>
            <w:r>
              <w:t xml:space="preserve">5.3</w:t>
            </w:r>
          </w:p>
        </w:tc>
        <w:tc>
          <w:tcPr>
            <w:tcW w:type="dxa" w:w="2699"/>
            <w:tcMar>
              <w:top w:type="dxa" w:w="60"/>
              <w:left w:type="dxa" w:w="100"/>
              <w:bottom w:type="dxa" w:w="60"/>
              <w:right w:type="dxa" w:w="100"/>
            </w:tcMar>
          </w:tcPr>
          <w:p>
            <w:pPr>
              <w:spacing w:after="40"/>
            </w:pPr>
            <w:r>
              <w:t xml:space="preserve">Coherencia del bot</w:t>
            </w:r>
          </w:p>
        </w:tc>
        <w:tc>
          <w:tcPr>
            <w:tcW w:type="dxa" w:w="2314"/>
            <w:tcMar>
              <w:top w:type="dxa" w:w="60"/>
              <w:left w:type="dxa" w:w="100"/>
              <w:bottom w:type="dxa" w:w="60"/>
              <w:right w:type="dxa" w:w="100"/>
            </w:tcMar>
          </w:tcPr>
          <w:p>
            <w:pPr>
              <w:spacing w:after="40"/>
            </w:pPr>
            <w:r>
              <w:t xml:space="preserve">❌ No cumple</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5.3</w:t>
            </w:r>
          </w:p>
        </w:tc>
        <w:tc>
          <w:tcPr>
            <w:tcW w:type="dxa" w:w="2699"/>
            <w:tcMar>
              <w:top w:type="dxa" w:w="60"/>
              <w:left w:type="dxa" w:w="100"/>
              <w:bottom w:type="dxa" w:w="60"/>
              <w:right w:type="dxa" w:w="100"/>
            </w:tcMar>
          </w:tcPr>
          <w:p>
            <w:pPr>
              <w:spacing w:after="40"/>
            </w:pPr>
            <w:r>
              <w:t xml:space="preserve">Franja horaria</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6.1</w:t>
            </w:r>
          </w:p>
        </w:tc>
        <w:tc>
          <w:tcPr>
            <w:tcW w:type="dxa" w:w="2699"/>
            <w:tcMar>
              <w:top w:type="dxa" w:w="60"/>
              <w:left w:type="dxa" w:w="100"/>
              <w:bottom w:type="dxa" w:w="60"/>
              <w:right w:type="dxa" w:w="100"/>
            </w:tcMar>
          </w:tcPr>
          <w:p>
            <w:pPr>
              <w:spacing w:after="40"/>
            </w:pPr>
            <w:r>
              <w:t xml:space="preserve">Tipo y fidelidad</w:t>
            </w:r>
          </w:p>
        </w:tc>
        <w:tc>
          <w:tcPr>
            <w:tcW w:type="dxa" w:w="2314"/>
            <w:tcMar>
              <w:top w:type="dxa" w:w="60"/>
              <w:left w:type="dxa" w:w="100"/>
              <w:bottom w:type="dxa" w:w="60"/>
              <w:right w:type="dxa" w:w="100"/>
            </w:tcMar>
          </w:tcPr>
          <w:p>
            <w:pPr>
              <w:spacing w:after="40"/>
            </w:pPr>
            <w:r>
              <w:t xml:space="preserve">✅ Cumple</w:t>
            </w:r>
          </w:p>
        </w:tc>
        <w:tc>
          <w:tcPr>
            <w:tcW w:type="dxa" w:w="3663"/>
            <w:tcMar>
              <w:top w:type="dxa" w:w="60"/>
              <w:left w:type="dxa" w:w="100"/>
              <w:bottom w:type="dxa" w:w="60"/>
              <w:right w:type="dxa" w:w="100"/>
            </w:tcMar>
          </w:tcPr>
          <w:p>
            <w:pPr>
              <w:spacing w:after="40"/>
            </w:pPr>
            <w:r>
              <w:t xml:space="preserve">Sin acción requerida</w:t>
            </w:r>
          </w:p>
        </w:tc>
      </w:tr>
      <w:tr>
        <w:trPr>
          <w:cantSplit/>
        </w:trPr>
        <w:tc>
          <w:tcPr>
            <w:tcW w:type="dxa" w:w="964"/>
            <w:tcMar>
              <w:top w:type="dxa" w:w="60"/>
              <w:left w:type="dxa" w:w="100"/>
              <w:bottom w:type="dxa" w:w="60"/>
              <w:right w:type="dxa" w:w="100"/>
            </w:tcMar>
          </w:tcPr>
          <w:p>
            <w:pPr>
              <w:spacing w:after="40"/>
            </w:pPr>
            <w:r>
              <w:t xml:space="preserve">6.1</w:t>
            </w:r>
          </w:p>
        </w:tc>
        <w:tc>
          <w:tcPr>
            <w:tcW w:type="dxa" w:w="2699"/>
            <w:tcMar>
              <w:top w:type="dxa" w:w="60"/>
              <w:left w:type="dxa" w:w="100"/>
              <w:bottom w:type="dxa" w:w="60"/>
              <w:right w:type="dxa" w:w="100"/>
            </w:tcMar>
          </w:tcPr>
          <w:p>
            <w:pPr>
              <w:spacing w:after="40"/>
            </w:pPr>
            <w:r>
              <w:t xml:space="preserve">Factibilidad del bot</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6.1</w:t>
            </w:r>
          </w:p>
        </w:tc>
        <w:tc>
          <w:tcPr>
            <w:tcW w:type="dxa" w:w="2699"/>
            <w:tcMar>
              <w:top w:type="dxa" w:w="60"/>
              <w:left w:type="dxa" w:w="100"/>
              <w:bottom w:type="dxa" w:w="60"/>
              <w:right w:type="dxa" w:w="100"/>
            </w:tcMar>
          </w:tcPr>
          <w:p>
            <w:pPr>
              <w:spacing w:after="40"/>
            </w:pPr>
            <w:r>
              <w:t xml:space="preserve">Recursos y responsables</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6.2</w:t>
            </w:r>
          </w:p>
        </w:tc>
        <w:tc>
          <w:tcPr>
            <w:tcW w:type="dxa" w:w="2699"/>
            <w:tcMar>
              <w:top w:type="dxa" w:w="60"/>
              <w:left w:type="dxa" w:w="100"/>
              <w:bottom w:type="dxa" w:w="60"/>
              <w:right w:type="dxa" w:w="100"/>
            </w:tcMar>
          </w:tcPr>
          <w:p>
            <w:pPr>
              <w:spacing w:after="40"/>
            </w:pPr>
            <w:r>
              <w:t xml:space="preserve">Estructura si, entonces, porque</w:t>
            </w:r>
          </w:p>
        </w:tc>
        <w:tc>
          <w:tcPr>
            <w:tcW w:type="dxa" w:w="2314"/>
            <w:tcMar>
              <w:top w:type="dxa" w:w="60"/>
              <w:left w:type="dxa" w:w="100"/>
              <w:bottom w:type="dxa" w:w="60"/>
              <w:right w:type="dxa" w:w="100"/>
            </w:tcMar>
          </w:tcPr>
          <w:p>
            <w:pPr>
              <w:spacing w:after="40"/>
            </w:pPr>
            <w:r>
              <w:t xml:space="preserve">✅ Cumple</w:t>
            </w:r>
          </w:p>
        </w:tc>
        <w:tc>
          <w:tcPr>
            <w:tcW w:type="dxa" w:w="3663"/>
            <w:tcMar>
              <w:top w:type="dxa" w:w="60"/>
              <w:left w:type="dxa" w:w="100"/>
              <w:bottom w:type="dxa" w:w="60"/>
              <w:right w:type="dxa" w:w="100"/>
            </w:tcMar>
          </w:tcPr>
          <w:p>
            <w:pPr>
              <w:spacing w:after="40"/>
            </w:pPr>
            <w:r>
              <w:t xml:space="preserve">Sin acción requerida</w:t>
            </w:r>
          </w:p>
        </w:tc>
      </w:tr>
      <w:tr>
        <w:trPr>
          <w:cantSplit/>
        </w:trPr>
        <w:tc>
          <w:tcPr>
            <w:tcW w:type="dxa" w:w="964"/>
            <w:tcMar>
              <w:top w:type="dxa" w:w="60"/>
              <w:left w:type="dxa" w:w="100"/>
              <w:bottom w:type="dxa" w:w="60"/>
              <w:right w:type="dxa" w:w="100"/>
            </w:tcMar>
          </w:tcPr>
          <w:p>
            <w:pPr>
              <w:spacing w:after="40"/>
            </w:pPr>
            <w:r>
              <w:t xml:space="preserve">6.2</w:t>
            </w:r>
          </w:p>
        </w:tc>
        <w:tc>
          <w:tcPr>
            <w:tcW w:type="dxa" w:w="2699"/>
            <w:tcMar>
              <w:top w:type="dxa" w:w="60"/>
              <w:left w:type="dxa" w:w="100"/>
              <w:bottom w:type="dxa" w:w="60"/>
              <w:right w:type="dxa" w:w="100"/>
            </w:tcMar>
          </w:tcPr>
          <w:p>
            <w:pPr>
              <w:spacing w:after="40"/>
            </w:pPr>
            <w:r>
              <w:t xml:space="preserve">Verificabilidad</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6.3</w:t>
            </w:r>
          </w:p>
        </w:tc>
        <w:tc>
          <w:tcPr>
            <w:tcW w:type="dxa" w:w="2699"/>
            <w:tcMar>
              <w:top w:type="dxa" w:w="60"/>
              <w:left w:type="dxa" w:w="100"/>
              <w:bottom w:type="dxa" w:w="60"/>
              <w:right w:type="dxa" w:w="100"/>
            </w:tcMar>
          </w:tcPr>
          <w:p>
            <w:pPr>
              <w:spacing w:after="40"/>
            </w:pPr>
            <w:r>
              <w:t xml:space="preserve">Umbrales</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6.3</w:t>
            </w:r>
          </w:p>
        </w:tc>
        <w:tc>
          <w:tcPr>
            <w:tcW w:type="dxa" w:w="2699"/>
            <w:tcMar>
              <w:top w:type="dxa" w:w="60"/>
              <w:left w:type="dxa" w:w="100"/>
              <w:bottom w:type="dxa" w:w="60"/>
              <w:right w:type="dxa" w:w="100"/>
            </w:tcMar>
          </w:tcPr>
          <w:p>
            <w:pPr>
              <w:spacing w:after="40"/>
            </w:pPr>
            <w:r>
              <w:t xml:space="preserve">Cobertura del PMV</w:t>
            </w:r>
          </w:p>
        </w:tc>
        <w:tc>
          <w:tcPr>
            <w:tcW w:type="dxa" w:w="2314"/>
            <w:tcMar>
              <w:top w:type="dxa" w:w="60"/>
              <w:left w:type="dxa" w:w="100"/>
              <w:bottom w:type="dxa" w:w="60"/>
              <w:right w:type="dxa" w:w="100"/>
            </w:tcMar>
          </w:tcPr>
          <w:p>
            <w:pPr>
              <w:spacing w:after="40"/>
            </w:pPr>
            <w:r>
              <w:t xml:space="preserve">❌ No cumple</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6.4.1</w:t>
            </w:r>
          </w:p>
        </w:tc>
        <w:tc>
          <w:tcPr>
            <w:tcW w:type="dxa" w:w="2699"/>
            <w:tcMar>
              <w:top w:type="dxa" w:w="60"/>
              <w:left w:type="dxa" w:w="100"/>
              <w:bottom w:type="dxa" w:w="60"/>
              <w:right w:type="dxa" w:w="100"/>
            </w:tcMar>
          </w:tcPr>
          <w:p>
            <w:pPr>
              <w:spacing w:after="40"/>
            </w:pPr>
            <w:r>
              <w:t xml:space="preserve">Derechos y normativa</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6.4.1</w:t>
            </w:r>
          </w:p>
        </w:tc>
        <w:tc>
          <w:tcPr>
            <w:tcW w:type="dxa" w:w="2699"/>
            <w:tcMar>
              <w:top w:type="dxa" w:w="60"/>
              <w:left w:type="dxa" w:w="100"/>
              <w:bottom w:type="dxa" w:w="60"/>
              <w:right w:type="dxa" w:w="100"/>
            </w:tcMar>
          </w:tcPr>
          <w:p>
            <w:pPr>
              <w:spacing w:after="40"/>
            </w:pPr>
            <w:r>
              <w:t xml:space="preserve">Simulacro con marca DIAN</w:t>
            </w:r>
          </w:p>
        </w:tc>
        <w:tc>
          <w:tcPr>
            <w:tcW w:type="dxa" w:w="2314"/>
            <w:tcMar>
              <w:top w:type="dxa" w:w="60"/>
              <w:left w:type="dxa" w:w="100"/>
              <w:bottom w:type="dxa" w:w="60"/>
              <w:right w:type="dxa" w:w="100"/>
            </w:tcMar>
          </w:tcPr>
          <w:p>
            <w:pPr>
              <w:spacing w:after="40"/>
            </w:pPr>
            <w:r>
              <w:t xml:space="preserve">⚠️ Riesgo</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6.4.2</w:t>
            </w:r>
          </w:p>
        </w:tc>
        <w:tc>
          <w:tcPr>
            <w:tcW w:type="dxa" w:w="2699"/>
            <w:tcMar>
              <w:top w:type="dxa" w:w="60"/>
              <w:left w:type="dxa" w:w="100"/>
              <w:bottom w:type="dxa" w:w="60"/>
              <w:right w:type="dxa" w:w="100"/>
            </w:tcMar>
          </w:tcPr>
          <w:p>
            <w:pPr>
              <w:spacing w:after="40"/>
            </w:pPr>
            <w:r>
              <w:t xml:space="preserve">Viabilidad y riesgos</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 Atendida (seguridad del equipo); estructuras criminales: Falta contexto del documento enviado el 19/10/2026</w:t>
            </w:r>
          </w:p>
        </w:tc>
      </w:tr>
      <w:tr>
        <w:trPr>
          <w:cantSplit/>
        </w:trPr>
        <w:tc>
          <w:tcPr>
            <w:tcW w:type="dxa" w:w="964"/>
            <w:tcMar>
              <w:top w:type="dxa" w:w="60"/>
              <w:left w:type="dxa" w:w="100"/>
              <w:bottom w:type="dxa" w:w="60"/>
              <w:right w:type="dxa" w:w="100"/>
            </w:tcMar>
          </w:tcPr>
          <w:p>
            <w:pPr>
              <w:spacing w:after="40"/>
            </w:pPr>
            <w:r>
              <w:t xml:space="preserve">6.4.3</w:t>
            </w:r>
          </w:p>
        </w:tc>
        <w:tc>
          <w:tcPr>
            <w:tcW w:type="dxa" w:w="2699"/>
            <w:tcMar>
              <w:top w:type="dxa" w:w="60"/>
              <w:left w:type="dxa" w:w="100"/>
              <w:bottom w:type="dxa" w:w="60"/>
              <w:right w:type="dxa" w:w="100"/>
            </w:tcMar>
          </w:tcPr>
          <w:p>
            <w:pPr>
              <w:spacing w:after="40"/>
            </w:pPr>
            <w:r>
              <w:t xml:space="preserve">Consideraciones éticas</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 Atendida (consentimiento y cierre explicativo); frase señalada: Falta contexto del documento enviado el 19/10/2026</w:t>
            </w:r>
          </w:p>
        </w:tc>
      </w:tr>
      <w:tr>
        <w:trPr>
          <w:cantSplit/>
        </w:trPr>
        <w:tc>
          <w:tcPr>
            <w:tcW w:type="dxa" w:w="964"/>
            <w:tcMar>
              <w:top w:type="dxa" w:w="60"/>
              <w:left w:type="dxa" w:w="100"/>
              <w:bottom w:type="dxa" w:w="60"/>
              <w:right w:type="dxa" w:w="100"/>
            </w:tcMar>
          </w:tcPr>
          <w:p>
            <w:pPr>
              <w:spacing w:after="40"/>
            </w:pPr>
            <w:r>
              <w:t xml:space="preserve">6.5.1</w:t>
            </w:r>
          </w:p>
        </w:tc>
        <w:tc>
          <w:tcPr>
            <w:tcW w:type="dxa" w:w="2699"/>
            <w:tcMar>
              <w:top w:type="dxa" w:w="60"/>
              <w:left w:type="dxa" w:w="100"/>
              <w:bottom w:type="dxa" w:w="60"/>
              <w:right w:type="dxa" w:w="100"/>
            </w:tcMar>
          </w:tcPr>
          <w:p>
            <w:pPr>
              <w:spacing w:after="40"/>
            </w:pPr>
            <w:r>
              <w:t xml:space="preserve">Usuarios</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6.5.2</w:t>
            </w:r>
          </w:p>
        </w:tc>
        <w:tc>
          <w:tcPr>
            <w:tcW w:type="dxa" w:w="2699"/>
            <w:tcMar>
              <w:top w:type="dxa" w:w="60"/>
              <w:left w:type="dxa" w:w="100"/>
              <w:bottom w:type="dxa" w:w="60"/>
              <w:right w:type="dxa" w:w="100"/>
            </w:tcMar>
          </w:tcPr>
          <w:p>
            <w:pPr>
              <w:spacing w:after="40"/>
            </w:pPr>
            <w:r>
              <w:t xml:space="preserve">Tamaño de muestra</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6.5.3</w:t>
            </w:r>
          </w:p>
        </w:tc>
        <w:tc>
          <w:tcPr>
            <w:tcW w:type="dxa" w:w="2699"/>
            <w:tcMar>
              <w:top w:type="dxa" w:w="60"/>
              <w:left w:type="dxa" w:w="100"/>
              <w:bottom w:type="dxa" w:w="60"/>
              <w:right w:type="dxa" w:w="100"/>
            </w:tcMar>
          </w:tcPr>
          <w:p>
            <w:pPr>
              <w:spacing w:after="40"/>
            </w:pPr>
            <w:r>
              <w:t xml:space="preserve">Herramientas</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 Atendida</w:t>
            </w:r>
          </w:p>
        </w:tc>
      </w:tr>
      <w:tr>
        <w:trPr>
          <w:cantSplit/>
        </w:trPr>
        <w:tc>
          <w:tcPr>
            <w:tcW w:type="dxa" w:w="964"/>
            <w:tcMar>
              <w:top w:type="dxa" w:w="60"/>
              <w:left w:type="dxa" w:w="100"/>
              <w:bottom w:type="dxa" w:w="60"/>
              <w:right w:type="dxa" w:w="100"/>
            </w:tcMar>
          </w:tcPr>
          <w:p>
            <w:pPr>
              <w:spacing w:after="40"/>
            </w:pPr>
            <w:r>
              <w:t xml:space="preserve">6.5.4</w:t>
            </w:r>
          </w:p>
        </w:tc>
        <w:tc>
          <w:tcPr>
            <w:tcW w:type="dxa" w:w="2699"/>
            <w:tcMar>
              <w:top w:type="dxa" w:w="60"/>
              <w:left w:type="dxa" w:w="100"/>
              <w:bottom w:type="dxa" w:w="60"/>
              <w:right w:type="dxa" w:w="100"/>
            </w:tcMar>
          </w:tcPr>
          <w:p>
            <w:pPr>
              <w:spacing w:after="40"/>
            </w:pPr>
            <w:r>
              <w:t xml:space="preserve">Lugar</w:t>
            </w:r>
          </w:p>
        </w:tc>
        <w:tc>
          <w:tcPr>
            <w:tcW w:type="dxa" w:w="2314"/>
            <w:tcMar>
              <w:top w:type="dxa" w:w="60"/>
              <w:left w:type="dxa" w:w="100"/>
              <w:bottom w:type="dxa" w:w="60"/>
              <w:right w:type="dxa" w:w="100"/>
            </w:tcMar>
          </w:tcPr>
          <w:p>
            <w:pPr>
              <w:spacing w:after="40"/>
            </w:pPr>
            <w:r>
              <w:t xml:space="preserve">✅ Cumple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6.5.5</w:t>
            </w:r>
          </w:p>
        </w:tc>
        <w:tc>
          <w:tcPr>
            <w:tcW w:type="dxa" w:w="2699"/>
            <w:tcMar>
              <w:top w:type="dxa" w:w="60"/>
              <w:left w:type="dxa" w:w="100"/>
              <w:bottom w:type="dxa" w:w="60"/>
              <w:right w:type="dxa" w:w="100"/>
            </w:tcMar>
          </w:tcPr>
          <w:p>
            <w:pPr>
              <w:spacing w:after="40"/>
            </w:pPr>
            <w:r>
              <w:t xml:space="preserve">Momento</w:t>
            </w:r>
          </w:p>
        </w:tc>
        <w:tc>
          <w:tcPr>
            <w:tcW w:type="dxa" w:w="2314"/>
            <w:tcMar>
              <w:top w:type="dxa" w:w="60"/>
              <w:left w:type="dxa" w:w="100"/>
              <w:bottom w:type="dxa" w:w="60"/>
              <w:right w:type="dxa" w:w="100"/>
            </w:tcMar>
          </w:tcPr>
          <w:p>
            <w:pPr>
              <w:spacing w:after="40"/>
            </w:pPr>
            <w:r>
              <w:t xml:space="preserve">🟡 Cumple parcialmente</w:t>
            </w:r>
          </w:p>
        </w:tc>
        <w:tc>
          <w:tcPr>
            <w:tcW w:type="dxa" w:w="3663"/>
            <w:tcMar>
              <w:top w:type="dxa" w:w="60"/>
              <w:left w:type="dxa" w:w="100"/>
              <w:bottom w:type="dxa" w:w="60"/>
              <w:right w:type="dxa" w:w="100"/>
            </w:tcMar>
          </w:tcPr>
          <w:p>
            <w:pPr>
              <w:spacing w:after="40"/>
            </w:pPr>
            <w:r>
              <w:t xml:space="preserve">Falta contexto del documento enviado el 19/10/2026</w:t>
            </w:r>
          </w:p>
        </w:tc>
      </w:tr>
      <w:tr>
        <w:trPr>
          <w:cantSplit/>
        </w:trPr>
        <w:tc>
          <w:tcPr>
            <w:tcW w:type="dxa" w:w="964"/>
            <w:tcMar>
              <w:top w:type="dxa" w:w="60"/>
              <w:left w:type="dxa" w:w="100"/>
              <w:bottom w:type="dxa" w:w="60"/>
              <w:right w:type="dxa" w:w="100"/>
            </w:tcMar>
          </w:tcPr>
          <w:p>
            <w:pPr>
              <w:spacing w:after="40"/>
            </w:pPr>
            <w:r>
              <w:t xml:space="preserve">7 a 10</w:t>
            </w:r>
          </w:p>
        </w:tc>
        <w:tc>
          <w:tcPr>
            <w:tcW w:type="dxa" w:w="2699"/>
            <w:tcMar>
              <w:top w:type="dxa" w:w="60"/>
              <w:left w:type="dxa" w:w="100"/>
              <w:bottom w:type="dxa" w:w="60"/>
              <w:right w:type="dxa" w:w="100"/>
            </w:tcMar>
          </w:tcPr>
          <w:p>
            <w:pPr>
              <w:spacing w:after="40"/>
            </w:pPr>
            <w:r>
              <w:t xml:space="preserve">Hallazgos, conclusiones y conceptos</w:t>
            </w:r>
          </w:p>
        </w:tc>
        <w:tc>
          <w:tcPr>
            <w:tcW w:type="dxa" w:w="2314"/>
            <w:tcMar>
              <w:top w:type="dxa" w:w="60"/>
              <w:left w:type="dxa" w:w="100"/>
              <w:bottom w:type="dxa" w:w="60"/>
              <w:right w:type="dxa" w:w="100"/>
            </w:tcMar>
          </w:tcPr>
          <w:p>
            <w:pPr>
              <w:spacing w:after="40"/>
            </w:pPr>
            <w:r>
              <w:t xml:space="preserve">No aplica</w:t>
            </w:r>
          </w:p>
        </w:tc>
        <w:tc>
          <w:tcPr>
            <w:tcW w:type="dxa" w:w="3663"/>
            <w:tcMar>
              <w:top w:type="dxa" w:w="60"/>
              <w:left w:type="dxa" w:w="100"/>
              <w:bottom w:type="dxa" w:w="60"/>
              <w:right w:type="dxa" w:w="100"/>
            </w:tcMar>
          </w:tcPr>
          <w:p>
            <w:pPr>
              <w:spacing w:after="40"/>
            </w:pPr>
            <w:r>
              <w:t xml:space="preserve">✅ Atendida (instrumentos listos)</w:t>
            </w:r>
          </w:p>
        </w:tc>
      </w:tr>
    </w:tbl>
    <w:p>
      <w:pPr>
        <w:pStyle w:val="Heading2"/>
      </w:pPr>
      <w:r>
        <w:t xml:space="preserve">2.3 Coherencia transversal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06"/>
        <w:gridCol w:w="2314"/>
        <w:gridCol w:w="4820"/>
      </w:tblGrid>
      <w:tr>
        <w:trPr>
          <w:tblHeader/>
        </w:trPr>
        <w:tc>
          <w:tcPr>
            <w:tcW w:type="dxa" w:w="2506"/>
            <w:shd w:fill="D1FAEC" w:color="auto" w:val="clear"/>
            <w:tcMar>
              <w:top w:type="dxa" w:w="60"/>
              <w:left w:type="dxa" w:w="100"/>
              <w:bottom w:type="dxa" w:w="60"/>
              <w:right w:type="dxa" w:w="100"/>
            </w:tcMar>
          </w:tcPr>
          <w:p>
            <w:pPr>
              <w:spacing w:after="40"/>
            </w:pPr>
            <w:r>
              <w:rPr>
                <w:b/>
                <w:bCs/>
                <w:sz w:val="19"/>
                <w:szCs w:val="19"/>
              </w:rPr>
              <w:t xml:space="preserve">Eslabón</w:t>
            </w:r>
          </w:p>
        </w:tc>
        <w:tc>
          <w:tcPr>
            <w:tcW w:type="dxa" w:w="2314"/>
            <w:shd w:fill="D1FAEC" w:color="auto" w:val="clear"/>
            <w:tcMar>
              <w:top w:type="dxa" w:w="60"/>
              <w:left w:type="dxa" w:w="100"/>
              <w:bottom w:type="dxa" w:w="60"/>
              <w:right w:type="dxa" w:w="100"/>
            </w:tcMar>
          </w:tcPr>
          <w:p>
            <w:pPr>
              <w:spacing w:after="40"/>
            </w:pPr>
            <w:r>
              <w:rPr>
                <w:b/>
                <w:bCs/>
                <w:sz w:val="19"/>
                <w:szCs w:val="19"/>
              </w:rPr>
              <w:t xml:space="preserve">Estado según la revisión</w:t>
            </w:r>
          </w:p>
        </w:tc>
        <w:tc>
          <w:tcPr>
            <w:tcW w:type="dxa" w:w="4820"/>
            <w:shd w:fill="D1FAEC" w:color="auto" w:val="clear"/>
            <w:tcMar>
              <w:top w:type="dxa" w:w="60"/>
              <w:left w:type="dxa" w:w="100"/>
              <w:bottom w:type="dxa" w:w="60"/>
              <w:right w:type="dxa" w:w="100"/>
            </w:tcMar>
          </w:tcPr>
          <w:p>
            <w:pPr>
              <w:spacing w:after="40"/>
            </w:pPr>
            <w:r>
              <w:rPr>
                <w:b/>
                <w:bCs/>
                <w:sz w:val="19"/>
                <w:szCs w:val="19"/>
              </w:rPr>
              <w:t xml:space="preserve">Estado de la respuesta</w:t>
            </w:r>
          </w:p>
        </w:tc>
      </w:tr>
      <w:tr>
        <w:trPr>
          <w:cantSplit/>
        </w:trPr>
        <w:tc>
          <w:tcPr>
            <w:tcW w:type="dxa" w:w="2506"/>
            <w:tcMar>
              <w:top w:type="dxa" w:w="60"/>
              <w:left w:type="dxa" w:w="100"/>
              <w:bottom w:type="dxa" w:w="60"/>
              <w:right w:type="dxa" w:w="100"/>
            </w:tcMar>
          </w:tcPr>
          <w:p>
            <w:pPr>
              <w:spacing w:after="40"/>
            </w:pPr>
            <w:r>
              <w:t xml:space="preserve">Problema y causa</w:t>
            </w:r>
          </w:p>
        </w:tc>
        <w:tc>
          <w:tcPr>
            <w:tcW w:type="dxa" w:w="2314"/>
            <w:tcMar>
              <w:top w:type="dxa" w:w="60"/>
              <w:left w:type="dxa" w:w="100"/>
              <w:bottom w:type="dxa" w:w="60"/>
              <w:right w:type="dxa" w:w="100"/>
            </w:tcMar>
          </w:tcPr>
          <w:p>
            <w:pPr>
              <w:spacing w:after="40"/>
            </w:pPr>
            <w:r>
              <w:t xml:space="preserve">Coherente con reparos</w:t>
            </w:r>
          </w:p>
        </w:tc>
        <w:tc>
          <w:tcPr>
            <w:tcW w:type="dxa" w:w="4820"/>
            <w:tcMar>
              <w:top w:type="dxa" w:w="60"/>
              <w:left w:type="dxa" w:w="100"/>
              <w:bottom w:type="dxa" w:w="60"/>
              <w:right w:type="dxa" w:w="100"/>
            </w:tcMar>
          </w:tcPr>
          <w:p>
            <w:pPr>
              <w:spacing w:after="40"/>
            </w:pPr>
            <w:r>
              <w:t xml:space="preserve">Falta contexto del documento enviado el 19/10/2026</w:t>
            </w:r>
          </w:p>
        </w:tc>
      </w:tr>
      <w:tr>
        <w:trPr>
          <w:cantSplit/>
        </w:trPr>
        <w:tc>
          <w:tcPr>
            <w:tcW w:type="dxa" w:w="2506"/>
            <w:tcMar>
              <w:top w:type="dxa" w:w="60"/>
              <w:left w:type="dxa" w:w="100"/>
              <w:bottom w:type="dxa" w:w="60"/>
              <w:right w:type="dxa" w:w="100"/>
            </w:tcMar>
          </w:tcPr>
          <w:p>
            <w:pPr>
              <w:spacing w:after="40"/>
            </w:pPr>
            <w:r>
              <w:t xml:space="preserve">Causa y reto</w:t>
            </w:r>
          </w:p>
        </w:tc>
        <w:tc>
          <w:tcPr>
            <w:tcW w:type="dxa" w:w="2314"/>
            <w:tcMar>
              <w:top w:type="dxa" w:w="60"/>
              <w:left w:type="dxa" w:w="100"/>
              <w:bottom w:type="dxa" w:w="60"/>
              <w:right w:type="dxa" w:w="100"/>
            </w:tcMar>
          </w:tcPr>
          <w:p>
            <w:pPr>
              <w:spacing w:after="40"/>
            </w:pPr>
            <w:r>
              <w:t xml:space="preserve">Coherente</w:t>
            </w:r>
          </w:p>
        </w:tc>
        <w:tc>
          <w:tcPr>
            <w:tcW w:type="dxa" w:w="4820"/>
            <w:tcMar>
              <w:top w:type="dxa" w:w="60"/>
              <w:left w:type="dxa" w:w="100"/>
              <w:bottom w:type="dxa" w:w="60"/>
              <w:right w:type="dxa" w:w="100"/>
            </w:tcMar>
          </w:tcPr>
          <w:p>
            <w:pPr>
              <w:spacing w:after="40"/>
            </w:pPr>
            <w:r>
              <w:t xml:space="preserve">Sin acción requerida</w:t>
            </w:r>
          </w:p>
        </w:tc>
      </w:tr>
      <w:tr>
        <w:trPr>
          <w:cantSplit/>
        </w:trPr>
        <w:tc>
          <w:tcPr>
            <w:tcW w:type="dxa" w:w="2506"/>
            <w:tcMar>
              <w:top w:type="dxa" w:w="60"/>
              <w:left w:type="dxa" w:w="100"/>
              <w:bottom w:type="dxa" w:w="60"/>
              <w:right w:type="dxa" w:w="100"/>
            </w:tcMar>
          </w:tcPr>
          <w:p>
            <w:pPr>
              <w:spacing w:after="40"/>
            </w:pPr>
            <w:r>
              <w:t xml:space="preserve">Reto e idea</w:t>
            </w:r>
          </w:p>
        </w:tc>
        <w:tc>
          <w:tcPr>
            <w:tcW w:type="dxa" w:w="2314"/>
            <w:tcMar>
              <w:top w:type="dxa" w:w="60"/>
              <w:left w:type="dxa" w:w="100"/>
              <w:bottom w:type="dxa" w:w="60"/>
              <w:right w:type="dxa" w:w="100"/>
            </w:tcMar>
          </w:tcPr>
          <w:p>
            <w:pPr>
              <w:spacing w:after="40"/>
            </w:pPr>
            <w:r>
              <w:t xml:space="preserve">Coherente</w:t>
            </w:r>
          </w:p>
        </w:tc>
        <w:tc>
          <w:tcPr>
            <w:tcW w:type="dxa" w:w="4820"/>
            <w:tcMar>
              <w:top w:type="dxa" w:w="60"/>
              <w:left w:type="dxa" w:w="100"/>
              <w:bottom w:type="dxa" w:w="60"/>
              <w:right w:type="dxa" w:w="100"/>
            </w:tcMar>
          </w:tcPr>
          <w:p>
            <w:pPr>
              <w:spacing w:after="40"/>
            </w:pPr>
            <w:r>
              <w:t xml:space="preserve">Sin acción requerida</w:t>
            </w:r>
          </w:p>
        </w:tc>
      </w:tr>
      <w:tr>
        <w:trPr>
          <w:cantSplit/>
        </w:trPr>
        <w:tc>
          <w:tcPr>
            <w:tcW w:type="dxa" w:w="2506"/>
            <w:tcMar>
              <w:top w:type="dxa" w:w="60"/>
              <w:left w:type="dxa" w:w="100"/>
              <w:bottom w:type="dxa" w:w="60"/>
              <w:right w:type="dxa" w:w="100"/>
            </w:tcMar>
          </w:tcPr>
          <w:p>
            <w:pPr>
              <w:spacing w:after="40"/>
            </w:pPr>
            <w:r>
              <w:t xml:space="preserve">Idea y PMV</w:t>
            </w:r>
          </w:p>
        </w:tc>
        <w:tc>
          <w:tcPr>
            <w:tcW w:type="dxa" w:w="2314"/>
            <w:tcMar>
              <w:top w:type="dxa" w:w="60"/>
              <w:left w:type="dxa" w:w="100"/>
              <w:bottom w:type="dxa" w:w="60"/>
              <w:right w:type="dxa" w:w="100"/>
            </w:tcMar>
          </w:tcPr>
          <w:p>
            <w:pPr>
              <w:spacing w:after="40"/>
            </w:pPr>
            <w:r>
              <w:t xml:space="preserve">Inconsistente</w:t>
            </w:r>
          </w:p>
        </w:tc>
        <w:tc>
          <w:tcPr>
            <w:tcW w:type="dxa" w:w="4820"/>
            <w:tcMar>
              <w:top w:type="dxa" w:w="60"/>
              <w:left w:type="dxa" w:w="100"/>
              <w:bottom w:type="dxa" w:w="60"/>
              <w:right w:type="dxa" w:w="100"/>
            </w:tcMar>
          </w:tcPr>
          <w:p>
            <w:pPr>
              <w:spacing w:after="40"/>
            </w:pPr>
            <w:r>
              <w:t xml:space="preserve">✅ Atendida: una sola descripción del bot</w:t>
            </w:r>
          </w:p>
        </w:tc>
      </w:tr>
      <w:tr>
        <w:trPr>
          <w:cantSplit/>
        </w:trPr>
        <w:tc>
          <w:tcPr>
            <w:tcW w:type="dxa" w:w="2506"/>
            <w:tcMar>
              <w:top w:type="dxa" w:w="60"/>
              <w:left w:type="dxa" w:w="100"/>
              <w:bottom w:type="dxa" w:w="60"/>
              <w:right w:type="dxa" w:w="100"/>
            </w:tcMar>
          </w:tcPr>
          <w:p>
            <w:pPr>
              <w:spacing w:after="40"/>
            </w:pPr>
            <w:r>
              <w:t xml:space="preserve">Hipótesis y criterios</w:t>
            </w:r>
          </w:p>
        </w:tc>
        <w:tc>
          <w:tcPr>
            <w:tcW w:type="dxa" w:w="2314"/>
            <w:tcMar>
              <w:top w:type="dxa" w:w="60"/>
              <w:left w:type="dxa" w:w="100"/>
              <w:bottom w:type="dxa" w:w="60"/>
              <w:right w:type="dxa" w:w="100"/>
            </w:tcMar>
          </w:tcPr>
          <w:p>
            <w:pPr>
              <w:spacing w:after="40"/>
            </w:pPr>
            <w:r>
              <w:t xml:space="preserve">Débil</w:t>
            </w:r>
          </w:p>
        </w:tc>
        <w:tc>
          <w:tcPr>
            <w:tcW w:type="dxa" w:w="4820"/>
            <w:tcMar>
              <w:top w:type="dxa" w:w="60"/>
              <w:left w:type="dxa" w:w="100"/>
              <w:bottom w:type="dxa" w:w="60"/>
              <w:right w:type="dxa" w:w="100"/>
            </w:tcMar>
          </w:tcPr>
          <w:p>
            <w:pPr>
              <w:spacing w:after="40"/>
            </w:pPr>
            <w:r>
              <w:t xml:space="preserve">✅ Atendida: dos hipótesis y un criterio para cada resultado</w:t>
            </w:r>
          </w:p>
        </w:tc>
      </w:tr>
      <w:tr>
        <w:trPr>
          <w:cantSplit/>
        </w:trPr>
        <w:tc>
          <w:tcPr>
            <w:tcW w:type="dxa" w:w="2506"/>
            <w:tcMar>
              <w:top w:type="dxa" w:w="60"/>
              <w:left w:type="dxa" w:w="100"/>
              <w:bottom w:type="dxa" w:w="60"/>
              <w:right w:type="dxa" w:w="100"/>
            </w:tcMar>
          </w:tcPr>
          <w:p>
            <w:pPr>
              <w:spacing w:after="40"/>
            </w:pPr>
            <w:r>
              <w:t xml:space="preserve">Criterios e instrumentos</w:t>
            </w:r>
          </w:p>
        </w:tc>
        <w:tc>
          <w:tcPr>
            <w:tcW w:type="dxa" w:w="2314"/>
            <w:tcMar>
              <w:top w:type="dxa" w:w="60"/>
              <w:left w:type="dxa" w:w="100"/>
              <w:bottom w:type="dxa" w:w="60"/>
              <w:right w:type="dxa" w:w="100"/>
            </w:tcMar>
          </w:tcPr>
          <w:p>
            <w:pPr>
              <w:spacing w:after="40"/>
            </w:pPr>
            <w:r>
              <w:t xml:space="preserve">Débil</w:t>
            </w:r>
          </w:p>
        </w:tc>
        <w:tc>
          <w:tcPr>
            <w:tcW w:type="dxa" w:w="4820"/>
            <w:tcMar>
              <w:top w:type="dxa" w:w="60"/>
              <w:left w:type="dxa" w:w="100"/>
              <w:bottom w:type="dxa" w:w="60"/>
              <w:right w:type="dxa" w:w="100"/>
            </w:tcMar>
          </w:tcPr>
          <w:p>
            <w:pPr>
              <w:spacing w:after="40"/>
            </w:pPr>
            <w:r>
              <w:t xml:space="preserve">✅ Atendida: cada criterio tiene su instrumento</w:t>
            </w:r>
          </w:p>
        </w:tc>
      </w:tr>
      <w:tr>
        <w:trPr>
          <w:cantSplit/>
        </w:trPr>
        <w:tc>
          <w:tcPr>
            <w:tcW w:type="dxa" w:w="2506"/>
            <w:tcMar>
              <w:top w:type="dxa" w:w="60"/>
              <w:left w:type="dxa" w:w="100"/>
              <w:bottom w:type="dxa" w:w="60"/>
              <w:right w:type="dxa" w:w="100"/>
            </w:tcMar>
          </w:tcPr>
          <w:p>
            <w:pPr>
              <w:spacing w:after="40"/>
            </w:pPr>
            <w:r>
              <w:t xml:space="preserve">Área, línea y solución</w:t>
            </w:r>
          </w:p>
        </w:tc>
        <w:tc>
          <w:tcPr>
            <w:tcW w:type="dxa" w:w="2314"/>
            <w:tcMar>
              <w:top w:type="dxa" w:w="60"/>
              <w:left w:type="dxa" w:w="100"/>
              <w:bottom w:type="dxa" w:w="60"/>
              <w:right w:type="dxa" w:w="100"/>
            </w:tcMar>
          </w:tcPr>
          <w:p>
            <w:pPr>
              <w:spacing w:after="40"/>
            </w:pPr>
            <w:r>
              <w:t xml:space="preserve">Débil</w:t>
            </w:r>
          </w:p>
        </w:tc>
        <w:tc>
          <w:tcPr>
            <w:tcW w:type="dxa" w:w="4820"/>
            <w:tcMar>
              <w:top w:type="dxa" w:w="60"/>
              <w:left w:type="dxa" w:w="100"/>
              <w:bottom w:type="dxa" w:w="60"/>
              <w:right w:type="dxa" w:w="100"/>
            </w:tcMar>
          </w:tcPr>
          <w:p>
            <w:pPr>
              <w:spacing w:after="40"/>
            </w:pPr>
            <w:r>
              <w:t xml:space="preserve">Falta contexto del documento enviado el 19/10/2026</w:t>
            </w:r>
          </w:p>
        </w:tc>
      </w:tr>
    </w:tbl>
    <w:p>
      <w:r>
        <w:br w:type="page"/>
      </w:r>
    </w:p>
    <w:p>
      <w:pPr>
        <w:pStyle w:val="Heading1"/>
      </w:pPr>
      <w:r>
        <w:t xml:space="preserve">3. Las tres prioridades de la revisión</w:t>
      </w:r>
    </w:p>
    <w:p>
      <w:pPr>
        <w:pStyle w:val="Heading2"/>
      </w:pPr>
      <w:r>
        <w:t xml:space="preserve">Prioridad 1. El alcance real del bot</w:t>
      </w:r>
    </w:p>
    <w:p>
      <w:pPr>
        <w:spacing w:after="140" w:line="300"/>
        <w:jc w:val="both"/>
      </w:pPr>
      <w:r>
        <w:rPr>
          <w:b/>
          <w:bCs/>
        </w:rPr>
        <w:t xml:space="preserve">Por qué es pertinente.</w:t>
      </w:r>
      <w:r>
        <w:t xml:space="preserve"> Un protocolo de testeo debe decir con exactitud qué se va a probar. La revisión señala que el bot se describe con funciones distintas en las secciones 5.3, 6.1 y 6.4.2 (envío de micro-simulacros semanales y alertas a vecinos, frente a responder solo mensajes reenviados). Son dos productos distintos, con riesgos distintos: enviar mensajes sin que la persona los pida es más invasivo que responder cuando escribe.</w:t>
      </w:r>
    </w:p>
    <w:p>
      <w:pPr>
        <w:spacing w:after="140" w:line="300"/>
        <w:jc w:val="both"/>
      </w:pPr>
      <w:r>
        <w:rPr>
          <w:b/>
          <w:bCs/>
        </w:rPr>
        <w:t xml:space="preserve">Cómo se atendió.</w:t>
      </w:r>
      <w:r>
        <w:t xml:space="preserve"> Se definió que, durante el testeo, el bot solo actúa cuando el comerciante le escribe y cumple tres funciones: verificar un mensaje, enlace o captura; entrenar con un simulacro cuando el comerciante lo pide; y orientar a quien ya fue víctima, con un texto de alerta que el comerciante decide si comparte. No envía mensajes programados, masivos ni alertas automáticas. La plataforma funciona exactamente así, y el texto único para las tres secciones está en el documento de apoyo (versión 2, secciones 5.3 y 6.1).</w:t>
      </w:r>
    </w:p>
    <w:p>
      <w:pPr>
        <w:pStyle w:val="Heading2"/>
      </w:pPr>
      <w:r>
        <w:t xml:space="preserve">Prioridad 2. Hipótesis, criterios e instrumentos</w:t>
      </w:r>
    </w:p>
    <w:p>
      <w:pPr>
        <w:spacing w:after="140" w:line="300"/>
        <w:jc w:val="both"/>
      </w:pPr>
      <w:r>
        <w:rPr>
          <w:b/>
          <w:bCs/>
        </w:rPr>
        <w:t xml:space="preserve">Por qué es pertinente.</w:t>
      </w:r>
      <w:r>
        <w:t xml:space="preserve"> Una hipótesis solo sirve si al final del testeo se puede decir si se cumplió. La revisión indica que la reducción de pagos no puede comprobarse con 10 comerciantes en 15 días, que el criterio de reconocimiento de señales exige observar al comerciante (una encuesta cerrada mide lo que la persona dice, no lo que hace) y que ningún criterio evalúa el bot ni la viabilidad institucional.</w:t>
      </w:r>
    </w:p>
    <w:p>
      <w:pPr>
        <w:spacing w:after="140" w:line="300"/>
        <w:jc w:val="both"/>
      </w:pPr>
      <w:r>
        <w:rPr>
          <w:b/>
          <w:bCs/>
        </w:rPr>
        <w:t xml:space="preserve">Cómo se atendió.</w:t>
      </w:r>
      <w:r>
        <w:t xml:space="preserve"> Se proponen dos hipótesis verificables (reconocimiento de señales y uso del bot) y la reducción de pagos pasa a impacto esperado. Se proponen ocho criterios con indicador, umbral, instrumento y momento: A1 reconocimiento (8 de 10 identifican al menos 3 de 5 señales, como sugirió la revisión), A2 decisión correcta (≥ 80 %), A3 aprendizaje entre la prueba de entrada y la de salida, B conducta segura (7 de 10 no tocan el enlace trampa), C1 uso del bot, C2 utilidad del bot (≥ 80 % «me sirvió»), C3 tiempo de respuesta (≤ 10 s) y D viabilidad según los expertos del GAULA. La plataforma registra automáticamente lo que hace cada participante en el simulador, el bot tiene un botón de valoración y mide su tiempo de respuesta, y se elaboraron la lista de observación y la encuesta de seguimiento.</w:t>
      </w:r>
    </w:p>
    <w:p>
      <w:pPr>
        <w:pStyle w:val="Heading2"/>
      </w:pPr>
      <w:r>
        <w:t xml:space="preserve">Prioridad 3. Simulacro y consideraciones éticas</w:t>
      </w:r>
    </w:p>
    <w:p>
      <w:pPr>
        <w:spacing w:after="140" w:line="300"/>
        <w:jc w:val="both"/>
      </w:pPr>
      <w:r>
        <w:rPr>
          <w:b/>
          <w:bCs/>
        </w:rPr>
        <w:t xml:space="preserve">Por qué es pertinente.</w:t>
      </w:r>
      <w:r>
        <w:t xml:space="preserve"> Según la revisión, el simulacro se planteaba con un enlace «fraudulento controlado» a nombre de la DIAN. Ese diseño usa una marca real sin autorización, se asemeja en su forma a la conducta del artículo 269G de la Ley 1273 de 2009 y requiere un consentimiento previo y explícito, porque engaña a propósito a la persona.</w:t>
      </w:r>
    </w:p>
    <w:p>
      <w:pPr>
        <w:spacing w:after="140" w:line="300"/>
        <w:jc w:val="both"/>
      </w:pPr>
      <w:r>
        <w:rPr>
          <w:b/>
          <w:bCs/>
        </w:rPr>
        <w:t xml:space="preserve">Cómo se atendió.</w:t>
      </w:r>
      <w:r>
        <w:t xml:space="preserve"> El simulacro se trasladó a una maqueta digital, el simulador de casos, con entidades ficticias (por ejemplo, «Tributos Nacionales» en lugar de la DIAN). Los enlaces y archivos no funcionan: al tocarlos aparece un aviso que explica qué habría pasado. No se pide ningún dato y los mensajes no se envían a los celulares. Antes de empezar se firma un consentimiento escrito que advierte que algunos mensajes son falsos a propósito, y al terminar cada caso el simulador explica las señales (cierre explicativo).</w:t>
      </w:r>
    </w:p>
    <w:p>
      <w:r>
        <w:br w:type="page"/>
      </w:r>
    </w:p>
    <w:p>
      <w:pPr>
        <w:pStyle w:val="Heading1"/>
      </w:pPr>
      <w:r>
        <w:t xml:space="preserve">4. Respuesta punto por punto</w:t>
      </w:r>
    </w:p>
    <w:p>
      <w:pPr>
        <w:pStyle w:val="Heading2"/>
      </w:pPr>
      <w:r>
        <w:t xml:space="preserve">4.1 Observaciones del alcance del PMV</w:t>
      </w:r>
    </w:p>
    <w:p>
      <w:pPr>
        <w:spacing w:after="140" w:line="300"/>
        <w:jc w:val="both"/>
      </w:pPr>
      <w:r>
        <w:t xml:space="preserve">Cada observación se presenta con lo que dijo la revisión, por qué es pertinente, cómo se atendió y dónde puede verificarse.</w:t>
      </w:r>
    </w:p>
    <w:p>
      <w:pPr>
        <w:keepNext/>
        <w:spacing w:after="80" w:before="220"/>
      </w:pPr>
      <w:r>
        <w:rPr>
          <w:b/>
          <w:bCs/>
          <w:color w:val="0C483D"/>
          <w:sz w:val="23"/>
          <w:szCs w:val="23"/>
        </w:rPr>
        <w:t xml:space="preserve">1. Coherencia del bot (5.3)</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En 5.3 el bot envía micro-simulacros semanales y alerta a vecinos; en 6.4.2 responde solo a mensajes reenviados.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Ver la prioridad 1: son dos productos distintos, con riesgos distintos.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Descripción única: el bot solo actúa cuando el comerciante le escribe (verificar, entrenar a pedido y orientar). No hay envíos semanales ni alertas automáticas.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Plataforma; documento de apoyo, 5.3 y 6.1.</w:t>
            </w:r>
          </w:p>
        </w:tc>
      </w:tr>
    </w:tbl>
    <w:p>
      <w:pPr>
        <w:keepNext/>
        <w:spacing w:after="80" w:before="220"/>
      </w:pPr>
      <w:r>
        <w:rPr>
          <w:b/>
          <w:bCs/>
          <w:color w:val="0C483D"/>
          <w:sz w:val="23"/>
          <w:szCs w:val="23"/>
        </w:rPr>
        <w:t xml:space="preserve">2. Factibilidad del bot (6.1)</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Se espera que el bot analice remitente, dominio y enlaces, lo que requiere desarrollo e integración; precisar si será automático, semiautomático u operado por una persona.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El análisis automático de enlaces no se resuelve con respuestas automáticas básicas: exige un desarrollo.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El bot ya está desarrollado y funcionando. Es automático (no es «Mago de Oz»): compara las direcciones con listas de sitios oficiales y falsos, detecta imitaciones, sigue enlaces acortados sin abrir la página, lee capturas de pantalla y aplica reglas sobre urgencia y solicitudes de datos o pagos. Funciona en la página web y en Telegram; WhatsApp queda sujeto a la verificación de la cuenta empresarial por parte de Meta. La operación usa capas gratuitas de servicios en la nube.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lab-bot-verifica-santa-fe.vercel.app/verificar; Telegram @VerificaSantaFeBot; documento de apoyo, 6.1.</w:t>
            </w:r>
          </w:p>
        </w:tc>
      </w:tr>
    </w:tbl>
    <w:p>
      <w:pPr>
        <w:keepNext/>
        <w:spacing w:after="80" w:before="220"/>
      </w:pPr>
      <w:r>
        <w:rPr>
          <w:b/>
          <w:bCs/>
          <w:color w:val="0C483D"/>
          <w:sz w:val="23"/>
          <w:szCs w:val="23"/>
        </w:rPr>
        <w:t xml:space="preserve">3. Verificabilidad de la hipótesis (6.2)</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La hipótesis reúne varios resultados y la reducción de pagos no puede comprobarse en 15 días.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Ver la prioridad 2.</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Dos hipótesis cortas, una de reconocimiento de señales y otra de uso del bot, y la reducción de pagos como impacto esperado.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Documento de apoyo, 6.2.</w:t>
            </w:r>
          </w:p>
        </w:tc>
      </w:tr>
    </w:tbl>
    <w:p>
      <w:pPr>
        <w:keepNext/>
        <w:spacing w:after="80" w:before="220"/>
      </w:pPr>
      <w:r>
        <w:rPr>
          <w:b/>
          <w:bCs/>
          <w:color w:val="0C483D"/>
          <w:sz w:val="23"/>
          <w:szCs w:val="23"/>
        </w:rPr>
        <w:t xml:space="preserve">4. Umbrales (6.3)</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Un criterio junta dos condiciones y otro no tiene umbral; ejemplo sugerido: 8 de 10 identifican al menos 3 de las 5 señales.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 un criterio junta dos condiciones no se sabe qué concluir cuando se cumple una sola, y sin umbral no se puede decir si se cumplió.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Cada criterio mide una sola condición y tiene umbral. Se acogió el ejemplo de la revisión como criterio A1.</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Documento de apoyo, 6.3.</w:t>
            </w:r>
          </w:p>
        </w:tc>
      </w:tr>
    </w:tbl>
    <w:p>
      <w:pPr>
        <w:keepNext/>
        <w:spacing w:after="80" w:before="220"/>
      </w:pPr>
      <w:r>
        <w:rPr>
          <w:b/>
          <w:bCs/>
          <w:color w:val="0C483D"/>
          <w:sz w:val="23"/>
          <w:szCs w:val="23"/>
        </w:rPr>
        <w:t xml:space="preserve">5. Cobertura del PMV (6.3)</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Ningún criterio evalúa el bot ni la viabilidad según los expertos del GAULA.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 el bot y la viabilidad institucional son parte del PMV, el testeo debe decir si funcionan.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Criterios C1 (uso), C2 (utilidad) y C3 (tiempo de respuesta) para el bot, y D (viabilidad con rúbrica de cuatro dimensiones) para los expertos. La plataforma mide C2 y C3 automáticamente con el botón «👍 Me sirvió / 👎 No entendí» y el registro del tiempo de análisis.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Panel del equipo, sección «Bot: utilidad y tiempo de respuesta»; documento de apoyo, 6.3 y anexo D.</w:t>
            </w:r>
          </w:p>
        </w:tc>
      </w:tr>
    </w:tbl>
    <w:p>
      <w:pPr>
        <w:keepNext/>
        <w:spacing w:after="80" w:before="220"/>
      </w:pPr>
      <w:r>
        <w:rPr>
          <w:b/>
          <w:bCs/>
          <w:color w:val="0C483D"/>
          <w:sz w:val="23"/>
          <w:szCs w:val="23"/>
        </w:rPr>
        <w:t xml:space="preserve">6. Criterios e instrumentos (coherencia transversal)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El criterio de reconocimiento requiere observación y el instrumento declarado es una encuesta cerrada.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Una encuesta mide lo que la persona dice que haría; el criterio pide ver lo que hace.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El reconocimiento y la conducta segura se miden con dos instrumentos: el registro automático del simulador (qué señales marcó, si acertó y si tocó la trampa) y la lista de observación que diligencia el facilitador.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/simulador; /taller/observacion; panel del equipo, sección «Simulador de casos».</w:t>
            </w:r>
          </w:p>
        </w:tc>
      </w:tr>
    </w:tbl>
    <w:p>
      <w:pPr>
        <w:keepNext/>
        <w:spacing w:after="80" w:before="220"/>
      </w:pPr>
      <w:r>
        <w:rPr>
          <w:b/>
          <w:bCs/>
          <w:color w:val="0C483D"/>
          <w:sz w:val="23"/>
          <w:szCs w:val="23"/>
        </w:rPr>
        <w:t xml:space="preserve">7. Datos personales (6.4.1)</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WhatsApp registra el número y los mensajes reenviados pueden traer datos de terceros, por lo que aplica la Ley 1581 de 2012; incluir aviso de privacidad y autorización.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El número de teléfono es un dato personal y un mensaje reenviado puede contener nombres o números de otras personas.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El número o usuario se convierte en un código anónimo irreversible; los mensajes se analizan en memoria y no se guardan; los reportes se anonimizan; el aviso de privacidad está publicado; el bot informa la autorización en su primer mensaje; y en el taller se firma un consentimiento.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/privacidad; primer mensaje del bot; /taller/consentimiento.</w:t>
            </w:r>
          </w:p>
        </w:tc>
      </w:tr>
    </w:tbl>
    <w:p>
      <w:pPr>
        <w:keepNext/>
        <w:spacing w:after="80" w:before="220"/>
      </w:pPr>
      <w:r>
        <w:rPr>
          <w:b/>
          <w:bCs/>
          <w:color w:val="0C483D"/>
          <w:sz w:val="23"/>
          <w:szCs w:val="23"/>
        </w:rPr>
        <w:t xml:space="preserve">8. Aval del canal y declaración de IA (6.4.1)</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Gestionar el aval para operar un canal a nombre de la Policía y, si el bot usa IA, declararlo según el Instructivo 013 DIEPO-VICIN de 2025.</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 comerciante podría creer que habla con un canal oficial, y el uso de IA debe ser transparente.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La página y el bot muestran «Proyecto académico de prevención. No es un canal oficial de la Policía Nacional ni reemplaza una denuncia». El uso de IA (Google Gemini, que recibe el texto sin datos personales y solo puede elevar el nivel de alerta) se declara en el aviso de privacidad y en el primer mensaje del bot. El aval institucional se gestiona ante la dependencia competente.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Pie de página de la plataforma; /privacidad; primer mensaje del bot.</w:t>
            </w:r>
          </w:p>
        </w:tc>
      </w:tr>
    </w:tbl>
    <w:p>
      <w:pPr>
        <w:keepNext/>
        <w:spacing w:after="80" w:before="220"/>
      </w:pPr>
      <w:r>
        <w:rPr>
          <w:b/>
          <w:bCs/>
          <w:color w:val="0C483D"/>
          <w:sz w:val="23"/>
          <w:szCs w:val="23"/>
        </w:rPr>
        <w:t xml:space="preserve">9. Simulacro con la marca DIAN (6.4.1)</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Un enlace «fraudulento controlado» a nombre de la DIAN puede asemejarse al artículo 269G de la Ley 1273 de 2009 y usa una marca sin autorización.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Ver la prioridad 3. Como precisión, el artículo 269G se refiere a quien actúe «con objeto ilícito y sin estar facultado para ello»; aun así, usar una marca sin autorización y engañar sin consentimiento suficiente eran problemas reales.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Simulador con entidades ficticias, enlaces y archivos que no funcionan, ningún dato capturado, mensajes que no se envían a los celulares, consentimiento escrito previo y cierre explicativo.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/simulador; documento de apoyo, 6.4.1 y anexo G.</w:t>
            </w:r>
          </w:p>
        </w:tc>
      </w:tr>
    </w:tbl>
    <w:p>
      <w:pPr>
        <w:keepNext/>
        <w:spacing w:after="80" w:before="220"/>
      </w:pPr>
      <w:r>
        <w:rPr>
          <w:b/>
          <w:bCs/>
          <w:color w:val="0C483D"/>
          <w:sz w:val="23"/>
          <w:szCs w:val="23"/>
        </w:rPr>
        <w:t xml:space="preserve">10. Seguridad del equipo (6.4.2)</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 considera la seguridad de los cadetes en zona comercial nocturna.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 el taller se hace en la franja de mayor criminalidad, el equipo también queda expuesto.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Medidas propuestas: grupos de al menos dos personas, aviso previo al CAI del cuadrante, punto de encuentro, hora de cierre, contacto de emergencia del frente de seguridad y suspensión de la actividad ante cualquier riesgo.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Documento de apoyo, 6.4.2.</w:t>
            </w:r>
          </w:p>
        </w:tc>
      </w:tr>
    </w:tbl>
    <w:p>
      <w:pPr>
        <w:keepNext/>
        <w:spacing w:after="80" w:before="220"/>
      </w:pPr>
      <w:r>
        <w:rPr>
          <w:b/>
          <w:bCs/>
          <w:color w:val="0C483D"/>
          <w:sz w:val="23"/>
          <w:szCs w:val="23"/>
        </w:rPr>
        <w:t xml:space="preserve">11. Consentimiento y cierre explicativo (6.4.3)</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Pedir consentimiento escrito antes del simulacro y hacer un cierre explicativo al terminar.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En un ejercicio que engaña a propósito, la persona debe aceptar antes, por escrito y sabiendo que habrá mensajes falsos, y debe salir sabiendo qué pasó.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Formato de consentimiento imprimible, que el facilitador confirma en el modo taller antes de empezar, y cierre explicativo en cada caso del simulador.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/taller/consentimiento; /taller; /simulador.</w:t>
            </w:r>
          </w:p>
        </w:tc>
      </w:tr>
    </w:tbl>
    <w:p>
      <w:pPr>
        <w:keepNext/>
        <w:spacing w:after="80" w:before="220"/>
      </w:pPr>
      <w:r>
        <w:rPr>
          <w:b/>
          <w:bCs/>
          <w:color w:val="0C483D"/>
          <w:sz w:val="23"/>
          <w:szCs w:val="23"/>
        </w:rPr>
        <w:t xml:space="preserve">12. Usuarios y expertos (6.5.1)</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Agregar criterios de exclusión y precisar qué evaluarán los expertos en el testeo.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Sin criterios de exclusión no se sabe a quién no incluir, y los expertos deben aportar una valoración del PMV.</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Criterios de exclusión propuestos (menores de edad, quienes no firman el consentimiento, quienes participaron en la validación de los instrumentos y quienes no desean el simulacro) y expertos como evaluadores con una rúbrica de pertinencia, viabilidad, riesgos y replicabilidad.</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Documento de apoyo, 6.5.1 y anexo D.</w:t>
            </w:r>
          </w:p>
        </w:tc>
      </w:tr>
    </w:tbl>
    <w:p>
      <w:pPr>
        <w:keepNext/>
        <w:spacing w:after="80" w:before="220"/>
      </w:pPr>
      <w:r>
        <w:rPr>
          <w:b/>
          <w:bCs/>
          <w:color w:val="0C483D"/>
          <w:sz w:val="23"/>
          <w:szCs w:val="23"/>
        </w:rPr>
        <w:t xml:space="preserve">13. Herramientas del testeo (6.5.3)</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Dejar solo los instrumentos del testeo (encuesta, lista de observación, registro del bot, entrevista a expertos y matriz de cuatro cuadrantes) y adjuntarlos.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 instrumento descrito pero no elaborado no se puede validar ni aplicar.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Instrumentos elaborados y funcionando: pruebas de entrada y de salida, simulador con registro automático, lista de observación, registro del bot exportable en CSV, encuesta de percepción, encuesta de seguimiento del día 15, guía de entrevista a expertos y matriz de cuatro cuadrantes.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/aula; /simulador; /taller/observacion; panel del equipo; documento de apoyo, anexos B a E.</w:t>
            </w:r>
          </w:p>
        </w:tc>
      </w:tr>
    </w:tbl>
    <w:p>
      <w:pPr>
        <w:keepNext/>
        <w:spacing w:after="80" w:before="220"/>
      </w:pPr>
      <w:r>
        <w:rPr>
          <w:b/>
          <w:bCs/>
          <w:color w:val="0C483D"/>
          <w:sz w:val="23"/>
          <w:szCs w:val="23"/>
        </w:rPr>
        <w:t xml:space="preserve">14. Hallazgos y decisión (secciones 7 a 10)</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Organizar los hallazgos en la matriz de cuatro cuadrantes y justificar la decisión con los umbrales.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Respuesta</w:t>
            </w:r>
          </w:p>
        </w:tc>
        <w:tc>
          <w:tcPr>
            <w:tcW w:type="dxa" w:w="7519"/>
            <w:shd w:fill="ECFDF3" w:color="auto" w:val="clear"/>
            <w:tcMar>
              <w:top w:type="dxa" w:w="60"/>
              <w:left w:type="dxa" w:w="100"/>
              <w:bottom w:type="dxa" w:w="60"/>
              <w:right w:type="dxa" w:w="100"/>
            </w:tcMar>
          </w:tcPr>
          <w:p>
            <w:r>
              <w:rPr>
                <w:b/>
                <w:bCs/>
              </w:rPr>
              <w:t xml:space="preserve">Observación pertinente. Se atendió.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Así la decisión de validar, iterar o replantear se basa en datos.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atendió</w:t>
            </w:r>
          </w:p>
        </w:tc>
        <w:tc>
          <w:tcPr>
            <w:tcW w:type="dxa" w:w="7519"/>
            <w:tcMar>
              <w:top w:type="dxa" w:w="60"/>
              <w:left w:type="dxa" w:w="100"/>
              <w:bottom w:type="dxa" w:w="60"/>
              <w:right w:type="dxa" w:w="100"/>
            </w:tcMar>
          </w:tcPr>
          <w:p>
            <w:r>
              <w:t xml:space="preserve">Matriz de cuatro cuadrantes, regla de decisión y panel que calcula los indicadores de cada criterio.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w:t>
            </w:r>
          </w:p>
        </w:tc>
        <w:tc>
          <w:tcPr>
            <w:tcW w:type="dxa" w:w="7519"/>
            <w:tcMar>
              <w:top w:type="dxa" w:w="60"/>
              <w:left w:type="dxa" w:w="100"/>
              <w:bottom w:type="dxa" w:w="60"/>
              <w:right w:type="dxa" w:w="100"/>
            </w:tcMar>
          </w:tcPr>
          <w:p>
            <w:r>
              <w:t xml:space="preserve">Panel del equipo; documento de apoyo, 6.3 y anexo E.</w:t>
            </w:r>
          </w:p>
        </w:tc>
      </w:tr>
    </w:tbl>
    <w:p>
      <w:pPr>
        <w:pStyle w:val="Heading2"/>
      </w:pPr>
      <w:r>
        <w:t xml:space="preserve">4.2 Observaciones sobre el documento del 19 de octubre de 2026</w:t>
      </w:r>
    </w:p>
    <w:p>
      <w:pPr>
        <w:spacing w:after="140" w:line="300"/>
        <w:jc w:val="both"/>
      </w:pPr>
      <w:r>
        <w:t xml:space="preserve">Las siguientes observaciones se refieren al contenido del documento enviado en esa fecha: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57"/>
        <w:gridCol w:w="3663"/>
        <w:gridCol w:w="4820"/>
      </w:tblGrid>
      <w:tr>
        <w:trPr>
          <w:tblHeader/>
        </w:trPr>
        <w:tc>
          <w:tcPr>
            <w:tcW w:type="dxa" w:w="1157"/>
            <w:shd w:fill="D1FAEC" w:color="auto" w:val="clear"/>
            <w:tcMar>
              <w:top w:type="dxa" w:w="60"/>
              <w:left w:type="dxa" w:w="100"/>
              <w:bottom w:type="dxa" w:w="60"/>
              <w:right w:type="dxa" w:w="100"/>
            </w:tcMar>
          </w:tcPr>
          <w:p>
            <w:pPr>
              <w:spacing w:after="40"/>
            </w:pPr>
            <w:r>
              <w:rPr>
                <w:b/>
                <w:bCs/>
                <w:sz w:val="19"/>
                <w:szCs w:val="19"/>
              </w:rPr>
              <w:t xml:space="preserve">Sección</w:t>
            </w:r>
          </w:p>
        </w:tc>
        <w:tc>
          <w:tcPr>
            <w:tcW w:type="dxa" w:w="3663"/>
            <w:shd w:fill="D1FAEC" w:color="auto" w:val="clear"/>
            <w:tcMar>
              <w:top w:type="dxa" w:w="60"/>
              <w:left w:type="dxa" w:w="100"/>
              <w:bottom w:type="dxa" w:w="60"/>
              <w:right w:type="dxa" w:w="100"/>
            </w:tcMar>
          </w:tcPr>
          <w:p>
            <w:pPr>
              <w:spacing w:after="40"/>
            </w:pPr>
            <w:r>
              <w:rPr>
                <w:b/>
                <w:bCs/>
                <w:sz w:val="19"/>
                <w:szCs w:val="19"/>
              </w:rPr>
              <w:t xml:space="preserve">Observación de la revisión</w:t>
            </w:r>
          </w:p>
        </w:tc>
        <w:tc>
          <w:tcPr>
            <w:tcW w:type="dxa" w:w="4820"/>
            <w:shd w:fill="D1FAEC" w:color="auto" w:val="clear"/>
            <w:tcMar>
              <w:top w:type="dxa" w:w="60"/>
              <w:left w:type="dxa" w:w="100"/>
              <w:bottom w:type="dxa" w:w="60"/>
              <w:right w:type="dxa" w:w="100"/>
            </w:tcMar>
          </w:tcPr>
          <w:p>
            <w:pPr>
              <w:spacing w:after="40"/>
            </w:pPr>
            <w:r>
              <w:rPr>
                <w:b/>
                <w:bCs/>
                <w:sz w:val="19"/>
                <w:szCs w:val="19"/>
              </w:rPr>
              <w:t xml:space="preserve">Respuesta</w:t>
            </w:r>
          </w:p>
        </w:tc>
      </w:tr>
      <w:tr>
        <w:trPr>
          <w:cantSplit/>
        </w:trPr>
        <w:tc>
          <w:tcPr>
            <w:tcW w:type="dxa" w:w="1157"/>
            <w:tcMar>
              <w:top w:type="dxa" w:w="60"/>
              <w:left w:type="dxa" w:w="100"/>
              <w:bottom w:type="dxa" w:w="60"/>
              <w:right w:type="dxa" w:w="100"/>
            </w:tcMar>
          </w:tcPr>
          <w:p>
            <w:pPr>
              <w:spacing w:after="40"/>
            </w:pPr>
            <w:r>
              <w:t xml:space="preserve">Formal</w:t>
            </w:r>
          </w:p>
        </w:tc>
        <w:tc>
          <w:tcPr>
            <w:tcW w:type="dxa" w:w="3663"/>
            <w:tcMar>
              <w:top w:type="dxa" w:w="60"/>
              <w:left w:type="dxa" w:w="100"/>
              <w:bottom w:type="dxa" w:w="60"/>
              <w:right w:type="dxa" w:w="100"/>
            </w:tcMar>
          </w:tcPr>
          <w:p>
            <w:pPr>
              <w:spacing w:after="40"/>
            </w:pPr>
            <w:r>
              <w:t xml:space="preserve">Identificación del proyecto (título)</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Formal</w:t>
            </w:r>
          </w:p>
        </w:tc>
        <w:tc>
          <w:tcPr>
            <w:tcW w:type="dxa" w:w="3663"/>
            <w:tcMar>
              <w:top w:type="dxa" w:w="60"/>
              <w:left w:type="dxa" w:w="100"/>
              <w:bottom w:type="dxa" w:w="60"/>
              <w:right w:type="dxa" w:w="100"/>
            </w:tcMar>
          </w:tcPr>
          <w:p>
            <w:pPr>
              <w:spacing w:after="40"/>
            </w:pPr>
            <w:r>
              <w:t xml:space="preserve">Redacción</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Formal</w:t>
            </w:r>
          </w:p>
        </w:tc>
        <w:tc>
          <w:tcPr>
            <w:tcW w:type="dxa" w:w="3663"/>
            <w:tcMar>
              <w:top w:type="dxa" w:w="60"/>
              <w:left w:type="dxa" w:w="100"/>
              <w:bottom w:type="dxa" w:w="60"/>
              <w:right w:type="dxa" w:w="100"/>
            </w:tcMar>
          </w:tcPr>
          <w:p>
            <w:pPr>
              <w:spacing w:after="40"/>
            </w:pPr>
            <w:r>
              <w:t xml:space="preserve">Restos de otros documentos</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Formal</w:t>
            </w:r>
          </w:p>
        </w:tc>
        <w:tc>
          <w:tcPr>
            <w:tcW w:type="dxa" w:w="3663"/>
            <w:tcMar>
              <w:top w:type="dxa" w:w="60"/>
              <w:left w:type="dxa" w:w="100"/>
              <w:bottom w:type="dxa" w:w="60"/>
              <w:right w:type="dxa" w:w="100"/>
            </w:tcMar>
          </w:tcPr>
          <w:p>
            <w:pPr>
              <w:spacing w:after="40"/>
            </w:pPr>
            <w:r>
              <w:t xml:space="preserve">Integridad del texto</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Formal</w:t>
            </w:r>
          </w:p>
        </w:tc>
        <w:tc>
          <w:tcPr>
            <w:tcW w:type="dxa" w:w="3663"/>
            <w:tcMar>
              <w:top w:type="dxa" w:w="60"/>
              <w:left w:type="dxa" w:w="100"/>
              <w:bottom w:type="dxa" w:w="60"/>
              <w:right w:type="dxa" w:w="100"/>
            </w:tcMar>
          </w:tcPr>
          <w:p>
            <w:pPr>
              <w:spacing w:after="40"/>
            </w:pPr>
            <w:r>
              <w:t xml:space="preserve">Citas y referencias</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Formal</w:t>
            </w:r>
          </w:p>
        </w:tc>
        <w:tc>
          <w:tcPr>
            <w:tcW w:type="dxa" w:w="3663"/>
            <w:tcMar>
              <w:top w:type="dxa" w:w="60"/>
              <w:left w:type="dxa" w:w="100"/>
              <w:bottom w:type="dxa" w:w="60"/>
              <w:right w:type="dxa" w:w="100"/>
            </w:tcMar>
          </w:tcPr>
          <w:p>
            <w:pPr>
              <w:spacing w:after="40"/>
            </w:pPr>
            <w:r>
              <w:t xml:space="preserve">Nombres propios</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Formal</w:t>
            </w:r>
          </w:p>
        </w:tc>
        <w:tc>
          <w:tcPr>
            <w:tcW w:type="dxa" w:w="3663"/>
            <w:tcMar>
              <w:top w:type="dxa" w:w="60"/>
              <w:left w:type="dxa" w:w="100"/>
              <w:bottom w:type="dxa" w:w="60"/>
              <w:right w:type="dxa" w:w="100"/>
            </w:tcMar>
          </w:tcPr>
          <w:p>
            <w:pPr>
              <w:spacing w:after="40"/>
            </w:pPr>
            <w:r>
              <w:t xml:space="preserve">Fechas de firma</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Formal</w:t>
            </w:r>
          </w:p>
        </w:tc>
        <w:tc>
          <w:tcPr>
            <w:tcW w:type="dxa" w:w="3663"/>
            <w:tcMar>
              <w:top w:type="dxa" w:w="60"/>
              <w:left w:type="dxa" w:w="100"/>
              <w:bottom w:type="dxa" w:w="60"/>
              <w:right w:type="dxa" w:w="100"/>
            </w:tcMar>
          </w:tcPr>
          <w:p>
            <w:pPr>
              <w:spacing w:after="40"/>
            </w:pPr>
            <w:r>
              <w:t xml:space="preserve">Originalidad</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5.1</w:t>
            </w:r>
          </w:p>
        </w:tc>
        <w:tc>
          <w:tcPr>
            <w:tcW w:type="dxa" w:w="3663"/>
            <w:tcMar>
              <w:top w:type="dxa" w:w="60"/>
              <w:left w:type="dxa" w:w="100"/>
              <w:bottom w:type="dxa" w:w="60"/>
              <w:right w:type="dxa" w:w="100"/>
            </w:tcMar>
          </w:tcPr>
          <w:p>
            <w:pPr>
              <w:spacing w:after="40"/>
            </w:pPr>
            <w:r>
              <w:t xml:space="preserve">Relación entre datos y causa</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5.1</w:t>
            </w:r>
          </w:p>
        </w:tc>
        <w:tc>
          <w:tcPr>
            <w:tcW w:type="dxa" w:w="3663"/>
            <w:tcMar>
              <w:top w:type="dxa" w:w="60"/>
              <w:left w:type="dxa" w:w="100"/>
              <w:bottom w:type="dxa" w:w="60"/>
              <w:right w:type="dxa" w:w="100"/>
            </w:tcMar>
          </w:tcPr>
          <w:p>
            <w:pPr>
              <w:spacing w:after="40"/>
            </w:pPr>
            <w:r>
              <w:t xml:space="preserve">Delimitación temporal</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5.2</w:t>
            </w:r>
          </w:p>
        </w:tc>
        <w:tc>
          <w:tcPr>
            <w:tcW w:type="dxa" w:w="3663"/>
            <w:tcMar>
              <w:top w:type="dxa" w:w="60"/>
              <w:left w:type="dxa" w:w="100"/>
              <w:bottom w:type="dxa" w:w="60"/>
              <w:right w:type="dxa" w:w="100"/>
            </w:tcMar>
          </w:tcPr>
          <w:p>
            <w:pPr>
              <w:spacing w:after="40"/>
            </w:pPr>
            <w:r>
              <w:t xml:space="preserve">Contraste con la situación actual</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5.2</w:t>
            </w:r>
          </w:p>
        </w:tc>
        <w:tc>
          <w:tcPr>
            <w:tcW w:type="dxa" w:w="3663"/>
            <w:tcMar>
              <w:top w:type="dxa" w:w="60"/>
              <w:left w:type="dxa" w:w="100"/>
              <w:bottom w:type="dxa" w:w="60"/>
              <w:right w:type="dxa" w:w="100"/>
            </w:tcMar>
          </w:tcPr>
          <w:p>
            <w:pPr>
              <w:spacing w:after="40"/>
            </w:pPr>
            <w:r>
              <w:t xml:space="preserve">Área y línea de investigación</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5.3</w:t>
            </w:r>
          </w:p>
        </w:tc>
        <w:tc>
          <w:tcPr>
            <w:tcW w:type="dxa" w:w="3663"/>
            <w:tcMar>
              <w:top w:type="dxa" w:w="60"/>
              <w:left w:type="dxa" w:w="100"/>
              <w:bottom w:type="dxa" w:w="60"/>
              <w:right w:type="dxa" w:w="100"/>
            </w:tcMar>
          </w:tcPr>
          <w:p>
            <w:pPr>
              <w:spacing w:after="40"/>
            </w:pPr>
            <w:r>
              <w:t xml:space="preserve">Franja horaria</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6.1</w:t>
            </w:r>
          </w:p>
        </w:tc>
        <w:tc>
          <w:tcPr>
            <w:tcW w:type="dxa" w:w="3663"/>
            <w:tcMar>
              <w:top w:type="dxa" w:w="60"/>
              <w:left w:type="dxa" w:w="100"/>
              <w:bottom w:type="dxa" w:w="60"/>
              <w:right w:type="dxa" w:w="100"/>
            </w:tcMar>
          </w:tcPr>
          <w:p>
            <w:pPr>
              <w:spacing w:after="40"/>
            </w:pPr>
            <w:r>
              <w:t xml:space="preserve">Recursos y responsables</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6.4.2</w:t>
            </w:r>
          </w:p>
        </w:tc>
        <w:tc>
          <w:tcPr>
            <w:tcW w:type="dxa" w:w="3663"/>
            <w:tcMar>
              <w:top w:type="dxa" w:w="60"/>
              <w:left w:type="dxa" w:w="100"/>
              <w:bottom w:type="dxa" w:w="60"/>
              <w:right w:type="dxa" w:w="100"/>
            </w:tcMar>
          </w:tcPr>
          <w:p>
            <w:pPr>
              <w:spacing w:after="40"/>
            </w:pPr>
            <w:r>
              <w:t xml:space="preserve">Estructuras criminales sin fuente</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6.5.2</w:t>
            </w:r>
          </w:p>
        </w:tc>
        <w:tc>
          <w:tcPr>
            <w:tcW w:type="dxa" w:w="3663"/>
            <w:tcMar>
              <w:top w:type="dxa" w:w="60"/>
              <w:left w:type="dxa" w:w="100"/>
              <w:bottom w:type="dxa" w:w="60"/>
              <w:right w:type="dxa" w:w="100"/>
            </w:tcMar>
          </w:tcPr>
          <w:p>
            <w:pPr>
              <w:spacing w:after="40"/>
            </w:pPr>
            <w:r>
              <w:t xml:space="preserve">Tipo y tamaño de muestra</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6.5.4</w:t>
            </w:r>
          </w:p>
        </w:tc>
        <w:tc>
          <w:tcPr>
            <w:tcW w:type="dxa" w:w="3663"/>
            <w:tcMar>
              <w:top w:type="dxa" w:w="60"/>
              <w:left w:type="dxa" w:w="100"/>
              <w:bottom w:type="dxa" w:w="60"/>
              <w:right w:type="dxa" w:w="100"/>
            </w:tcMar>
          </w:tcPr>
          <w:p>
            <w:pPr>
              <w:spacing w:after="40"/>
            </w:pPr>
            <w:r>
              <w:t xml:space="preserve">Lugar (avales)</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1157"/>
            <w:tcMar>
              <w:top w:type="dxa" w:w="60"/>
              <w:left w:type="dxa" w:w="100"/>
              <w:bottom w:type="dxa" w:w="60"/>
              <w:right w:type="dxa" w:w="100"/>
            </w:tcMar>
          </w:tcPr>
          <w:p>
            <w:pPr>
              <w:spacing w:after="40"/>
            </w:pPr>
            <w:r>
              <w:t xml:space="preserve">6.5.5</w:t>
            </w:r>
          </w:p>
        </w:tc>
        <w:tc>
          <w:tcPr>
            <w:tcW w:type="dxa" w:w="3663"/>
            <w:tcMar>
              <w:top w:type="dxa" w:w="60"/>
              <w:left w:type="dxa" w:w="100"/>
              <w:bottom w:type="dxa" w:w="60"/>
              <w:right w:type="dxa" w:w="100"/>
            </w:tcMar>
          </w:tcPr>
          <w:p>
            <w:pPr>
              <w:spacing w:after="40"/>
            </w:pPr>
            <w:r>
              <w:t xml:space="preserve">Momento (cronograma)</w:t>
            </w:r>
          </w:p>
        </w:tc>
        <w:tc>
          <w:tcPr>
            <w:tcW w:type="dxa" w:w="4820"/>
            <w:tcMar>
              <w:top w:type="dxa" w:w="60"/>
              <w:left w:type="dxa" w:w="100"/>
              <w:bottom w:type="dxa" w:w="60"/>
              <w:right w:type="dxa" w:w="100"/>
            </w:tcMar>
          </w:tcPr>
          <w:p>
            <w:pPr>
              <w:spacing w:after="40"/>
            </w:pPr>
            <w:r>
              <w:t xml:space="preserve">Falta contexto del documento enviado el 19 de octubre de 2026.</w:t>
            </w:r>
          </w:p>
        </w:tc>
      </w:tr>
    </w:tbl>
    <w:p>
      <w:r>
        <w:br w:type="page"/>
      </w:r>
    </w:p>
    <w:p>
      <w:pPr>
        <w:pStyle w:val="Heading1"/>
      </w:pPr>
      <w:r>
        <w:t xml:space="preserve">5. Precisiones técnicas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06"/>
        <w:gridCol w:w="4434"/>
        <w:gridCol w:w="2700"/>
      </w:tblGrid>
      <w:tr>
        <w:trPr>
          <w:tblHeader/>
        </w:trPr>
        <w:tc>
          <w:tcPr>
            <w:tcW w:type="dxa" w:w="2506"/>
            <w:shd w:fill="D1FAEC" w:color="auto" w:val="clear"/>
            <w:tcMar>
              <w:top w:type="dxa" w:w="60"/>
              <w:left w:type="dxa" w:w="100"/>
              <w:bottom w:type="dxa" w:w="60"/>
              <w:right w:type="dxa" w:w="100"/>
            </w:tcMar>
          </w:tcPr>
          <w:p>
            <w:pPr>
              <w:spacing w:after="40"/>
            </w:pPr>
            <w:r>
              <w:rPr>
                <w:b/>
                <w:bCs/>
                <w:sz w:val="19"/>
                <w:szCs w:val="19"/>
              </w:rPr>
              <w:t xml:space="preserve">Tema</w:t>
            </w:r>
          </w:p>
        </w:tc>
        <w:tc>
          <w:tcPr>
            <w:tcW w:type="dxa" w:w="4434"/>
            <w:shd w:fill="D1FAEC" w:color="auto" w:val="clear"/>
            <w:tcMar>
              <w:top w:type="dxa" w:w="60"/>
              <w:left w:type="dxa" w:w="100"/>
              <w:bottom w:type="dxa" w:w="60"/>
              <w:right w:type="dxa" w:w="100"/>
            </w:tcMar>
          </w:tcPr>
          <w:p>
            <w:pPr>
              <w:spacing w:after="40"/>
            </w:pPr>
            <w:r>
              <w:rPr>
                <w:b/>
                <w:bCs/>
                <w:sz w:val="19"/>
                <w:szCs w:val="19"/>
              </w:rPr>
              <w:t xml:space="preserve">Precisión</w:t>
            </w:r>
          </w:p>
        </w:tc>
        <w:tc>
          <w:tcPr>
            <w:tcW w:type="dxa" w:w="2700"/>
            <w:shd w:fill="D1FAEC" w:color="auto" w:val="clear"/>
            <w:tcMar>
              <w:top w:type="dxa" w:w="60"/>
              <w:left w:type="dxa" w:w="100"/>
              <w:bottom w:type="dxa" w:w="60"/>
              <w:right w:type="dxa" w:w="100"/>
            </w:tcMar>
          </w:tcPr>
          <w:p>
            <w:pPr>
              <w:spacing w:after="40"/>
            </w:pPr>
            <w:r>
              <w:rPr>
                <w:b/>
                <w:bCs/>
                <w:sz w:val="19"/>
                <w:szCs w:val="19"/>
              </w:rPr>
              <w:t xml:space="preserve">Efecto</w:t>
            </w:r>
          </w:p>
        </w:tc>
      </w:tr>
      <w:tr>
        <w:trPr>
          <w:cantSplit/>
        </w:trPr>
        <w:tc>
          <w:tcPr>
            <w:tcW w:type="dxa" w:w="2506"/>
            <w:tcMar>
              <w:top w:type="dxa" w:w="60"/>
              <w:left w:type="dxa" w:w="100"/>
              <w:bottom w:type="dxa" w:w="60"/>
              <w:right w:type="dxa" w:w="100"/>
            </w:tcMar>
          </w:tcPr>
          <w:p>
            <w:pPr>
              <w:spacing w:after="40"/>
            </w:pPr>
            <w:r>
              <w:t xml:space="preserve">Artículo 269G de la Ley 1273 de 2009</w:t>
            </w:r>
          </w:p>
        </w:tc>
        <w:tc>
          <w:tcPr>
            <w:tcW w:type="dxa" w:w="4434"/>
            <w:tcMar>
              <w:top w:type="dxa" w:w="60"/>
              <w:left w:type="dxa" w:w="100"/>
              <w:bottom w:type="dxa" w:w="60"/>
              <w:right w:type="dxa" w:w="100"/>
            </w:tcMar>
          </w:tcPr>
          <w:p>
            <w:pPr>
              <w:spacing w:after="40"/>
            </w:pPr>
            <w:r>
              <w:t xml:space="preserve">El tipo penal se refiere a quien, «con objeto ilícito y sin estar facultado para ello», diseñe o envíe páginas, enlaces o ventanas emergentes que suplanten sitios.</w:t>
            </w:r>
          </w:p>
        </w:tc>
        <w:tc>
          <w:tcPr>
            <w:tcW w:type="dxa" w:w="2700"/>
            <w:tcMar>
              <w:top w:type="dxa" w:w="60"/>
              <w:left w:type="dxa" w:w="100"/>
              <w:bottom w:type="dxa" w:w="60"/>
              <w:right w:type="dxa" w:w="100"/>
            </w:tcMar>
          </w:tcPr>
          <w:p>
            <w:pPr>
              <w:spacing w:after="40"/>
            </w:pPr>
            <w:r>
              <w:t xml:space="preserve">Ninguno: el simulacro se rediseñó igual, por el uso de marca y por razones éticas.</w:t>
            </w:r>
          </w:p>
        </w:tc>
      </w:tr>
      <w:tr>
        <w:trPr>
          <w:cantSplit/>
        </w:trPr>
        <w:tc>
          <w:tcPr>
            <w:tcW w:type="dxa" w:w="2506"/>
            <w:tcMar>
              <w:top w:type="dxa" w:w="60"/>
              <w:left w:type="dxa" w:w="100"/>
              <w:bottom w:type="dxa" w:w="60"/>
              <w:right w:type="dxa" w:w="100"/>
            </w:tcMar>
          </w:tcPr>
          <w:p>
            <w:pPr>
              <w:spacing w:after="40"/>
            </w:pPr>
            <w:r>
              <w:t xml:space="preserve">WhatsApp Business y respuestas automáticas</w:t>
            </w:r>
          </w:p>
        </w:tc>
        <w:tc>
          <w:tcPr>
            <w:tcW w:type="dxa" w:w="4434"/>
            <w:tcMar>
              <w:top w:type="dxa" w:w="60"/>
              <w:left w:type="dxa" w:w="100"/>
              <w:bottom w:type="dxa" w:w="60"/>
              <w:right w:type="dxa" w:w="100"/>
            </w:tcMar>
          </w:tcPr>
          <w:p>
            <w:pPr>
              <w:spacing w:after="40"/>
            </w:pPr>
            <w:r>
              <w:t xml:space="preserve">La aplicación WhatsApp Business permite respuestas automáticas básicas; la plataforma de API de WhatsApp permite un bot completo, que es la que se usa.</w:t>
            </w:r>
          </w:p>
        </w:tc>
        <w:tc>
          <w:tcPr>
            <w:tcW w:type="dxa" w:w="2700"/>
            <w:tcMar>
              <w:top w:type="dxa" w:w="60"/>
              <w:left w:type="dxa" w:w="100"/>
              <w:bottom w:type="dxa" w:w="60"/>
              <w:right w:type="dxa" w:w="100"/>
            </w:tcMar>
          </w:tcPr>
          <w:p>
            <w:pPr>
              <w:spacing w:after="40"/>
            </w:pPr>
            <w:r>
              <w:t xml:space="preserve">Ninguno: el bot se desarrolló y funciona en la web y en Telegram.</w:t>
            </w:r>
          </w:p>
        </w:tc>
      </w:tr>
    </w:tbl>
    <w:p>
      <w:pPr>
        <w:pStyle w:val="Heading1"/>
      </w:pPr>
      <w:r>
        <w:t xml:space="preserve">6. Mejoras adicionales incorporadas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4049"/>
        <w:gridCol w:w="2313"/>
      </w:tblGrid>
      <w:tr>
        <w:trPr>
          <w:tblHeader/>
        </w:trPr>
        <w:tc>
          <w:tcPr>
            <w:tcW w:type="dxa" w:w="3278"/>
            <w:shd w:fill="D1FAEC" w:color="auto" w:val="clear"/>
            <w:tcMar>
              <w:top w:type="dxa" w:w="60"/>
              <w:left w:type="dxa" w:w="100"/>
              <w:bottom w:type="dxa" w:w="60"/>
              <w:right w:type="dxa" w:w="100"/>
            </w:tcMar>
          </w:tcPr>
          <w:p>
            <w:pPr>
              <w:spacing w:after="40"/>
            </w:pPr>
            <w:r>
              <w:rPr>
                <w:b/>
                <w:bCs/>
                <w:sz w:val="19"/>
                <w:szCs w:val="19"/>
              </w:rPr>
              <w:t xml:space="preserve">Mejora</w:t>
            </w:r>
          </w:p>
        </w:tc>
        <w:tc>
          <w:tcPr>
            <w:tcW w:type="dxa" w:w="4049"/>
            <w:shd w:fill="D1FAEC" w:color="auto" w:val="clear"/>
            <w:tcMar>
              <w:top w:type="dxa" w:w="60"/>
              <w:left w:type="dxa" w:w="100"/>
              <w:bottom w:type="dxa" w:w="60"/>
              <w:right w:type="dxa" w:w="100"/>
            </w:tcMar>
          </w:tcPr>
          <w:p>
            <w:pPr>
              <w:spacing w:after="40"/>
            </w:pPr>
            <w:r>
              <w:rPr>
                <w:b/>
                <w:bCs/>
                <w:sz w:val="19"/>
                <w:szCs w:val="19"/>
              </w:rPr>
              <w:t xml:space="preserve">Por qué</w:t>
            </w:r>
          </w:p>
        </w:tc>
        <w:tc>
          <w:tcPr>
            <w:tcW w:type="dxa" w:w="2313"/>
            <w:shd w:fill="D1FAEC" w:color="auto" w:val="clear"/>
            <w:tcMar>
              <w:top w:type="dxa" w:w="60"/>
              <w:left w:type="dxa" w:w="100"/>
              <w:bottom w:type="dxa" w:w="60"/>
              <w:right w:type="dxa" w:w="100"/>
            </w:tcMar>
          </w:tcPr>
          <w:p>
            <w:pPr>
              <w:spacing w:after="40"/>
            </w:pPr>
            <w:r>
              <w:rPr>
                <w:b/>
                <w:bCs/>
                <w:sz w:val="19"/>
                <w:szCs w:val="19"/>
              </w:rPr>
              <w:t xml:space="preserve">Dónde</w:t>
            </w:r>
          </w:p>
        </w:tc>
      </w:tr>
      <w:tr>
        <w:trPr>
          <w:cantSplit/>
        </w:trPr>
        <w:tc>
          <w:tcPr>
            <w:tcW w:type="dxa" w:w="3278"/>
            <w:tcMar>
              <w:top w:type="dxa" w:w="60"/>
              <w:left w:type="dxa" w:w="100"/>
              <w:bottom w:type="dxa" w:w="60"/>
              <w:right w:type="dxa" w:w="100"/>
            </w:tcMar>
          </w:tcPr>
          <w:p>
            <w:pPr>
              <w:spacing w:after="40"/>
            </w:pPr>
            <w:r>
              <w:t xml:space="preserve">Bloque «Cuida tus cuentas» (contraseñas robustas y verificación en dos pasos)</w:t>
            </w:r>
          </w:p>
        </w:tc>
        <w:tc>
          <w:tcPr>
            <w:tcW w:type="dxa" w:w="4049"/>
            <w:tcMar>
              <w:top w:type="dxa" w:w="60"/>
              <w:left w:type="dxa" w:w="100"/>
              <w:bottom w:type="dxa" w:w="60"/>
              <w:right w:type="dxa" w:w="100"/>
            </w:tcMar>
          </w:tcPr>
          <w:p>
            <w:pPr>
              <w:spacing w:after="40"/>
            </w:pPr>
            <w:r>
              <w:t xml:space="preserve">La falta de contraseñas fuertes hace parte de la causa y el kit de 5 puntos no la trata.</w:t>
            </w:r>
          </w:p>
        </w:tc>
        <w:tc>
          <w:tcPr>
            <w:tcW w:type="dxa" w:w="2313"/>
            <w:tcMar>
              <w:top w:type="dxa" w:w="60"/>
              <w:left w:type="dxa" w:w="100"/>
              <w:bottom w:type="dxa" w:w="60"/>
              <w:right w:type="dxa" w:w="100"/>
            </w:tcMar>
          </w:tcPr>
          <w:p>
            <w:pPr>
              <w:spacing w:after="40"/>
            </w:pPr>
            <w:r>
              <w:t xml:space="preserve">Agenda del taller; /aula/cuida-tus-cuentas</w:t>
            </w:r>
          </w:p>
        </w:tc>
      </w:tr>
      <w:tr>
        <w:trPr>
          <w:cantSplit/>
        </w:trPr>
        <w:tc>
          <w:tcPr>
            <w:tcW w:type="dxa" w:w="3278"/>
            <w:tcMar>
              <w:top w:type="dxa" w:w="60"/>
              <w:left w:type="dxa" w:w="100"/>
              <w:bottom w:type="dxa" w:w="60"/>
              <w:right w:type="dxa" w:w="100"/>
            </w:tcMar>
          </w:tcPr>
          <w:p>
            <w:pPr>
              <w:spacing w:after="40"/>
            </w:pPr>
            <w:r>
              <w:t xml:space="preserve">Modo taller con código de participante</w:t>
            </w:r>
          </w:p>
        </w:tc>
        <w:tc>
          <w:tcPr>
            <w:tcW w:type="dxa" w:w="4049"/>
            <w:tcMar>
              <w:top w:type="dxa" w:w="60"/>
              <w:left w:type="dxa" w:w="100"/>
              <w:bottom w:type="dxa" w:w="60"/>
              <w:right w:type="dxa" w:w="100"/>
            </w:tcMar>
          </w:tcPr>
          <w:p>
            <w:pPr>
              <w:spacing w:after="40"/>
            </w:pPr>
            <w:r>
              <w:t xml:space="preserve">Si varios comerciantes usan la misma tablet, sus pruebas de entrada y de salida se mezclarían.</w:t>
            </w:r>
          </w:p>
        </w:tc>
        <w:tc>
          <w:tcPr>
            <w:tcW w:type="dxa" w:w="2313"/>
            <w:tcMar>
              <w:top w:type="dxa" w:w="60"/>
              <w:left w:type="dxa" w:w="100"/>
              <w:bottom w:type="dxa" w:w="60"/>
              <w:right w:type="dxa" w:w="100"/>
            </w:tcMar>
          </w:tcPr>
          <w:p>
            <w:pPr>
              <w:spacing w:after="40"/>
            </w:pPr>
            <w:r>
              <w:t xml:space="preserve">/taller</w:t>
            </w:r>
          </w:p>
        </w:tc>
      </w:tr>
      <w:tr>
        <w:trPr>
          <w:cantSplit/>
        </w:trPr>
        <w:tc>
          <w:tcPr>
            <w:tcW w:type="dxa" w:w="3278"/>
            <w:tcMar>
              <w:top w:type="dxa" w:w="60"/>
              <w:left w:type="dxa" w:w="100"/>
              <w:bottom w:type="dxa" w:w="60"/>
              <w:right w:type="dxa" w:w="100"/>
            </w:tcMar>
          </w:tcPr>
          <w:p>
            <w:pPr>
              <w:spacing w:after="40"/>
            </w:pPr>
            <w:r>
              <w:t xml:space="preserve">Encuesta de seguimiento del día 15</w:t>
            </w:r>
          </w:p>
        </w:tc>
        <w:tc>
          <w:tcPr>
            <w:tcW w:type="dxa" w:w="4049"/>
            <w:tcMar>
              <w:top w:type="dxa" w:w="60"/>
              <w:left w:type="dxa" w:w="100"/>
              <w:bottom w:type="dxa" w:w="60"/>
              <w:right w:type="dxa" w:w="100"/>
            </w:tcMar>
          </w:tcPr>
          <w:p>
            <w:pPr>
              <w:spacing w:after="40"/>
            </w:pPr>
            <w:r>
              <w:t xml:space="preserve">El criterio de uso del bot necesita un dato al final del pilotaje.</w:t>
            </w:r>
          </w:p>
        </w:tc>
        <w:tc>
          <w:tcPr>
            <w:tcW w:type="dxa" w:w="2313"/>
            <w:tcMar>
              <w:top w:type="dxa" w:w="60"/>
              <w:left w:type="dxa" w:w="100"/>
              <w:bottom w:type="dxa" w:w="60"/>
              <w:right w:type="dxa" w:w="100"/>
            </w:tcMar>
          </w:tcPr>
          <w:p>
            <w:pPr>
              <w:spacing w:after="40"/>
            </w:pPr>
            <w:r>
              <w:t xml:space="preserve">/aula/encuesta-de-seguimiento</w:t>
            </w:r>
          </w:p>
        </w:tc>
      </w:tr>
      <w:tr>
        <w:trPr>
          <w:cantSplit/>
        </w:trPr>
        <w:tc>
          <w:tcPr>
            <w:tcW w:type="dxa" w:w="3278"/>
            <w:tcMar>
              <w:top w:type="dxa" w:w="60"/>
              <w:left w:type="dxa" w:w="100"/>
              <w:bottom w:type="dxa" w:w="60"/>
              <w:right w:type="dxa" w:w="100"/>
            </w:tcMar>
          </w:tcPr>
          <w:p>
            <w:pPr>
              <w:spacing w:after="40"/>
            </w:pPr>
            <w:r>
              <w:t xml:space="preserve">Aviso de proyecto académico</w:t>
            </w:r>
          </w:p>
        </w:tc>
        <w:tc>
          <w:tcPr>
            <w:tcW w:type="dxa" w:w="4049"/>
            <w:tcMar>
              <w:top w:type="dxa" w:w="60"/>
              <w:left w:type="dxa" w:w="100"/>
              <w:bottom w:type="dxa" w:w="60"/>
              <w:right w:type="dxa" w:w="100"/>
            </w:tcMar>
          </w:tcPr>
          <w:p>
            <w:pPr>
              <w:spacing w:after="40"/>
            </w:pPr>
            <w:r>
              <w:t xml:space="preserve">El personaje del proyecto usa un uniforme similar al institucional y podría confundirse con un canal oficial.</w:t>
            </w:r>
          </w:p>
        </w:tc>
        <w:tc>
          <w:tcPr>
            <w:tcW w:type="dxa" w:w="2313"/>
            <w:tcMar>
              <w:top w:type="dxa" w:w="60"/>
              <w:left w:type="dxa" w:w="100"/>
              <w:bottom w:type="dxa" w:w="60"/>
              <w:right w:type="dxa" w:w="100"/>
            </w:tcMar>
          </w:tcPr>
          <w:p>
            <w:pPr>
              <w:spacing w:after="40"/>
            </w:pPr>
            <w:r>
              <w:t xml:space="preserve">Pie de página; /privacidad</w:t>
            </w:r>
          </w:p>
        </w:tc>
      </w:tr>
      <w:tr>
        <w:trPr>
          <w:cantSplit/>
        </w:trPr>
        <w:tc>
          <w:tcPr>
            <w:tcW w:type="dxa" w:w="3278"/>
            <w:tcMar>
              <w:top w:type="dxa" w:w="60"/>
              <w:left w:type="dxa" w:w="100"/>
              <w:bottom w:type="dxa" w:w="60"/>
              <w:right w:type="dxa" w:w="100"/>
            </w:tcMar>
          </w:tcPr>
          <w:p>
            <w:pPr>
              <w:spacing w:after="40"/>
            </w:pPr>
            <w:r>
              <w:t xml:space="preserve">Kit de 5 puntos imprimible</w:t>
            </w:r>
          </w:p>
        </w:tc>
        <w:tc>
          <w:tcPr>
            <w:tcW w:type="dxa" w:w="4049"/>
            <w:tcMar>
              <w:top w:type="dxa" w:w="60"/>
              <w:left w:type="dxa" w:w="100"/>
              <w:bottom w:type="dxa" w:w="60"/>
              <w:right w:type="dxa" w:w="100"/>
            </w:tcMar>
          </w:tcPr>
          <w:p>
            <w:pPr>
              <w:spacing w:after="40"/>
            </w:pPr>
            <w:r>
              <w:t xml:space="preserve">El kit debe quedar en la caja registradora con el mismo contenido que se enseña en el taller y en el simulador.</w:t>
            </w:r>
          </w:p>
        </w:tc>
        <w:tc>
          <w:tcPr>
            <w:tcW w:type="dxa" w:w="2313"/>
            <w:tcMar>
              <w:top w:type="dxa" w:w="60"/>
              <w:left w:type="dxa" w:w="100"/>
              <w:bottom w:type="dxa" w:w="60"/>
              <w:right w:type="dxa" w:w="100"/>
            </w:tcMar>
          </w:tcPr>
          <w:p>
            <w:pPr>
              <w:spacing w:after="40"/>
            </w:pPr>
            <w:r>
              <w:t xml:space="preserve">/kit</w:t>
            </w:r>
          </w:p>
        </w:tc>
      </w:tr>
    </w:tbl>
    <w:p>
      <w:pPr>
        <w:pStyle w:val="Heading1"/>
      </w:pPr>
      <w:r>
        <w:t xml:space="preserve">7. Compromisos para la siguiente entrega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302"/>
        <w:gridCol w:w="4338"/>
      </w:tblGrid>
      <w:tr>
        <w:trPr>
          <w:tblHeader/>
        </w:trPr>
        <w:tc>
          <w:tcPr>
            <w:tcW w:type="dxa" w:w="5302"/>
            <w:shd w:fill="D1FAEC" w:color="auto" w:val="clear"/>
            <w:tcMar>
              <w:top w:type="dxa" w:w="60"/>
              <w:left w:type="dxa" w:w="100"/>
              <w:bottom w:type="dxa" w:w="60"/>
              <w:right w:type="dxa" w:w="100"/>
            </w:tcMar>
          </w:tcPr>
          <w:p>
            <w:pPr>
              <w:spacing w:after="40"/>
            </w:pPr>
            <w:r>
              <w:rPr>
                <w:b/>
                <w:bCs/>
                <w:sz w:val="19"/>
                <w:szCs w:val="19"/>
              </w:rPr>
              <w:t xml:space="preserve">Compromiso de la revisión</w:t>
            </w:r>
          </w:p>
        </w:tc>
        <w:tc>
          <w:tcPr>
            <w:tcW w:type="dxa" w:w="4338"/>
            <w:shd w:fill="D1FAEC" w:color="auto" w:val="clear"/>
            <w:tcMar>
              <w:top w:type="dxa" w:w="60"/>
              <w:left w:type="dxa" w:w="100"/>
              <w:bottom w:type="dxa" w:w="60"/>
              <w:right w:type="dxa" w:w="100"/>
            </w:tcMar>
          </w:tcPr>
          <w:p>
            <w:pPr>
              <w:spacing w:after="40"/>
            </w:pPr>
            <w:r>
              <w:rPr>
                <w:b/>
                <w:bCs/>
                <w:sz w:val="19"/>
                <w:szCs w:val="19"/>
              </w:rPr>
              <w:t xml:space="preserve">Estado</w:t>
            </w:r>
          </w:p>
        </w:tc>
      </w:tr>
      <w:tr>
        <w:trPr>
          <w:cantSplit/>
        </w:trPr>
        <w:tc>
          <w:tcPr>
            <w:tcW w:type="dxa" w:w="5302"/>
            <w:tcMar>
              <w:top w:type="dxa" w:w="60"/>
              <w:left w:type="dxa" w:w="100"/>
              <w:bottom w:type="dxa" w:w="60"/>
              <w:right w:type="dxa" w:w="100"/>
            </w:tcMar>
          </w:tcPr>
          <w:p>
            <w:pPr>
              <w:spacing w:after="40"/>
            </w:pPr>
            <w:r>
              <w:t xml:space="preserve">(i) Retirar la frase de otro proyecto en 6.4.3</w:t>
            </w:r>
          </w:p>
        </w:tc>
        <w:tc>
          <w:tcPr>
            <w:tcW w:type="dxa" w:w="4338"/>
            <w:tcMar>
              <w:top w:type="dxa" w:w="60"/>
              <w:left w:type="dxa" w:w="100"/>
              <w:bottom w:type="dxa" w:w="60"/>
              <w:right w:type="dxa" w:w="100"/>
            </w:tcMar>
          </w:tcPr>
          <w:p>
            <w:pPr>
              <w:spacing w:after="40"/>
            </w:pPr>
            <w:r>
              <w:t xml:space="preserve">Falta contexto del documento enviado el 19 de octubre de 2026.</w:t>
            </w:r>
          </w:p>
        </w:tc>
      </w:tr>
      <w:tr>
        <w:trPr>
          <w:cantSplit/>
        </w:trPr>
        <w:tc>
          <w:tcPr>
            <w:tcW w:type="dxa" w:w="5302"/>
            <w:tcMar>
              <w:top w:type="dxa" w:w="60"/>
              <w:left w:type="dxa" w:w="100"/>
              <w:bottom w:type="dxa" w:w="60"/>
              <w:right w:type="dxa" w:w="100"/>
            </w:tcMar>
          </w:tcPr>
          <w:p>
            <w:pPr>
              <w:spacing w:after="40"/>
            </w:pPr>
            <w:r>
              <w:t xml:space="preserve">(ii) Definir el alcance real del bot y unificar 5.3, 6.1 y 6.4.2</w:t>
            </w:r>
          </w:p>
        </w:tc>
        <w:tc>
          <w:tcPr>
            <w:tcW w:type="dxa" w:w="4338"/>
            <w:tcMar>
              <w:top w:type="dxa" w:w="60"/>
              <w:left w:type="dxa" w:w="100"/>
              <w:bottom w:type="dxa" w:w="60"/>
              <w:right w:type="dxa" w:w="100"/>
            </w:tcMar>
          </w:tcPr>
          <w:p>
            <w:pPr>
              <w:spacing w:after="40"/>
            </w:pPr>
            <w:r>
              <w:t xml:space="preserve">✅ Atendido (plataforma y documento de apoyo)</w:t>
            </w:r>
          </w:p>
        </w:tc>
      </w:tr>
      <w:tr>
        <w:trPr>
          <w:cantSplit/>
        </w:trPr>
        <w:tc>
          <w:tcPr>
            <w:tcW w:type="dxa" w:w="5302"/>
            <w:tcMar>
              <w:top w:type="dxa" w:w="60"/>
              <w:left w:type="dxa" w:w="100"/>
              <w:bottom w:type="dxa" w:w="60"/>
              <w:right w:type="dxa" w:w="100"/>
            </w:tcMar>
          </w:tcPr>
          <w:p>
            <w:pPr>
              <w:spacing w:after="40"/>
            </w:pPr>
            <w:r>
              <w:t xml:space="preserve">(iii) Reformular el simulacro sin enlace funcional a nombre de la DIAN</w:t>
            </w:r>
          </w:p>
        </w:tc>
        <w:tc>
          <w:tcPr>
            <w:tcW w:type="dxa" w:w="4338"/>
            <w:tcMar>
              <w:top w:type="dxa" w:w="60"/>
              <w:left w:type="dxa" w:w="100"/>
              <w:bottom w:type="dxa" w:w="60"/>
              <w:right w:type="dxa" w:w="100"/>
            </w:tcMar>
          </w:tcPr>
          <w:p>
            <w:pPr>
              <w:spacing w:after="40"/>
            </w:pPr>
            <w:r>
              <w:t xml:space="preserve">✅ Atendido (simulador con entidades ficticias)</w:t>
            </w:r>
          </w:p>
        </w:tc>
      </w:tr>
      <w:tr>
        <w:trPr>
          <w:cantSplit/>
        </w:trPr>
        <w:tc>
          <w:tcPr>
            <w:tcW w:type="dxa" w:w="5302"/>
            <w:tcMar>
              <w:top w:type="dxa" w:w="60"/>
              <w:left w:type="dxa" w:w="100"/>
              <w:bottom w:type="dxa" w:w="60"/>
              <w:right w:type="dxa" w:w="100"/>
            </w:tcMar>
          </w:tcPr>
          <w:p>
            <w:pPr>
              <w:spacing w:after="40"/>
            </w:pPr>
            <w:r>
              <w:t xml:space="preserve">(iv) Partir la hipótesis y dar umbral e instrumento a cada criterio, con uno para el bot</w:t>
            </w:r>
          </w:p>
        </w:tc>
        <w:tc>
          <w:tcPr>
            <w:tcW w:type="dxa" w:w="4338"/>
            <w:tcMar>
              <w:top w:type="dxa" w:w="60"/>
              <w:left w:type="dxa" w:w="100"/>
              <w:bottom w:type="dxa" w:w="60"/>
              <w:right w:type="dxa" w:w="100"/>
            </w:tcMar>
          </w:tcPr>
          <w:p>
            <w:pPr>
              <w:spacing w:after="40"/>
            </w:pPr>
            <w:r>
              <w:t xml:space="preserve">✅ Atendido (documento de apoyo y plataforma)</w:t>
            </w:r>
          </w:p>
        </w:tc>
      </w:tr>
      <w:tr>
        <w:trPr>
          <w:cantSplit/>
        </w:trPr>
        <w:tc>
          <w:tcPr>
            <w:tcW w:type="dxa" w:w="5302"/>
            <w:tcMar>
              <w:top w:type="dxa" w:w="60"/>
              <w:left w:type="dxa" w:w="100"/>
              <w:bottom w:type="dxa" w:w="60"/>
              <w:right w:type="dxa" w:w="100"/>
            </w:tcMar>
          </w:tcPr>
          <w:p>
            <w:pPr>
              <w:spacing w:after="40"/>
            </w:pPr>
            <w:r>
              <w:t xml:space="preserve">(v) Depurar 6.5.3, unificar la franja horaria y adjuntar instrumento y consentimiento</w:t>
            </w:r>
          </w:p>
        </w:tc>
        <w:tc>
          <w:tcPr>
            <w:tcW w:type="dxa" w:w="4338"/>
            <w:tcMar>
              <w:top w:type="dxa" w:w="60"/>
              <w:left w:type="dxa" w:w="100"/>
              <w:bottom w:type="dxa" w:w="60"/>
              <w:right w:type="dxa" w:w="100"/>
            </w:tcMar>
          </w:tcPr>
          <w:p>
            <w:pPr>
              <w:spacing w:after="40"/>
            </w:pPr>
            <w:r>
              <w:t xml:space="preserve">✅ Instrumentos y consentimiento atendidos. Franja horaria: Falta contexto del documento enviado el 19 de octubre de 2026.</w:t>
            </w:r>
          </w:p>
        </w:tc>
      </w:tr>
      <w:tr>
        <w:trPr>
          <w:cantSplit/>
        </w:trPr>
        <w:tc>
          <w:tcPr>
            <w:tcW w:type="dxa" w:w="5302"/>
            <w:tcMar>
              <w:top w:type="dxa" w:w="60"/>
              <w:left w:type="dxa" w:w="100"/>
              <w:bottom w:type="dxa" w:w="60"/>
              <w:right w:type="dxa" w:w="100"/>
            </w:tcMar>
          </w:tcPr>
          <w:p>
            <w:pPr>
              <w:spacing w:after="40"/>
            </w:pPr>
            <w:r>
              <w:t xml:space="preserve">(vi) Corregir la redacción telegráfica y completar las referencias</w:t>
            </w:r>
          </w:p>
        </w:tc>
        <w:tc>
          <w:tcPr>
            <w:tcW w:type="dxa" w:w="4338"/>
            <w:tcMar>
              <w:top w:type="dxa" w:w="60"/>
              <w:left w:type="dxa" w:w="100"/>
              <w:bottom w:type="dxa" w:w="60"/>
              <w:right w:type="dxa" w:w="100"/>
            </w:tcMar>
          </w:tcPr>
          <w:p>
            <w:pPr>
              <w:spacing w:after="40"/>
            </w:pPr>
            <w:r>
              <w:t xml:space="preserve">Falta contexto del documento enviado el 19 de octubre de 2026.</w:t>
            </w:r>
          </w:p>
        </w:tc>
      </w:tr>
    </w:tbl>
    <w:p>
      <w:pPr>
        <w:spacing w:after="60"/>
      </w:pPr>
    </w:p>
    <w:p>
      <w:pPr>
        <w:spacing w:after="140" w:line="300"/>
        <w:jc w:val="both"/>
      </w:pPr>
      <w:r>
        <w:t xml:space="preserve">El grupo queda atento a cualquier comentario adicional antes de iniciar el testeo.</w:t>
      </w:r>
    </w:p>
    <w:p>
      <w:pPr>
        <w:spacing w:after="6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784"/>
        <w:gridCol w:w="3856"/>
      </w:tblGrid>
      <w:tr>
        <w:trPr>
          <w:tblHeader/>
        </w:trPr>
        <w:tc>
          <w:tcPr>
            <w:tcW w:type="dxa" w:w="5784"/>
            <w:shd w:fill="D1FAEC" w:color="auto" w:val="clear"/>
            <w:tcMar>
              <w:top w:type="dxa" w:w="60"/>
              <w:left w:type="dxa" w:w="100"/>
              <w:bottom w:type="dxa" w:w="60"/>
              <w:right w:type="dxa" w:w="100"/>
            </w:tcMar>
          </w:tcPr>
          <w:p>
            <w:pPr>
              <w:spacing w:after="40"/>
            </w:pPr>
            <w:r>
              <w:rPr>
                <w:b/>
                <w:bCs/>
                <w:sz w:val="19"/>
                <w:szCs w:val="19"/>
              </w:rPr>
              <w:t xml:space="preserve">Cadete</w:t>
            </w:r>
          </w:p>
        </w:tc>
        <w:tc>
          <w:tcPr>
            <w:tcW w:type="dxa" w:w="3856"/>
            <w:shd w:fill="D1FAEC" w:color="auto" w:val="clear"/>
            <w:tcMar>
              <w:top w:type="dxa" w:w="60"/>
              <w:left w:type="dxa" w:w="100"/>
              <w:bottom w:type="dxa" w:w="60"/>
              <w:right w:type="dxa" w:w="100"/>
            </w:tcMar>
          </w:tcPr>
          <w:p>
            <w:pPr>
              <w:spacing w:after="40"/>
            </w:pPr>
            <w:r>
              <w:rPr>
                <w:b/>
                <w:bCs/>
                <w:sz w:val="19"/>
                <w:szCs w:val="19"/>
              </w:rPr>
              <w:t xml:space="preserve">Firma</w:t>
            </w:r>
          </w:p>
        </w:tc>
      </w:tr>
      <w:tr>
        <w:trPr>
          <w:cantSplit/>
        </w:trPr>
        <w:tc>
          <w:tcPr>
            <w:tcW w:type="dxa" w:w="5784"/>
            <w:tcMar>
              <w:top w:type="dxa" w:w="60"/>
              <w:left w:type="dxa" w:w="100"/>
              <w:bottom w:type="dxa" w:w="60"/>
              <w:right w:type="dxa" w:w="100"/>
            </w:tcMar>
          </w:tcPr>
          <w:p>
            <w:pPr>
              <w:spacing w:after="40"/>
            </w:pPr>
            <w:r>
              <w:t xml:space="preserve">David Santiago Andrade Espinosa</w:t>
            </w:r>
          </w:p>
        </w:tc>
        <w:tc>
          <w:tcPr>
            <w:tcW w:type="dxa" w:w="3856"/>
            <w:tcMar>
              <w:top w:type="dxa" w:w="60"/>
              <w:left w:type="dxa" w:w="100"/>
              <w:bottom w:type="dxa" w:w="60"/>
              <w:right w:type="dxa" w:w="100"/>
            </w:tcMar>
          </w:tcPr>
          <w:p>
            <w:pPr>
              <w:spacing w:after="40"/>
            </w:pPr>
          </w:p>
        </w:tc>
      </w:tr>
      <w:tr>
        <w:trPr>
          <w:cantSplit/>
        </w:trPr>
        <w:tc>
          <w:tcPr>
            <w:tcW w:type="dxa" w:w="5784"/>
            <w:tcMar>
              <w:top w:type="dxa" w:w="60"/>
              <w:left w:type="dxa" w:w="100"/>
              <w:bottom w:type="dxa" w:w="60"/>
              <w:right w:type="dxa" w:w="100"/>
            </w:tcMar>
          </w:tcPr>
          <w:p>
            <w:pPr>
              <w:spacing w:after="40"/>
            </w:pPr>
            <w:r>
              <w:t xml:space="preserve">Yojan Burbano Timaná</w:t>
            </w:r>
          </w:p>
        </w:tc>
        <w:tc>
          <w:tcPr>
            <w:tcW w:type="dxa" w:w="3856"/>
            <w:tcMar>
              <w:top w:type="dxa" w:w="60"/>
              <w:left w:type="dxa" w:w="100"/>
              <w:bottom w:type="dxa" w:w="60"/>
              <w:right w:type="dxa" w:w="100"/>
            </w:tcMar>
          </w:tcPr>
          <w:p>
            <w:pPr>
              <w:spacing w:after="40"/>
            </w:pPr>
          </w:p>
        </w:tc>
      </w:tr>
      <w:tr>
        <w:trPr>
          <w:cantSplit/>
        </w:trPr>
        <w:tc>
          <w:tcPr>
            <w:tcW w:type="dxa" w:w="5784"/>
            <w:tcMar>
              <w:top w:type="dxa" w:w="60"/>
              <w:left w:type="dxa" w:w="100"/>
              <w:bottom w:type="dxa" w:w="60"/>
              <w:right w:type="dxa" w:w="100"/>
            </w:tcMar>
          </w:tcPr>
          <w:p>
            <w:pPr>
              <w:spacing w:after="40"/>
            </w:pPr>
            <w:r>
              <w:t xml:space="preserve">Julieth Camila De Antonio López</w:t>
            </w:r>
          </w:p>
        </w:tc>
        <w:tc>
          <w:tcPr>
            <w:tcW w:type="dxa" w:w="3856"/>
            <w:tcMar>
              <w:top w:type="dxa" w:w="60"/>
              <w:left w:type="dxa" w:w="100"/>
              <w:bottom w:type="dxa" w:w="60"/>
              <w:right w:type="dxa" w:w="100"/>
            </w:tcMar>
          </w:tcPr>
          <w:p>
            <w:pPr>
              <w:spacing w:after="40"/>
            </w:pPr>
          </w:p>
        </w:tc>
      </w:tr>
    </w:tbl>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605C"/>
        <w:sz w:val="16"/>
        <w:szCs w:val="16"/>
      </w:rPr>
      <w:t xml:space="preserve">Respuesta a la revisión · Proyecto 24 · página </w:t>
    </w:r>
    <w:r>
      <w:rPr>
        <w:color w:val="5260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C483D"/>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C483D"/>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0201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 revisión del protocolo de testeo</dc:title>
  <dc:creator>Proyecto 24</dc:creator>
  <cp:lastModifiedBy>Un-named</cp:lastModifiedBy>
  <cp:revision>1</cp:revision>
  <dcterms:created xsi:type="dcterms:W3CDTF">2026-10-28T04:14:54.104Z</dcterms:created>
  <dcterms:modified xsi:type="dcterms:W3CDTF">2026-10-28T04:14:54.109Z</dcterms:modified>
</cp:coreProperties>
</file>

<file path=docProps/custom.xml><?xml version="1.0" encoding="utf-8"?>
<Properties xmlns="http://schemas.openxmlformats.org/officeDocument/2006/custom-properties" xmlns:vt="http://schemas.openxmlformats.org/officeDocument/2006/docPropsVTypes"/>
</file>