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comments.xml" ContentType="application/vnd.openxmlformats-officedocument.wordprocessingml.comment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Arial" w:hAnsi="Arial"/>
        </w:rPr>
      </w:pPr>
      <w:r>
        <w:rPr>
          <w:rFonts w:eastAsia="Arial" w:cs="Arial" w:ascii="Arial" w:hAnsi="Arial"/>
          <w:b/>
          <w:bCs/>
          <w:color w:val="323E4F"/>
          <w:position w:val="0"/>
          <w:sz w:val="24"/>
          <w:sz w:val="24"/>
          <w:szCs w:val="24"/>
          <w:vertAlign w:val="baseline"/>
        </w:rPr>
        <w:t>Propuesta</w:t>
      </w:r>
    </w:p>
    <w:p>
      <w:pPr>
        <w:pStyle w:val="normal1"/>
        <w:tabs>
          <w:tab w:val="clear" w:pos="720"/>
          <w:tab w:val="left" w:pos="8355" w:leader="none"/>
        </w:tabs>
        <w:jc w:val="center"/>
        <w:rPr>
          <w:rFonts w:ascii="Arial" w:hAnsi="Arial"/>
        </w:rPr>
      </w:pPr>
      <w:r>
        <w:rPr>
          <w:rFonts w:eastAsia="Arial" w:cs="Arial" w:ascii="Arial" w:hAnsi="Arial"/>
          <w:b/>
          <w:bCs/>
          <w:color w:val="323E4F"/>
          <w:position w:val="0"/>
          <w:sz w:val="24"/>
          <w:sz w:val="24"/>
          <w:szCs w:val="24"/>
          <w:vertAlign w:val="baseline"/>
        </w:rPr>
        <w:t>Modalidad: Trabajo de grado</w:t>
      </w:r>
    </w:p>
    <w:p>
      <w:pPr>
        <w:pStyle w:val="normal1"/>
        <w:rPr>
          <w:rFonts w:ascii="Arial" w:hAnsi="Arial" w:eastAsia="Century Gothic" w:cs="Century Gothic"/>
          <w:b/>
          <w:bCs/>
          <w:color w:val="323E4F"/>
          <w:position w:val="0"/>
          <w:sz w:val="24"/>
          <w:sz w:val="24"/>
          <w:szCs w:val="24"/>
          <w:vertAlign w:val="baseline"/>
        </w:rPr>
      </w:pPr>
      <w:r>
        <w:rPr>
          <w:rFonts w:eastAsia="Century Gothic" w:cs="Century Gothic" w:ascii="Arial" w:hAnsi="Arial"/>
          <w:b/>
          <w:bCs/>
          <w:color w:val="323E4F"/>
          <w:position w:val="0"/>
          <w:sz w:val="24"/>
          <w:sz w:val="24"/>
          <w:szCs w:val="24"/>
          <w:vertAlign w:val="baseline"/>
        </w:rPr>
      </w:r>
    </w:p>
    <w:p>
      <w:pPr>
        <w:pStyle w:val="normal1"/>
        <w:jc w:val="center"/>
        <w:rPr>
          <w:rFonts w:ascii="Arial" w:hAnsi="Arial"/>
        </w:rPr>
      </w:pPr>
      <w:r>
        <w:rPr>
          <w:rFonts w:eastAsia="Century Gothic" w:cs="Century Gothic" w:ascii="Arial" w:hAnsi="Arial"/>
          <w:color w:val="808080"/>
          <w:position w:val="0"/>
          <w:sz w:val="24"/>
          <w:sz w:val="24"/>
          <w:szCs w:val="24"/>
          <w:vertAlign w:val="baseline"/>
        </w:rPr>
        <w:tab/>
      </w:r>
    </w:p>
    <w:tbl>
      <w:tblPr>
        <w:tblStyle w:val="Table1"/>
        <w:tblW w:w="9210" w:type="dxa"/>
        <w:jc w:val="left"/>
        <w:tblInd w:w="-109" w:type="dxa"/>
        <w:tblLayout w:type="fixed"/>
        <w:tblCellMar>
          <w:top w:w="0" w:type="dxa"/>
          <w:left w:w="108" w:type="dxa"/>
          <w:bottom w:w="0" w:type="dxa"/>
          <w:right w:w="108" w:type="dxa"/>
        </w:tblCellMar>
        <w:tblLook w:val="0000"/>
      </w:tblPr>
      <w:tblGrid>
        <w:gridCol w:w="3651"/>
        <w:gridCol w:w="5558"/>
      </w:tblGrid>
      <w:tr>
        <w:trPr/>
        <w:tc>
          <w:tcPr>
            <w:tcW w:w="9209" w:type="dxa"/>
            <w:gridSpan w:val="2"/>
            <w:tcBorders>
              <w:top w:val="single" w:sz="8" w:space="0" w:color="000080"/>
              <w:left w:val="single" w:sz="8" w:space="0" w:color="000080"/>
              <w:bottom w:val="single" w:sz="8" w:space="0" w:color="000080"/>
              <w:right w:val="single" w:sz="8" w:space="0" w:color="000080"/>
            </w:tcBorders>
            <w:shd w:fill="F2F2F2" w:val="clear"/>
          </w:tcPr>
          <w:p>
            <w:pPr>
              <w:pStyle w:val="normal1"/>
              <w:tabs>
                <w:tab w:val="clear" w:pos="720"/>
                <w:tab w:val="left" w:pos="8355" w:leader="none"/>
              </w:tabs>
              <w:spacing w:lineRule="auto" w:line="360"/>
              <w:jc w:val="center"/>
              <w:rPr>
                <w:rFonts w:ascii="Arial" w:hAnsi="Arial"/>
              </w:rPr>
            </w:pPr>
            <w:r>
              <w:rPr>
                <w:rFonts w:eastAsia="Arial" w:cs="Arial" w:ascii="Arial" w:hAnsi="Arial"/>
                <w:b/>
                <w:bCs/>
                <w:color w:val="323E4F"/>
                <w:position w:val="0"/>
                <w:sz w:val="24"/>
                <w:sz w:val="24"/>
                <w:szCs w:val="24"/>
                <w:vertAlign w:val="baseline"/>
              </w:rPr>
              <w:t>Identificación del estudiante</w:t>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Nombres y apellidos:</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Documento de identidad:</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Teléfono: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Semestre académico: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Correo electrónico: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Fecha de inicio de actividades:</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color w:val="BFBFBF"/>
                <w:position w:val="0"/>
                <w:sz w:val="24"/>
                <w:sz w:val="24"/>
                <w:szCs w:val="24"/>
                <w:vertAlign w:val="baseline"/>
              </w:rPr>
              <w:t>dd/mm/aaaa</w:t>
            </w:r>
          </w:p>
        </w:tc>
      </w:tr>
      <w:tr>
        <w:trPr>
          <w:trHeight w:val="201" w:hRule="atLeast"/>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Fecha de entrega de la propuesta:</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color w:val="BFBFBF"/>
                <w:position w:val="0"/>
                <w:sz w:val="24"/>
                <w:sz w:val="24"/>
                <w:szCs w:val="24"/>
                <w:vertAlign w:val="baseline"/>
              </w:rPr>
              <w:t>dd/mm/aaaa</w:t>
            </w:r>
          </w:p>
        </w:tc>
      </w:tr>
    </w:tbl>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bl>
      <w:tblPr>
        <w:tblStyle w:val="Table2"/>
        <w:tblW w:w="9210" w:type="dxa"/>
        <w:jc w:val="left"/>
        <w:tblInd w:w="-109" w:type="dxa"/>
        <w:tblLayout w:type="fixed"/>
        <w:tblCellMar>
          <w:top w:w="0" w:type="dxa"/>
          <w:left w:w="108" w:type="dxa"/>
          <w:bottom w:w="0" w:type="dxa"/>
          <w:right w:w="108" w:type="dxa"/>
        </w:tblCellMar>
        <w:tblLook w:val="0000"/>
      </w:tblPr>
      <w:tblGrid>
        <w:gridCol w:w="3651"/>
        <w:gridCol w:w="5558"/>
      </w:tblGrid>
      <w:tr>
        <w:trPr/>
        <w:tc>
          <w:tcPr>
            <w:tcW w:w="9209" w:type="dxa"/>
            <w:gridSpan w:val="2"/>
            <w:tcBorders>
              <w:top w:val="single" w:sz="8" w:space="0" w:color="000080"/>
              <w:left w:val="single" w:sz="8" w:space="0" w:color="000080"/>
              <w:bottom w:val="single" w:sz="8" w:space="0" w:color="000080"/>
              <w:right w:val="single" w:sz="8" w:space="0" w:color="000080"/>
            </w:tcBorders>
            <w:shd w:fill="F2F2F2" w:val="clear"/>
          </w:tcPr>
          <w:p>
            <w:pPr>
              <w:pStyle w:val="normal1"/>
              <w:tabs>
                <w:tab w:val="clear" w:pos="720"/>
                <w:tab w:val="left" w:pos="8355" w:leader="none"/>
              </w:tabs>
              <w:spacing w:lineRule="auto" w:line="360"/>
              <w:jc w:val="center"/>
              <w:rPr>
                <w:rFonts w:ascii="Arial" w:hAnsi="Arial"/>
              </w:rPr>
            </w:pPr>
            <w:r>
              <w:rPr>
                <w:rFonts w:eastAsia="Arial" w:cs="Arial" w:ascii="Arial" w:hAnsi="Arial"/>
                <w:b/>
                <w:bCs/>
                <w:color w:val="323E4F"/>
                <w:position w:val="0"/>
                <w:sz w:val="24"/>
                <w:sz w:val="24"/>
                <w:szCs w:val="24"/>
                <w:vertAlign w:val="baseline"/>
              </w:rPr>
              <w:t>Identificación del asesor interno (U. de A.)</w:t>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Nombres y apellidos:</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b/>
                <w:bCs/>
                <w:color w:val="000000"/>
                <w:position w:val="0"/>
                <w:sz w:val="24"/>
                <w:sz w:val="24"/>
                <w:szCs w:val="24"/>
                <w:vertAlign w:val="baseline"/>
              </w:rPr>
            </w:pPr>
            <w:r>
              <w:rPr>
                <w:rFonts w:eastAsia="Arial" w:cs="Arial" w:ascii="Arial" w:hAnsi="Arial"/>
                <w:b/>
                <w:bCs/>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Teléfono: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b/>
                <w:bCs/>
                <w:color w:val="000000"/>
                <w:position w:val="0"/>
                <w:sz w:val="24"/>
                <w:sz w:val="24"/>
                <w:szCs w:val="24"/>
                <w:vertAlign w:val="baseline"/>
              </w:rPr>
            </w:pPr>
            <w:r>
              <w:rPr>
                <w:rFonts w:eastAsia="Arial" w:cs="Arial" w:ascii="Arial" w:hAnsi="Arial"/>
                <w:b/>
                <w:bCs/>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Oficina:</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b/>
                <w:bCs/>
                <w:color w:val="000000"/>
                <w:position w:val="0"/>
                <w:sz w:val="24"/>
                <w:sz w:val="24"/>
                <w:szCs w:val="24"/>
                <w:vertAlign w:val="baseline"/>
              </w:rPr>
            </w:pPr>
            <w:r>
              <w:rPr>
                <w:rFonts w:eastAsia="Arial" w:cs="Arial" w:ascii="Arial" w:hAnsi="Arial"/>
                <w:b/>
                <w:bCs/>
                <w:color w:val="000000"/>
                <w:position w:val="0"/>
                <w:sz w:val="24"/>
                <w:sz w:val="24"/>
                <w:szCs w:val="24"/>
                <w:vertAlign w:val="baseline"/>
              </w:rPr>
            </w:r>
          </w:p>
        </w:tc>
      </w:tr>
      <w:tr>
        <w:trPr>
          <w:trHeight w:val="405" w:hRule="atLeast"/>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Correo electrónico: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b/>
                <w:bCs/>
                <w:color w:val="000000"/>
                <w:position w:val="0"/>
                <w:sz w:val="24"/>
                <w:sz w:val="24"/>
                <w:szCs w:val="24"/>
                <w:vertAlign w:val="baseline"/>
              </w:rPr>
            </w:pPr>
            <w:r>
              <w:rPr>
                <w:rFonts w:eastAsia="Arial" w:cs="Arial" w:ascii="Arial" w:hAnsi="Arial"/>
                <w:b/>
                <w:bCs/>
                <w:color w:val="000000"/>
                <w:position w:val="0"/>
                <w:sz w:val="24"/>
                <w:sz w:val="24"/>
                <w:szCs w:val="24"/>
                <w:vertAlign w:val="baseline"/>
              </w:rPr>
            </w:r>
          </w:p>
        </w:tc>
      </w:tr>
    </w:tbl>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shd w:val="clear" w:fill="FFFFFF"/>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tbl>
      <w:tblPr>
        <w:tblStyle w:val="Table3"/>
        <w:tblW w:w="9210" w:type="dxa"/>
        <w:jc w:val="left"/>
        <w:tblInd w:w="-109" w:type="dxa"/>
        <w:tblLayout w:type="fixed"/>
        <w:tblCellMar>
          <w:top w:w="0" w:type="dxa"/>
          <w:left w:w="108" w:type="dxa"/>
          <w:bottom w:w="0" w:type="dxa"/>
          <w:right w:w="108" w:type="dxa"/>
        </w:tblCellMar>
        <w:tblLook w:val="0000"/>
      </w:tblPr>
      <w:tblGrid>
        <w:gridCol w:w="3651"/>
        <w:gridCol w:w="5558"/>
      </w:tblGrid>
      <w:tr>
        <w:trPr/>
        <w:tc>
          <w:tcPr>
            <w:tcW w:w="9209" w:type="dxa"/>
            <w:gridSpan w:val="2"/>
            <w:tcBorders>
              <w:top w:val="single" w:sz="8" w:space="0" w:color="000080"/>
              <w:left w:val="single" w:sz="8" w:space="0" w:color="000080"/>
              <w:bottom w:val="single" w:sz="8" w:space="0" w:color="000080"/>
              <w:right w:val="single" w:sz="8" w:space="0" w:color="000080"/>
            </w:tcBorders>
            <w:shd w:fill="F2F2F2" w:val="clear"/>
          </w:tcPr>
          <w:p>
            <w:pPr>
              <w:pStyle w:val="normal1"/>
              <w:tabs>
                <w:tab w:val="clear" w:pos="720"/>
                <w:tab w:val="left" w:pos="8355" w:leader="none"/>
              </w:tabs>
              <w:spacing w:lineRule="auto" w:line="360"/>
              <w:jc w:val="center"/>
              <w:rPr>
                <w:rFonts w:ascii="Arial" w:hAnsi="Arial"/>
              </w:rPr>
            </w:pPr>
            <w:r>
              <w:rPr>
                <w:rFonts w:eastAsia="Arial" w:cs="Arial" w:ascii="Arial" w:hAnsi="Arial"/>
                <w:b/>
                <w:bCs/>
                <w:color w:val="323E4F"/>
                <w:position w:val="0"/>
                <w:sz w:val="24"/>
                <w:sz w:val="24"/>
                <w:szCs w:val="24"/>
                <w:vertAlign w:val="baseline"/>
              </w:rPr>
              <w:t>Identificación de la organización o grupo de investigación (si aplica)</w:t>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Nombre de organización o grupo: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color w:val="000000"/>
                <w:position w:val="0"/>
                <w:sz w:val="24"/>
                <w:sz w:val="24"/>
                <w:szCs w:val="24"/>
                <w:vertAlign w:val="baseline"/>
              </w:rPr>
            </w:pPr>
            <w:r>
              <w:rPr>
                <w:rFonts w:eastAsia="Arial" w:cs="Arial" w:ascii="Arial" w:hAnsi="Arial"/>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Nombre del representante de la organización o grupo: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color w:val="000000"/>
                <w:position w:val="0"/>
                <w:sz w:val="24"/>
                <w:sz w:val="24"/>
                <w:szCs w:val="24"/>
                <w:vertAlign w:val="baseline"/>
              </w:rPr>
            </w:pPr>
            <w:r>
              <w:rPr>
                <w:rFonts w:eastAsia="Arial" w:cs="Arial" w:ascii="Arial" w:hAnsi="Arial"/>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Dirección:</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color w:val="000000"/>
                <w:position w:val="0"/>
                <w:sz w:val="24"/>
                <w:sz w:val="24"/>
                <w:szCs w:val="24"/>
                <w:vertAlign w:val="baseline"/>
              </w:rPr>
            </w:pPr>
            <w:r>
              <w:rPr>
                <w:rFonts w:eastAsia="Arial" w:cs="Arial" w:ascii="Arial" w:hAnsi="Arial"/>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Ciudad:</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color w:val="000000"/>
                <w:position w:val="0"/>
                <w:sz w:val="24"/>
                <w:sz w:val="24"/>
                <w:szCs w:val="24"/>
                <w:vertAlign w:val="baseline"/>
              </w:rPr>
            </w:pPr>
            <w:r>
              <w:rPr>
                <w:rFonts w:eastAsia="Arial" w:cs="Arial" w:ascii="Arial" w:hAnsi="Arial"/>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Teléfono:</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color w:val="000000"/>
                <w:position w:val="0"/>
                <w:sz w:val="24"/>
                <w:sz w:val="24"/>
                <w:szCs w:val="24"/>
                <w:vertAlign w:val="baseline"/>
              </w:rPr>
            </w:pPr>
            <w:r>
              <w:rPr>
                <w:rFonts w:eastAsia="Arial" w:cs="Arial" w:ascii="Arial" w:hAnsi="Arial"/>
                <w:color w:val="000000"/>
                <w:position w:val="0"/>
                <w:sz w:val="24"/>
                <w:sz w:val="24"/>
                <w:szCs w:val="24"/>
                <w:vertAlign w:val="baseline"/>
              </w:rPr>
            </w:r>
          </w:p>
        </w:tc>
      </w:tr>
      <w:tr>
        <w:trPr/>
        <w:tc>
          <w:tcPr>
            <w:tcW w:w="3651"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rPr>
            </w:pPr>
            <w:r>
              <w:rPr>
                <w:rFonts w:eastAsia="Arial" w:cs="Arial" w:ascii="Arial" w:hAnsi="Arial"/>
                <w:position w:val="0"/>
                <w:sz w:val="24"/>
                <w:sz w:val="24"/>
                <w:szCs w:val="24"/>
                <w:vertAlign w:val="baseline"/>
              </w:rPr>
              <w:t>Actividad principal de la organización:</w:t>
            </w:r>
          </w:p>
        </w:tc>
        <w:tc>
          <w:tcPr>
            <w:tcW w:w="5558" w:type="dxa"/>
            <w:tcBorders>
              <w:top w:val="single" w:sz="8" w:space="0" w:color="000080"/>
              <w:left w:val="single" w:sz="8" w:space="0" w:color="000080"/>
              <w:bottom w:val="single" w:sz="8" w:space="0" w:color="000080"/>
              <w:right w:val="single" w:sz="8" w:space="0" w:color="000080"/>
            </w:tcBorders>
            <w:shd w:fill="FFFFFF" w:val="clear"/>
          </w:tcPr>
          <w:p>
            <w:pPr>
              <w:pStyle w:val="normal1"/>
              <w:spacing w:lineRule="auto" w:line="360"/>
              <w:rPr>
                <w:rFonts w:ascii="Arial" w:hAnsi="Arial" w:eastAsia="Arial" w:cs="Arial"/>
                <w:color w:val="000000"/>
                <w:position w:val="0"/>
                <w:sz w:val="24"/>
                <w:sz w:val="24"/>
                <w:szCs w:val="24"/>
                <w:vertAlign w:val="baseline"/>
              </w:rPr>
            </w:pPr>
            <w:r>
              <w:rPr>
                <w:rFonts w:eastAsia="Arial" w:cs="Arial" w:ascii="Arial" w:hAnsi="Arial"/>
                <w:color w:val="000000"/>
                <w:position w:val="0"/>
                <w:sz w:val="24"/>
                <w:sz w:val="24"/>
                <w:szCs w:val="24"/>
                <w:vertAlign w:val="baseline"/>
              </w:rPr>
            </w:r>
          </w:p>
        </w:tc>
      </w:tr>
    </w:tbl>
    <w:p>
      <w:pPr>
        <w:pStyle w:val="normal1"/>
        <w:jc w:val="both"/>
        <w:rPr>
          <w:rFonts w:ascii="Arial" w:hAnsi="Arial" w:eastAsia="Arial" w:cs="Arial"/>
          <w:b/>
          <w:bCs/>
          <w:position w:val="0"/>
          <w:sz w:val="24"/>
          <w:sz w:val="24"/>
          <w:szCs w:val="24"/>
          <w:vertAlign w:val="baseline"/>
        </w:rPr>
      </w:pPr>
      <w:r>
        <w:rPr>
          <w:rFonts w:eastAsia="Arial" w:cs="Arial" w:ascii="Arial" w:hAnsi="Arial"/>
          <w:b/>
          <w:bCs/>
          <w:position w:val="0"/>
          <w:sz w:val="24"/>
          <w:sz w:val="24"/>
          <w:szCs w:val="24"/>
          <w:vertAlign w:val="baseline"/>
        </w:rPr>
      </w:r>
    </w:p>
    <w:p>
      <w:pPr>
        <w:pStyle w:val="normal1"/>
        <w:rPr>
          <w:rFonts w:ascii="Arial" w:hAnsi="Arial" w:eastAsia="Arial" w:cs="Arial"/>
          <w:b/>
          <w:bCs/>
          <w:position w:val="0"/>
          <w:sz w:val="24"/>
          <w:sz w:val="24"/>
          <w:szCs w:val="24"/>
          <w:vertAlign w:val="baseline"/>
        </w:rPr>
      </w:pPr>
      <w:r>
        <w:rPr>
          <w:rFonts w:eastAsia="Arial" w:cs="Arial" w:ascii="Arial" w:hAnsi="Arial"/>
          <w:b/>
          <w:bCs/>
          <w:position w:val="0"/>
          <w:sz w:val="24"/>
          <w:sz w:val="24"/>
          <w:szCs w:val="24"/>
          <w:vertAlign w:val="baseline"/>
        </w:rPr>
      </w:r>
      <w:bookmarkStart w:id="0" w:name="_1xsx2fxymowg"/>
      <w:bookmarkStart w:id="1" w:name="_1xsx2fxymowg"/>
      <w:bookmarkEnd w:id="1"/>
    </w:p>
    <w:p>
      <w:pPr>
        <w:pStyle w:val="normal1"/>
        <w:pBdr>
          <w:top w:val="single" w:sz="8" w:space="1" w:color="FFFFFF"/>
          <w:left w:val="single" w:sz="8" w:space="4" w:color="FFFFFF"/>
          <w:bottom w:val="single" w:sz="8" w:space="1" w:color="FFFFFF"/>
          <w:right w:val="single" w:sz="8" w:space="4" w:color="FFFFFF"/>
        </w:pBdr>
        <w:shd w:val="clear" w:fill="FFFFFF"/>
        <w:jc w:val="both"/>
        <w:rPr>
          <w:rFonts w:ascii="Arial" w:hAnsi="Arial"/>
        </w:rPr>
      </w:pPr>
      <w:r>
        <w:rPr>
          <w:rFonts w:eastAsia="Arial" w:cs="Arial" w:ascii="Arial" w:hAnsi="Arial"/>
          <w:b/>
          <w:bCs/>
          <w:position w:val="0"/>
          <w:sz w:val="24"/>
          <w:sz w:val="24"/>
          <w:szCs w:val="24"/>
          <w:vertAlign w:val="baseline"/>
        </w:rPr>
        <w:t>TÍTULO DE LA PROPUESTA:</w:t>
      </w:r>
    </w:p>
    <w:p>
      <w:pPr>
        <w:pStyle w:val="normal1"/>
        <w:pBdr>
          <w:top w:val="single" w:sz="8" w:space="1" w:color="FFFFFF"/>
          <w:left w:val="single" w:sz="8" w:space="4" w:color="FFFFFF"/>
          <w:bottom w:val="single" w:sz="8" w:space="1" w:color="FFFFFF"/>
          <w:right w:val="single" w:sz="8" w:space="4" w:color="FFFFFF"/>
        </w:pBdr>
        <w:shd w:val="clear" w:fill="FFFFFF"/>
        <w:jc w:val="both"/>
        <w:rPr>
          <w:rFonts w:ascii="Arial" w:hAnsi="Arial"/>
        </w:rPr>
      </w:pPr>
      <w:r>
        <w:rPr>
          <w:rFonts w:eastAsia="Arial" w:cs="Arial" w:ascii="Arial" w:hAnsi="Arial"/>
          <w:b/>
          <w:bCs/>
          <w:position w:val="0"/>
          <w:sz w:val="24"/>
          <w:sz w:val="24"/>
          <w:szCs w:val="24"/>
          <w:vertAlign w:val="baseline"/>
        </w:rPr>
        <w:t>Ajuste eficiente de parámetros (PEFT) sobre wav2vec 2.0 para la clasificación de Alzheimer frente a controles en condiciones de datos limitados.</w:t>
      </w:r>
    </w:p>
    <w:p>
      <w:pPr>
        <w:pStyle w:val="normal1"/>
        <w:jc w:val="both"/>
        <w:rPr>
          <w:rFonts w:ascii="Arial" w:hAnsi="Arial" w:eastAsia="Arial" w:cs="Arial"/>
          <w:b/>
          <w:bCs/>
          <w:position w:val="0"/>
          <w:sz w:val="24"/>
          <w:sz w:val="24"/>
          <w:szCs w:val="24"/>
          <w:vertAlign w:val="baseline"/>
        </w:rPr>
      </w:pPr>
      <w:r>
        <w:rPr>
          <w:rFonts w:eastAsia="Arial" w:cs="Arial" w:ascii="Arial" w:hAnsi="Arial"/>
          <w:b/>
          <w:bCs/>
          <w:position w:val="0"/>
          <w:sz w:val="24"/>
          <w:sz w:val="24"/>
          <w:szCs w:val="24"/>
          <w:vertAlign w:val="baseline"/>
        </w:rPr>
      </w:r>
    </w:p>
    <w:p>
      <w:pPr>
        <w:pStyle w:val="normal1"/>
        <w:jc w:val="both"/>
        <w:rPr>
          <w:rFonts w:ascii="Arial" w:hAnsi="Arial"/>
        </w:rPr>
      </w:pPr>
      <w:r>
        <w:rPr>
          <w:rFonts w:eastAsia="Arial" w:cs="Arial" w:ascii="Arial" w:hAnsi="Arial"/>
          <w:b/>
          <w:bCs/>
          <w:position w:val="0"/>
          <w:sz w:val="24"/>
          <w:sz w:val="24"/>
          <w:szCs w:val="24"/>
          <w:vertAlign w:val="baseline"/>
        </w:rPr>
        <w:t>Introducción</w:t>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rPr>
          <w:rFonts w:ascii="Arial" w:hAnsi="Arial"/>
        </w:rPr>
      </w:pPr>
      <w:r>
        <w:rPr>
          <w:rFonts w:eastAsia="Arial" w:cs="Arial" w:ascii="Arial" w:hAnsi="Arial"/>
          <w:position w:val="0"/>
          <w:sz w:val="24"/>
          <w:sz w:val="24"/>
          <w:szCs w:val="24"/>
          <w:vertAlign w:val="baseline"/>
        </w:rPr>
        <w:t>A nivel mundial, la demencia ha sido reconocida por la comunidad internacional como una prioridad creciente de salud pública, dada su magnitud y su impacto en los sistemas de salud, las familias y los cuidadores [1]. Colombia no es ajena a esta tendencia: entre 2015 y 2024, las muertes asociadas a enfermedades mentales y de la conducta —entre ellas el Alzheimer— se multiplicaron casi cinco veces, y solo en 2024 se registraron 4.320 muertes atribuidas específicamente a esta enfermedad, según cifras del DANE [2]. Sin embargo, a pesar de esta carga creciente, estudios recientes señalan que la demencia continúa siendo un problema de salud pública invisibilizado en el país, sin que existan a la fecha políticas públicas específicas que respondan a su magnitud [3]. Esta brecha resulta particularmente paradójica si se considera que Colombia alberga uno de los hallazgos genéticos más relevantes a nivel mundial para la investigación del Alzheimer de inicio temprano: la mutación PSEN1 E280A, conocida como «gen paisa», presente en una familia extendida de la región antioqueña y estudiada durante más de cuatro décadas como modelo único para comprender la progresión clínica de la enfermedad años antes de la aparición de los síntomas [4].</w:t>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rPr>
          <w:rFonts w:ascii="Arial" w:hAnsi="Arial"/>
        </w:rPr>
      </w:pPr>
      <w:r>
        <w:rPr>
          <w:rFonts w:eastAsia="Arial" w:cs="Arial" w:ascii="Arial" w:hAnsi="Arial"/>
          <w:position w:val="0"/>
          <w:sz w:val="24"/>
          <w:sz w:val="24"/>
          <w:szCs w:val="24"/>
          <w:vertAlign w:val="baseline"/>
        </w:rPr>
        <w:t>Teniendo en cuenta este panorama, resulta urgente explotar alternativas de detección que superen las limitaciones de los métodos diagnosticos tradicionales. Muchas evaluaciones neurologicas, aunque clinicamente valiosas, no estan diseñadas para ser realizadas de forma masiva y constante atendiendo a la magnitud que el problema exige, retrasando la intervención terapéutica y empeorando el pronóstico de los pacientes [5]. En este contexto, el analisis de habla constituye un procedimiento simple, económico y no invasivo, con potencial para la detección del Azlheimer incluso en etapas preclínicas [5]. No obstante, el desarrollo de sistemas automáticos de clasificación basados en habla conlleva una limitación estructural reconocida en la literatura: el tamaño reducido de las muestras disponibles que responde a una dificultad en la recolección de datos de habla en poblaciones con deterioro cognitivo [5]. Es precisamente en esta dualidad – el potencial del habla como herramienta de detección temprana y la escasez de datos etiquetados en el fenomeno concreto – donde se sitúa el problema central de la presente propuesta: ¿Cómo construir un clasificador robusto, capaz de distinguir entre hablantes con Alzheimer y controles sanos, en condiciones de datos limitados?.</w:t>
      </w:r>
    </w:p>
    <w:p>
      <w:pPr>
        <w:pStyle w:val="normal1"/>
        <w:spacing w:lineRule="auto" w:line="240" w:before="240" w:after="240"/>
        <w:jc w:val="both"/>
        <w:rPr>
          <w:rFonts w:ascii="Arial" w:hAnsi="Arial"/>
          <w:sz w:val="24"/>
          <w:szCs w:val="24"/>
        </w:rPr>
      </w:pPr>
      <w:r>
        <w:rPr>
          <w:rFonts w:ascii="Arial" w:hAnsi="Arial"/>
          <w:sz w:val="24"/>
          <w:szCs w:val="24"/>
        </w:rPr>
      </w:r>
    </w:p>
    <w:p>
      <w:pPr>
        <w:pStyle w:val="normal1"/>
        <w:spacing w:lineRule="auto" w:line="240" w:before="240" w:after="240"/>
        <w:jc w:val="both"/>
        <w:rPr>
          <w:rFonts w:ascii="Arial" w:hAnsi="Arial"/>
        </w:rPr>
      </w:pPr>
      <w:r>
        <w:rPr>
          <w:rFonts w:eastAsia="Arial" w:cs="Arial" w:ascii="Arial" w:hAnsi="Arial"/>
          <w:sz w:val="24"/>
          <w:szCs w:val="24"/>
        </w:rPr>
        <w:t xml:space="preserve">Los modelos de aprendizaje autosupervisado han revolucionado la manera en que se generan representaciones de habla, permitiendo capturar estructuras acústicas y lingüísticas ricas a partir de grandes volúmenes de audio sin necesidad de transcripciones o etiquetas manuales [6]. Este paradigma, sin embargo, no elimina la dependencia de datos: el pre entrenamiento se apoya en corpus masivos no etiquetados, y el ajuste posterior a una tarea específica (el fine-tuning) asume también la disponibilidad de conjuntos de datos etiquetados suficientemente amplios para ajustar el gran número de parámetros que un modelo de este tamaño requiere. Esta suposición representa un gran problema al trasladar estos métodos al dominio clínico de las enfermedades neurodegenerativas: las bases de datos de habla con etiquetas de Alzheimer disponibles públicamente son, por naturaleza, reducidos. ADReSS reúne apenas 156 hablantes [7], ADReSSo 237 [8], esta cantidad de muestras es órdenes de magnitud menores que los corpus empleados para el pre entrenamiento de wav 2 vec 2.0. </w:t>
      </w:r>
    </w:p>
    <w:p>
      <w:pPr>
        <w:pStyle w:val="normal1"/>
        <w:spacing w:lineRule="auto" w:line="240" w:before="240" w:after="240"/>
        <w:jc w:val="both"/>
        <w:rPr>
          <w:rFonts w:ascii="Arial" w:hAnsi="Arial"/>
        </w:rPr>
      </w:pPr>
      <w:r>
        <w:rPr>
          <w:rFonts w:eastAsia="Arial" w:cs="Arial" w:ascii="Arial" w:hAnsi="Arial"/>
          <w:sz w:val="24"/>
          <w:szCs w:val="24"/>
        </w:rPr>
        <w:t>Frente a esta tensión, han surgido estrategias de ajuste eficiente de parámetros (PEFT) diseñadas justamente para adaptar modelos de gran tamaño con relativamente pocos datos etiquetados; sin embargo, estas estrategias no se han aplicado a la clasificación de Alzheimer frente a controles sanos a partir de wav2vec 2.0. Es en esta ausencia donde se sitúa el aporte metodológico central de la presente propuesta.</w:t>
      </w:r>
    </w:p>
    <w:p>
      <w:pPr>
        <w:pStyle w:val="normal1"/>
        <w:spacing w:lineRule="auto" w:line="240" w:before="240" w:after="240"/>
        <w:jc w:val="both"/>
        <w:rPr>
          <w:rFonts w:ascii="Arial" w:hAnsi="Arial"/>
        </w:rPr>
      </w:pPr>
      <w:r>
        <w:rPr>
          <w:rFonts w:eastAsia="Arial" w:cs="Arial" w:ascii="Arial" w:hAnsi="Arial"/>
          <w:sz w:val="24"/>
          <w:szCs w:val="24"/>
        </w:rPr>
        <w:t xml:space="preserve">Frente a esta escasez de datos, el ajuste eficiente de parámetros (PEFT) constituye una alternativa que permite adaptar modelos pre entrenados de gran tamaño actualizando solo una fracción reducida de sus parámetros, en contraste con el ajuste fino completo, que requiere modificar la totalidad de los pesos del modelo.  Se propone así aplicar y comparar cuatro estrategias de adaptación sobre wav2vec 2.0 para la tarea de clasificación binaria entre hablantes con Alzheimer y controles sanos: adaptadores tipo bottleneck, que insertan módulos secuenciales de baja dimensionalidad entre las capas del modelo [9]; LoRA, que introduce una corrección de bajo rango sobre las matrices de pesos existentes sin modificarlas directamente [10]; prefix-tuning, que antepone vectores aprendibles al espacio de claves y valores del mecanismo de atención [11]; y el descongelamiento parcial de las últimas n capas del modelo, como forma más directa de ajuste. Estas cuatro estrategias serán evaluadas frente a un mismo punto de referencia fijo: wav2vec 2.0 sin ningún ajuste de sus pesos. A partir de este diseño experimental, la presente propuesta plantea como hipótesis central que el ajuste del modelo, mediante cualquiera de las estrategias mencionadas, permite obtener un desempeño de clasificación superior al del modelo congelado, incluso en condiciones de datos etiquetados limitados. </w:t>
      </w:r>
    </w:p>
    <w:p>
      <w:pPr>
        <w:pStyle w:val="normal1"/>
        <w:jc w:val="both"/>
        <w:rPr>
          <w:rFonts w:ascii="Arial" w:hAnsi="Arial" w:eastAsia="Arial" w:cs="Arial"/>
          <w:b/>
          <w:bCs/>
          <w:color w:val="7F7F7F"/>
          <w:position w:val="0"/>
          <w:sz w:val="24"/>
          <w:sz w:val="24"/>
          <w:szCs w:val="24"/>
          <w:vertAlign w:val="baseline"/>
        </w:rPr>
      </w:pPr>
      <w:r>
        <w:rPr>
          <w:rFonts w:eastAsia="Arial" w:cs="Arial" w:ascii="Arial" w:hAnsi="Arial"/>
          <w:b/>
          <w:bCs/>
          <w:color w:val="7F7F7F"/>
          <w:position w:val="0"/>
          <w:sz w:val="24"/>
          <w:sz w:val="24"/>
          <w:szCs w:val="24"/>
          <w:vertAlign w:val="baseline"/>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rPr>
      </w:pPr>
      <w:r>
        <w:rPr>
          <w:rFonts w:eastAsia="Arial" w:cs="Arial" w:ascii="Arial" w:hAnsi="Arial"/>
          <w:b/>
          <w:bCs/>
          <w:position w:val="0"/>
          <w:sz w:val="24"/>
          <w:sz w:val="24"/>
          <w:szCs w:val="24"/>
          <w:vertAlign w:val="baseline"/>
        </w:rPr>
        <w:t>Objetivos</w:t>
      </w:r>
    </w:p>
    <w:p>
      <w:pPr>
        <w:pStyle w:val="normal1"/>
        <w:jc w:val="both"/>
        <w:rPr>
          <w:rFonts w:ascii="Arial" w:hAnsi="Arial"/>
        </w:rPr>
      </w:pPr>
      <w:r>
        <w:rPr>
          <w:rFonts w:ascii="Arial" w:hAnsi="Arial"/>
        </w:rPr>
      </w:r>
    </w:p>
    <w:p>
      <w:pPr>
        <w:pStyle w:val="normal1"/>
        <w:jc w:val="both"/>
        <w:rPr>
          <w:rFonts w:ascii="Arial" w:hAnsi="Arial"/>
        </w:rPr>
      </w:pPr>
      <w:r>
        <w:rPr>
          <w:rFonts w:eastAsia="Arial" w:cs="Arial" w:ascii="Arial" w:hAnsi="Arial"/>
          <w:b/>
          <w:bCs/>
          <w:sz w:val="24"/>
          <w:szCs w:val="24"/>
        </w:rPr>
        <w:t>Objetivo general</w:t>
      </w:r>
    </w:p>
    <w:p>
      <w:pPr>
        <w:pStyle w:val="normal1"/>
        <w:spacing w:lineRule="auto" w:line="240" w:before="240" w:after="240"/>
        <w:rPr>
          <w:rFonts w:ascii="Arial" w:hAnsi="Arial"/>
        </w:rPr>
      </w:pPr>
      <w:r>
        <w:rPr>
          <w:rFonts w:eastAsia="Arial" w:cs="Arial" w:ascii="Arial" w:hAnsi="Arial"/>
          <w:sz w:val="24"/>
          <w:szCs w:val="24"/>
        </w:rPr>
        <w:t xml:space="preserve">Desarrollar una </w:t>
      </w:r>
      <w:r>
        <w:rPr>
          <w:rFonts w:eastAsia="Arial" w:cs="Arial" w:ascii="Arial" w:hAnsi="Arial"/>
          <w:sz w:val="24"/>
          <w:szCs w:val="24"/>
        </w:rPr>
        <w:t>estrategia de ajuste de parámetros sobre modelos fundacionales auto-supervisados, como wav2vec 2.0, para la clasificación de pacientes con enfermedad de Alzheimer frente a controles sanos en escenarios de datos clínicos limitados.</w:t>
      </w:r>
    </w:p>
    <w:p>
      <w:pPr>
        <w:pStyle w:val="normal1"/>
        <w:spacing w:lineRule="auto" w:line="240" w:before="240" w:after="240"/>
        <w:rPr>
          <w:rFonts w:ascii="Arial" w:hAnsi="Arial"/>
        </w:rPr>
      </w:pPr>
      <w:r>
        <w:rPr>
          <w:rFonts w:eastAsia="Arial" w:cs="Arial" w:ascii="Arial" w:hAnsi="Arial"/>
          <w:b/>
          <w:bCs/>
          <w:sz w:val="24"/>
          <w:szCs w:val="24"/>
        </w:rPr>
        <w:t>Objetivos específicos</w:t>
      </w:r>
    </w:p>
    <w:p>
      <w:pPr>
        <w:pStyle w:val="normal1"/>
        <w:numPr>
          <w:ilvl w:val="0"/>
          <w:numId w:val="1"/>
        </w:numPr>
        <w:spacing w:lineRule="auto" w:line="240" w:before="240" w:afterAutospacing="0" w:after="0"/>
        <w:ind w:hanging="360" w:left="720"/>
        <w:rPr>
          <w:rFonts w:ascii="Arial" w:hAnsi="Arial"/>
        </w:rPr>
      </w:pPr>
      <w:commentRangeStart w:id="0"/>
      <w:r>
        <w:rPr>
          <w:rFonts w:eastAsia="Arial" w:cs="Arial" w:ascii="Arial" w:hAnsi="Arial"/>
          <w:sz w:val="24"/>
          <w:szCs w:val="24"/>
        </w:rPr>
        <w:t>Establecer una línea base de clasificación de pacientes con enfermedad de Alzheimer y sujetos de control mediante el uso de representaciones extraídas por wav2vec 2.0 sin ajuste de parámetros.</w:t>
      </w:r>
      <w:commentRangeEnd w:id="0"/>
      <w:r>
        <w:commentReference w:id="0"/>
      </w:r>
      <w:r>
        <w:rPr>
          <w:rFonts w:eastAsia="Arial" w:cs="Arial" w:ascii="Arial" w:hAnsi="Arial"/>
          <w:sz w:val="24"/>
          <w:szCs w:val="24"/>
        </w:rPr>
      </w:r>
    </w:p>
    <w:p>
      <w:pPr>
        <w:pStyle w:val="normal1"/>
        <w:numPr>
          <w:ilvl w:val="0"/>
          <w:numId w:val="1"/>
        </w:numPr>
        <w:spacing w:lineRule="auto" w:line="240" w:before="240" w:afterAutospacing="0" w:after="0"/>
        <w:ind w:hanging="360" w:left="720"/>
        <w:rPr>
          <w:rFonts w:ascii="Arial" w:hAnsi="Arial"/>
        </w:rPr>
      </w:pPr>
      <w:r>
        <w:rPr>
          <w:rFonts w:eastAsia="Arial" w:cs="Arial" w:ascii="Arial" w:hAnsi="Arial"/>
          <w:sz w:val="24"/>
          <w:szCs w:val="24"/>
        </w:rPr>
        <w:t>Identificar</w:t>
      </w:r>
      <w:r>
        <w:rPr>
          <w:rFonts w:eastAsia="Arial" w:cs="Arial" w:ascii="Arial" w:hAnsi="Arial"/>
          <w:sz w:val="24"/>
          <w:szCs w:val="24"/>
        </w:rPr>
        <w:t xml:space="preserve"> </w:t>
      </w:r>
      <w:r>
        <w:rPr>
          <w:rFonts w:eastAsia="Arial" w:cs="Arial" w:ascii="Arial" w:hAnsi="Arial"/>
          <w:sz w:val="24"/>
          <w:szCs w:val="24"/>
        </w:rPr>
        <w:t>estrategias</w:t>
      </w:r>
      <w:r>
        <w:rPr>
          <w:rFonts w:eastAsia="Arial" w:cs="Arial" w:ascii="Arial" w:hAnsi="Arial"/>
          <w:sz w:val="24"/>
          <w:szCs w:val="24"/>
        </w:rPr>
        <w:t xml:space="preserve"> de</w:t>
      </w:r>
      <w:r>
        <w:rPr>
          <w:rFonts w:eastAsia="Arial" w:cs="Arial" w:ascii="Arial" w:hAnsi="Arial"/>
          <w:sz w:val="24"/>
          <w:szCs w:val="24"/>
        </w:rPr>
        <w:t xml:space="preserve"> ajuste de parámetros aplicables a la arquitectura de wav2vec 2.0 para</w:t>
      </w:r>
      <w:r>
        <w:rPr>
          <w:rFonts w:eastAsia="Arial" w:cs="Arial" w:ascii="Arial" w:hAnsi="Arial"/>
          <w:sz w:val="24"/>
          <w:szCs w:val="24"/>
        </w:rPr>
        <w:t xml:space="preserve"> tarea</w:t>
      </w:r>
      <w:r>
        <w:rPr>
          <w:rFonts w:eastAsia="Arial" w:cs="Arial" w:ascii="Arial" w:hAnsi="Arial"/>
          <w:sz w:val="24"/>
          <w:szCs w:val="24"/>
        </w:rPr>
        <w:t>s</w:t>
      </w:r>
      <w:r>
        <w:rPr>
          <w:rFonts w:eastAsia="Arial" w:cs="Arial" w:ascii="Arial" w:hAnsi="Arial"/>
          <w:sz w:val="24"/>
          <w:szCs w:val="24"/>
        </w:rPr>
        <w:t xml:space="preserve"> </w:t>
      </w:r>
      <w:r>
        <w:rPr>
          <w:rFonts w:eastAsia="Arial" w:cs="Arial" w:ascii="Arial" w:hAnsi="Arial"/>
          <w:sz w:val="24"/>
          <w:szCs w:val="24"/>
        </w:rPr>
        <w:t xml:space="preserve">de </w:t>
      </w:r>
      <w:r>
        <w:rPr>
          <w:rFonts w:eastAsia="Arial" w:cs="Arial" w:ascii="Arial" w:hAnsi="Arial"/>
          <w:sz w:val="24"/>
          <w:szCs w:val="24"/>
        </w:rPr>
        <w:t>clasifica</w:t>
      </w:r>
      <w:r>
        <w:rPr>
          <w:rFonts w:eastAsia="Arial" w:cs="Arial" w:ascii="Arial" w:hAnsi="Arial"/>
          <w:sz w:val="24"/>
          <w:szCs w:val="24"/>
        </w:rPr>
        <w:t xml:space="preserve">ción </w:t>
      </w:r>
      <w:r>
        <w:rPr>
          <w:rFonts w:eastAsia="Arial" w:cs="Arial" w:ascii="Arial" w:hAnsi="Arial"/>
          <w:sz w:val="24"/>
          <w:szCs w:val="24"/>
        </w:rPr>
        <w:t>binaria</w:t>
      </w:r>
      <w:r>
        <w:rPr>
          <w:rFonts w:eastAsia="Arial" w:cs="Arial" w:ascii="Arial" w:hAnsi="Arial"/>
          <w:sz w:val="24"/>
          <w:szCs w:val="24"/>
        </w:rPr>
        <w:t xml:space="preserve"> </w:t>
      </w:r>
      <w:r>
        <w:rPr>
          <w:rFonts w:eastAsia="Arial" w:cs="Arial" w:ascii="Arial" w:hAnsi="Arial"/>
          <w:sz w:val="24"/>
          <w:szCs w:val="24"/>
        </w:rPr>
        <w:t xml:space="preserve">en escenarios </w:t>
      </w:r>
      <w:r>
        <w:rPr>
          <w:rFonts w:eastAsia="Arial" w:cs="Arial" w:ascii="Arial" w:hAnsi="Arial"/>
          <w:sz w:val="24"/>
          <w:szCs w:val="24"/>
        </w:rPr>
        <w:t>con</w:t>
      </w:r>
      <w:r>
        <w:rPr>
          <w:rFonts w:eastAsia="Arial" w:cs="Arial" w:ascii="Arial" w:hAnsi="Arial"/>
          <w:sz w:val="24"/>
          <w:szCs w:val="24"/>
        </w:rPr>
        <w:t xml:space="preserve"> datos limitados</w:t>
      </w:r>
      <w:r>
        <w:rPr>
          <w:rFonts w:eastAsia="Arial" w:cs="Arial" w:ascii="Arial" w:hAnsi="Arial"/>
          <w:sz w:val="24"/>
          <w:szCs w:val="24"/>
        </w:rPr>
        <w:t>.</w:t>
      </w:r>
    </w:p>
    <w:p>
      <w:pPr>
        <w:pStyle w:val="normal1"/>
        <w:numPr>
          <w:ilvl w:val="0"/>
          <w:numId w:val="1"/>
        </w:numPr>
        <w:spacing w:lineRule="auto" w:line="240" w:before="240" w:afterAutospacing="0" w:after="0"/>
        <w:ind w:hanging="360" w:left="720"/>
        <w:rPr>
          <w:rFonts w:ascii="Arial" w:hAnsi="Arial"/>
        </w:rPr>
      </w:pPr>
      <w:r>
        <w:rPr>
          <w:rFonts w:eastAsia="Arial" w:cs="Arial" w:ascii="Arial" w:hAnsi="Arial"/>
          <w:sz w:val="24"/>
          <w:szCs w:val="24"/>
        </w:rPr>
        <w:t xml:space="preserve">Implementar </w:t>
      </w:r>
      <w:r>
        <w:rPr>
          <w:rFonts w:eastAsia="Arial" w:cs="Arial" w:ascii="Arial" w:hAnsi="Arial"/>
          <w:sz w:val="24"/>
          <w:szCs w:val="24"/>
        </w:rPr>
        <w:t xml:space="preserve">las estrategias de ajuste de parametros </w:t>
      </w:r>
      <w:r>
        <w:rPr>
          <w:rFonts w:eastAsia="Arial" w:cs="Arial" w:ascii="Arial" w:hAnsi="Arial"/>
          <w:sz w:val="24"/>
          <w:szCs w:val="24"/>
        </w:rPr>
        <w:t>seleccionadas</w:t>
      </w:r>
      <w:r>
        <w:rPr>
          <w:rFonts w:eastAsia="Arial" w:cs="Arial" w:ascii="Arial" w:hAnsi="Arial"/>
          <w:sz w:val="24"/>
          <w:szCs w:val="24"/>
        </w:rPr>
        <w:t xml:space="preserve"> </w:t>
      </w:r>
      <w:r>
        <w:rPr>
          <w:rFonts w:eastAsia="Arial" w:cs="Arial" w:ascii="Arial" w:hAnsi="Arial"/>
          <w:sz w:val="24"/>
          <w:szCs w:val="24"/>
        </w:rPr>
        <w:t>sobre</w:t>
      </w:r>
      <w:r>
        <w:rPr>
          <w:rFonts w:eastAsia="Arial" w:cs="Arial" w:ascii="Arial" w:hAnsi="Arial"/>
          <w:sz w:val="24"/>
          <w:szCs w:val="24"/>
        </w:rPr>
        <w:t xml:space="preserve"> el modelo </w:t>
      </w:r>
      <w:r>
        <w:rPr>
          <w:rFonts w:eastAsia="Arial" w:cs="Arial" w:ascii="Arial" w:hAnsi="Arial"/>
          <w:sz w:val="24"/>
          <w:szCs w:val="24"/>
        </w:rPr>
        <w:t xml:space="preserve">fundacional </w:t>
      </w:r>
      <w:r>
        <w:rPr>
          <w:rFonts w:eastAsia="Arial" w:cs="Arial" w:ascii="Arial" w:hAnsi="Arial"/>
          <w:sz w:val="24"/>
          <w:szCs w:val="24"/>
        </w:rPr>
        <w:t>wav2vec 2.0</w:t>
      </w:r>
      <w:r>
        <w:rPr>
          <w:rFonts w:eastAsia="Arial" w:cs="Arial" w:ascii="Arial" w:hAnsi="Arial"/>
          <w:sz w:val="24"/>
          <w:szCs w:val="24"/>
        </w:rPr>
        <w:t xml:space="preserve">, </w:t>
      </w:r>
      <w:r>
        <w:rPr>
          <w:rFonts w:eastAsia="Arial" w:cs="Arial" w:ascii="Arial" w:hAnsi="Arial"/>
          <w:sz w:val="24"/>
          <w:szCs w:val="24"/>
          <w:shd w:fill="auto" w:val="clear"/>
        </w:rPr>
        <w:t>con el fin de adaptarlo a la tarea de</w:t>
      </w:r>
      <w:r>
        <w:rPr>
          <w:rFonts w:eastAsia="Arial" w:cs="Arial" w:ascii="Arial" w:hAnsi="Arial"/>
          <w:sz w:val="24"/>
          <w:szCs w:val="24"/>
        </w:rPr>
        <w:t xml:space="preserve"> clasificación </w:t>
      </w:r>
      <w:r>
        <w:rPr>
          <w:rFonts w:eastAsia="Arial" w:cs="Arial" w:ascii="Arial" w:hAnsi="Arial"/>
          <w:sz w:val="24"/>
          <w:szCs w:val="24"/>
        </w:rPr>
        <w:t>binaria entre</w:t>
      </w:r>
      <w:r>
        <w:rPr>
          <w:rFonts w:eastAsia="Arial" w:cs="Arial" w:ascii="Arial" w:hAnsi="Arial"/>
          <w:sz w:val="24"/>
          <w:szCs w:val="24"/>
        </w:rPr>
        <w:t xml:space="preserve"> pacientes con la enfermedad de Alzheimer y sujetos de control</w:t>
      </w:r>
      <w:r>
        <w:rPr>
          <w:rFonts w:eastAsia="Arial" w:cs="Arial" w:ascii="Arial" w:hAnsi="Arial"/>
          <w:sz w:val="24"/>
          <w:szCs w:val="24"/>
        </w:rPr>
        <w:t>.</w:t>
      </w:r>
    </w:p>
    <w:p>
      <w:pPr>
        <w:pStyle w:val="normal1"/>
        <w:numPr>
          <w:ilvl w:val="0"/>
          <w:numId w:val="0"/>
        </w:numPr>
        <w:spacing w:lineRule="auto" w:line="240" w:before="240" w:afterAutospacing="0" w:after="0"/>
        <w:ind w:hanging="0" w:left="720"/>
        <w:rPr>
          <w:rFonts w:ascii="Arial" w:hAnsi="Arial"/>
        </w:rPr>
      </w:pPr>
      <w:r>
        <w:rPr>
          <w:rFonts w:ascii="Arial" w:hAnsi="Arial"/>
        </w:rPr>
      </w:r>
    </w:p>
    <w:p>
      <w:pPr>
        <w:pStyle w:val="normal1"/>
        <w:numPr>
          <w:ilvl w:val="0"/>
          <w:numId w:val="1"/>
        </w:numPr>
        <w:spacing w:lineRule="auto" w:line="240" w:beforeAutospacing="0" w:before="0" w:after="240"/>
        <w:ind w:hanging="360" w:left="720"/>
        <w:rPr>
          <w:rFonts w:ascii="Arial" w:hAnsi="Arial"/>
        </w:rPr>
      </w:pPr>
      <w:r>
        <w:rPr>
          <w:rFonts w:eastAsia="Arial" w:cs="Arial" w:ascii="Arial" w:hAnsi="Arial"/>
          <w:sz w:val="24"/>
          <w:szCs w:val="24"/>
        </w:rPr>
        <w:t>Evaluar y comparar</w:t>
      </w:r>
      <w:r>
        <w:rPr>
          <w:rFonts w:eastAsia="Arial" w:cs="Arial" w:ascii="Arial" w:hAnsi="Arial"/>
          <w:sz w:val="24"/>
          <w:szCs w:val="24"/>
        </w:rPr>
        <w:t xml:space="preserve"> </w:t>
      </w:r>
      <w:r>
        <w:rPr>
          <w:rFonts w:eastAsia="Arial" w:cs="Arial" w:ascii="Arial" w:hAnsi="Arial"/>
          <w:sz w:val="24"/>
          <w:szCs w:val="24"/>
        </w:rPr>
        <w:t xml:space="preserve">el desempeño </w:t>
      </w:r>
      <w:r>
        <w:rPr>
          <w:rFonts w:eastAsia="Arial" w:cs="Arial" w:ascii="Arial" w:hAnsi="Arial"/>
          <w:sz w:val="24"/>
          <w:szCs w:val="24"/>
        </w:rPr>
        <w:t>de clasificació</w:t>
      </w:r>
      <w:r>
        <w:rPr>
          <w:rFonts w:eastAsia="Arial" w:cs="Arial" w:ascii="Arial" w:hAnsi="Arial"/>
          <w:sz w:val="24"/>
          <w:szCs w:val="24"/>
        </w:rPr>
        <w:t>n, el tiempo de entranamiento, e</w:t>
      </w:r>
      <w:r>
        <w:rPr>
          <w:rFonts w:eastAsia="Arial" w:cs="Arial" w:ascii="Arial" w:hAnsi="Arial"/>
          <w:sz w:val="24"/>
          <w:szCs w:val="24"/>
        </w:rPr>
        <w:t>l tiempo de</w:t>
      </w:r>
      <w:r>
        <w:rPr>
          <w:rFonts w:eastAsia="Arial" w:cs="Arial" w:ascii="Arial" w:hAnsi="Arial"/>
          <w:sz w:val="24"/>
          <w:szCs w:val="24"/>
        </w:rPr>
        <w:t xml:space="preserve"> inferencia </w:t>
      </w:r>
      <w:r>
        <w:rPr>
          <w:rFonts w:eastAsia="Arial" w:cs="Arial" w:ascii="Arial" w:hAnsi="Arial"/>
          <w:sz w:val="24"/>
          <w:szCs w:val="24"/>
        </w:rPr>
        <w:t>y el numero de parametros entrenables</w:t>
      </w:r>
      <w:r>
        <w:rPr>
          <w:rFonts w:eastAsia="Arial" w:cs="Arial" w:ascii="Arial" w:hAnsi="Arial"/>
          <w:sz w:val="24"/>
          <w:szCs w:val="24"/>
        </w:rPr>
        <w:t xml:space="preserve"> </w:t>
      </w:r>
      <w:r>
        <w:rPr>
          <w:rFonts w:eastAsia="Arial" w:cs="Arial" w:ascii="Arial" w:hAnsi="Arial"/>
          <w:sz w:val="24"/>
          <w:szCs w:val="24"/>
        </w:rPr>
        <w:t>entre</w:t>
      </w:r>
      <w:r>
        <w:rPr>
          <w:rFonts w:eastAsia="Arial" w:cs="Arial" w:ascii="Arial" w:hAnsi="Arial"/>
          <w:sz w:val="24"/>
          <w:szCs w:val="24"/>
        </w:rPr>
        <w:t xml:space="preserve"> </w:t>
      </w:r>
      <w:r>
        <w:rPr>
          <w:rFonts w:eastAsia="Arial" w:cs="Arial" w:ascii="Arial" w:hAnsi="Arial"/>
          <w:sz w:val="24"/>
          <w:szCs w:val="24"/>
        </w:rPr>
        <w:t>el</w:t>
      </w:r>
      <w:r>
        <w:rPr>
          <w:rFonts w:eastAsia="Arial" w:cs="Arial" w:ascii="Arial" w:hAnsi="Arial"/>
          <w:sz w:val="24"/>
          <w:szCs w:val="24"/>
        </w:rPr>
        <w:t xml:space="preserve"> enfoque </w:t>
      </w:r>
      <w:r>
        <w:rPr>
          <w:rFonts w:eastAsia="Arial" w:cs="Arial" w:ascii="Arial" w:hAnsi="Arial"/>
          <w:sz w:val="24"/>
          <w:szCs w:val="24"/>
        </w:rPr>
        <w:t>del modelo</w:t>
      </w:r>
      <w:r>
        <w:rPr>
          <w:rFonts w:eastAsia="Arial" w:cs="Arial" w:ascii="Arial" w:hAnsi="Arial"/>
          <w:sz w:val="24"/>
          <w:szCs w:val="24"/>
        </w:rPr>
        <w:t xml:space="preserve"> </w:t>
      </w:r>
      <w:r>
        <w:rPr>
          <w:rFonts w:eastAsia="Arial" w:cs="Arial" w:ascii="Arial" w:hAnsi="Arial"/>
          <w:sz w:val="24"/>
          <w:szCs w:val="24"/>
        </w:rPr>
        <w:t>base</w:t>
      </w:r>
      <w:r>
        <w:rPr>
          <w:rFonts w:eastAsia="Arial" w:cs="Arial" w:ascii="Arial" w:hAnsi="Arial"/>
          <w:sz w:val="24"/>
          <w:szCs w:val="24"/>
        </w:rPr>
        <w:t xml:space="preserve"> y </w:t>
      </w:r>
      <w:r>
        <w:rPr>
          <w:rFonts w:eastAsia="Arial" w:cs="Arial" w:ascii="Arial" w:hAnsi="Arial"/>
          <w:sz w:val="24"/>
          <w:szCs w:val="24"/>
        </w:rPr>
        <w:t xml:space="preserve">las estrategias </w:t>
      </w:r>
      <w:r>
        <w:rPr>
          <w:rFonts w:eastAsia="Arial" w:cs="Arial" w:ascii="Arial" w:hAnsi="Arial"/>
          <w:sz w:val="24"/>
          <w:szCs w:val="24"/>
        </w:rPr>
        <w:t xml:space="preserve">de ajuste </w:t>
      </w:r>
      <w:r>
        <w:rPr>
          <w:rFonts w:eastAsia="Arial" w:cs="Arial" w:ascii="Arial" w:hAnsi="Arial"/>
          <w:sz w:val="24"/>
          <w:szCs w:val="24"/>
        </w:rPr>
        <w:t>implementadas</w:t>
      </w:r>
      <w:r>
        <w:rPr>
          <w:rFonts w:eastAsia="Arial" w:cs="Arial" w:ascii="Arial" w:hAnsi="Arial"/>
          <w:sz w:val="24"/>
          <w:szCs w:val="24"/>
        </w:rPr>
        <w:t xml:space="preserve"> </w:t>
      </w:r>
      <w:r>
        <w:rPr>
          <w:rFonts w:eastAsia="Arial" w:cs="Arial" w:ascii="Arial" w:hAnsi="Arial"/>
          <w:sz w:val="24"/>
          <w:szCs w:val="24"/>
        </w:rPr>
        <w:t>para</w:t>
      </w:r>
      <w:r>
        <w:rPr>
          <w:rFonts w:eastAsia="Arial" w:cs="Arial" w:ascii="Arial" w:hAnsi="Arial"/>
          <w:sz w:val="24"/>
          <w:szCs w:val="24"/>
        </w:rPr>
        <w:t xml:space="preserve"> </w:t>
      </w:r>
      <w:r>
        <w:rPr>
          <w:rFonts w:eastAsia="Arial" w:cs="Arial" w:ascii="Arial" w:hAnsi="Arial"/>
          <w:sz w:val="24"/>
          <w:szCs w:val="24"/>
        </w:rPr>
        <w:t>la clasificación entre pacientes con enfermedad de Alzheimer y sujetos de control</w:t>
      </w:r>
      <w:r>
        <w:rPr>
          <w:rFonts w:eastAsia="Arial" w:cs="Arial" w:ascii="Arial" w:hAnsi="Arial"/>
          <w:sz w:val="24"/>
          <w:szCs w:val="24"/>
        </w:rPr>
        <w:t>.</w:t>
      </w:r>
    </w:p>
    <w:p>
      <w:pPr>
        <w:pStyle w:val="normal1"/>
        <w:jc w:val="both"/>
        <w:rPr>
          <w:rFonts w:ascii="Arial" w:hAnsi="Arial" w:eastAsia="Arial" w:cs="Arial"/>
          <w:color w:val="7F7F7F"/>
          <w:position w:val="0"/>
          <w:sz w:val="24"/>
          <w:sz w:val="24"/>
          <w:szCs w:val="24"/>
          <w:vertAlign w:val="baseline"/>
        </w:rPr>
      </w:pPr>
      <w:r>
        <w:rPr>
          <w:rFonts w:eastAsia="Arial" w:cs="Arial" w:ascii="Arial" w:hAnsi="Arial"/>
          <w:color w:val="7F7F7F"/>
          <w:position w:val="0"/>
          <w:sz w:val="24"/>
          <w:sz w:val="24"/>
          <w:szCs w:val="24"/>
          <w:vertAlign w:val="baseline"/>
        </w:rPr>
      </w:r>
    </w:p>
    <w:p>
      <w:pPr>
        <w:pStyle w:val="normal1"/>
        <w:jc w:val="both"/>
        <w:rPr>
          <w:rFonts w:ascii="Arial" w:hAnsi="Arial"/>
        </w:rPr>
      </w:pPr>
      <w:r>
        <w:rPr>
          <w:rFonts w:eastAsia="Arial" w:cs="Arial" w:ascii="Arial" w:hAnsi="Arial"/>
          <w:b/>
          <w:bCs/>
          <w:position w:val="0"/>
          <w:sz w:val="24"/>
          <w:sz w:val="24"/>
          <w:szCs w:val="24"/>
          <w:vertAlign w:val="baseline"/>
        </w:rPr>
        <w:t>Marco teórico</w:t>
      </w:r>
    </w:p>
    <w:p>
      <w:pPr>
        <w:pStyle w:val="normal1"/>
        <w:spacing w:lineRule="auto" w:line="240" w:before="240" w:after="240"/>
        <w:jc w:val="both"/>
        <w:rPr>
          <w:rFonts w:ascii="Arial" w:hAnsi="Arial"/>
        </w:rPr>
      </w:pPr>
      <w:r>
        <w:rPr>
          <w:rFonts w:eastAsia="Arial" w:cs="Arial" w:ascii="Arial" w:hAnsi="Arial"/>
          <w:b/>
          <w:bCs/>
          <w:sz w:val="24"/>
          <w:szCs w:val="24"/>
        </w:rPr>
        <w:t>wav2vec 2.0: arquitectura y pre entrenamiento auto-supervisado</w:t>
      </w:r>
    </w:p>
    <w:p>
      <w:pPr>
        <w:pStyle w:val="normal1"/>
        <w:spacing w:lineRule="auto" w:line="240" w:before="240" w:after="240"/>
        <w:jc w:val="both"/>
        <w:rPr>
          <w:rFonts w:ascii="Arial" w:hAnsi="Arial"/>
        </w:rPr>
      </w:pPr>
      <w:r>
        <w:rPr>
          <w:rFonts w:eastAsia="Arial" w:cs="Arial" w:ascii="Arial" w:hAnsi="Arial"/>
          <w:sz w:val="24"/>
          <w:szCs w:val="24"/>
        </w:rPr>
        <w:t>wav2vec 2.0 [6] es un modelo de aprendizaje auto-supervisado que aprende representaciones de habla directamente a partir de audio crudo, sin necesidad de transcripciones. Su arquitectura se compone de tres bloques: un codificador convolucional (</w:t>
      </w:r>
      <w:r>
        <w:rPr>
          <w:rFonts w:eastAsia="Arial" w:cs="Arial" w:ascii="Arial" w:hAnsi="Arial"/>
          <w:i/>
          <w:iCs/>
          <w:sz w:val="24"/>
          <w:szCs w:val="24"/>
        </w:rPr>
        <w:t>feature encoder</w:t>
      </w:r>
      <w:r>
        <w:rPr>
          <w:rFonts w:eastAsia="Arial" w:cs="Arial" w:ascii="Arial" w:hAnsi="Arial"/>
          <w:sz w:val="24"/>
          <w:szCs w:val="24"/>
        </w:rPr>
        <w:t>), una red Transformer, y un módulo de cuantización.</w:t>
      </w:r>
    </w:p>
    <w:p>
      <w:pPr>
        <w:pStyle w:val="normal1"/>
        <w:spacing w:lineRule="auto" w:line="240" w:before="240" w:after="240"/>
        <w:jc w:val="both"/>
        <w:rPr>
          <w:rFonts w:ascii="Arial" w:hAnsi="Arial"/>
        </w:rPr>
      </w:pPr>
      <w:r>
        <w:rPr>
          <w:rFonts w:eastAsia="Arial" w:cs="Arial" w:ascii="Arial" w:hAnsi="Arial"/>
          <w:sz w:val="24"/>
          <w:szCs w:val="24"/>
        </w:rPr>
        <w:t xml:space="preserve">El </w:t>
      </w:r>
      <w:r>
        <w:rPr>
          <w:rFonts w:eastAsia="Arial" w:cs="Arial" w:ascii="Arial" w:hAnsi="Arial"/>
          <w:i/>
          <w:iCs/>
          <w:sz w:val="24"/>
          <w:szCs w:val="24"/>
        </w:rPr>
        <w:t>feature encoder</w:t>
      </w:r>
      <w:r>
        <w:rPr>
          <w:rFonts w:eastAsia="Arial" w:cs="Arial" w:ascii="Arial" w:hAnsi="Arial"/>
          <w:sz w:val="24"/>
          <w:szCs w:val="24"/>
        </w:rPr>
        <w:t xml:space="preserve"> transforma la señal cruda en una secuencia de vectores latentes continuos </w:t>
      </w:r>
      <w:r>
        <w:rPr>
          <w:rFonts w:ascii="Arial" w:hAnsi="Arial"/>
        </w:rPr>
      </w:r>
      <m:oMath xmlns:m="http://schemas.openxmlformats.org/officeDocument/2006/math">
        <m:sSub>
          <m:e>
            <m:r>
              <w:rPr>
                <w:rFonts w:ascii="Cambria Math" w:hAnsi="Cambria Math"/>
              </w:rPr>
              <m:t xml:space="preserve">z</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oMath>
      <w:r>
        <w:rPr>
          <w:rFonts w:eastAsia="Arial" w:cs="Arial" w:ascii="Arial" w:hAnsi="Arial"/>
          <w:sz w:val="24"/>
          <w:szCs w:val="24"/>
        </w:rPr>
        <w:t xml:space="preserve">​, uno por cada fotograma de aproximadamente 25 ms. Esta secuencia </w:t>
      </w:r>
      <w:r>
        <w:rPr>
          <w:rFonts w:ascii="Arial" w:hAnsi="Arial"/>
        </w:rPr>
      </w:r>
      <m:oMath xmlns:m="http://schemas.openxmlformats.org/officeDocument/2006/math">
        <m:r>
          <w:rPr>
            <w:rFonts w:ascii="Cambria Math" w:hAnsi="Cambria Math"/>
          </w:rPr>
          <m:t xml:space="preserve">z</m:t>
        </m:r>
      </m:oMath>
      <w:r>
        <w:rPr>
          <w:rFonts w:eastAsia="Arial" w:cs="Arial" w:ascii="Arial" w:hAnsi="Arial"/>
          <w:sz w:val="24"/>
          <w:szCs w:val="24"/>
        </w:rPr>
        <w:t xml:space="preserve"> alimenta en paralelo dos ramas independientes durante el forward. En la primera, antes de ingresar al Transformer, se enmascaran tramos contiguos: se muestrea una proporción </w:t>
      </w:r>
      <w:r>
        <w:rPr>
          <w:rFonts w:ascii="Arial" w:hAnsi="Arial"/>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6.5</m:t>
        </m:r>
        <m:r>
          <m:rPr>
            <m:lit/>
            <m:nor/>
          </m:rPr>
          <w:rPr>
            <w:rFonts w:ascii="Cambria Math" w:hAnsi="Cambria Math"/>
          </w:rPr>
          <m:t xml:space="preserve">%</m:t>
        </m:r>
      </m:oMath>
      <w:r>
        <w:rPr>
          <w:rFonts w:eastAsia="Arial" w:cs="Arial" w:ascii="Arial" w:hAnsi="Arial"/>
          <w:sz w:val="24"/>
          <w:szCs w:val="24"/>
        </w:rPr>
        <w:t xml:space="preserve"> de los pasos como índices de inicio, y desde cada uno se cubren M=10 pasos consecutivos con un único vector entrenable compartido (el </w:t>
      </w:r>
      <w:r>
        <w:rPr>
          <w:rFonts w:eastAsia="Arial" w:cs="Arial" w:ascii="Arial" w:hAnsi="Arial"/>
          <w:i/>
          <w:iCs/>
          <w:sz w:val="24"/>
          <w:szCs w:val="24"/>
        </w:rPr>
        <w:t>mask embedding</w:t>
      </w:r>
      <w:r>
        <w:rPr>
          <w:rFonts w:eastAsia="Arial" w:cs="Arial" w:ascii="Arial" w:hAnsi="Arial"/>
          <w:sz w:val="24"/>
          <w:szCs w:val="24"/>
        </w:rPr>
        <w:t>). Por el solapamiento entre tramos, el resultado es que cerca del 49% de la secuencia queda enmascarada. Esta estrategia de bloques (en vez de fotogramas aislados) sigue una lógica similar a SpecAugment [12]: los fotogramas vecinos están altamente correlacionados, de modo que tapar uno solo permitiría reconstruirlo por simple interpolación, mientras que cubrir un tramo completo obliga al modelo a recurrir a contexto de largo alcance.</w:t>
      </w:r>
    </w:p>
    <w:p>
      <w:pPr>
        <w:pStyle w:val="normal1"/>
        <w:spacing w:lineRule="auto" w:line="240" w:before="240" w:after="240"/>
        <w:jc w:val="both"/>
        <w:rPr>
          <w:rFonts w:ascii="Arial" w:hAnsi="Arial"/>
        </w:rPr>
      </w:pPr>
      <w:r>
        <w:rPr>
          <w:rFonts w:eastAsia="Arial" w:cs="Arial" w:ascii="Arial" w:hAnsi="Arial"/>
          <w:sz w:val="24"/>
          <w:szCs w:val="24"/>
        </w:rPr>
        <w:t xml:space="preserve">La secuencia parcialmente enmascarada entra al Transformer, que produce una representación contextualizada </w:t>
      </w:r>
      <w:r>
        <w:rPr>
          <w:rFonts w:ascii="Arial" w:hAnsi="Arial"/>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eastAsia="Arial" w:cs="Arial" w:ascii="Arial" w:hAnsi="Arial"/>
          <w:sz w:val="24"/>
          <w:szCs w:val="24"/>
        </w:rPr>
        <w:t xml:space="preserve">para cada posición mediante auto-atención: cada posición, actuando como </w:t>
      </w:r>
      <w:r>
        <w:rPr>
          <w:rFonts w:eastAsia="Arial" w:cs="Arial" w:ascii="Arial" w:hAnsi="Arial"/>
          <w:i/>
          <w:iCs/>
          <w:sz w:val="24"/>
          <w:szCs w:val="24"/>
        </w:rPr>
        <w:t>query</w:t>
      </w:r>
      <w:r>
        <w:rPr>
          <w:rFonts w:eastAsia="Arial" w:cs="Arial" w:ascii="Arial" w:hAnsi="Arial"/>
          <w:sz w:val="24"/>
          <w:szCs w:val="24"/>
        </w:rPr>
        <w:t xml:space="preserve">, calcula su similitud contra las </w:t>
      </w:r>
      <w:r>
        <w:rPr>
          <w:rFonts w:eastAsia="Arial" w:cs="Arial" w:ascii="Arial" w:hAnsi="Arial"/>
          <w:i/>
          <w:iCs/>
          <w:sz w:val="24"/>
          <w:szCs w:val="24"/>
        </w:rPr>
        <w:t>keys</w:t>
      </w:r>
      <w:r>
        <w:rPr>
          <w:rFonts w:eastAsia="Arial" w:cs="Arial" w:ascii="Arial" w:hAnsi="Arial"/>
          <w:sz w:val="24"/>
          <w:szCs w:val="24"/>
        </w:rPr>
        <w:t xml:space="preserve"> de todas las posiciones mediante el producto punto</w:t>
      </w:r>
      <w:r>
        <w:rPr>
          <w:rFonts w:ascii="Arial" w:hAnsi="Arial"/>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K</m:t>
        </m:r>
      </m:oMath>
      <w:r>
        <w:rPr>
          <w:rFonts w:eastAsia="Arial" w:cs="Arial" w:ascii="Arial" w:hAnsi="Arial"/>
          <w:sz w:val="24"/>
          <w:szCs w:val="24"/>
        </w:rPr>
        <w:t xml:space="preserve">, normaliza esos puntajes con una función </w:t>
      </w:r>
      <w:r>
        <w:rPr>
          <w:rFonts w:eastAsia="Arial" w:cs="Arial" w:ascii="Arial" w:hAnsi="Arial"/>
          <w:i/>
          <w:iCs/>
          <w:sz w:val="24"/>
          <w:szCs w:val="24"/>
        </w:rPr>
        <w:t>softmax</w:t>
      </w:r>
      <w:r>
        <w:rPr>
          <w:rFonts w:eastAsia="Arial" w:cs="Arial" w:ascii="Arial" w:hAnsi="Arial"/>
          <w:sz w:val="24"/>
          <w:szCs w:val="24"/>
        </w:rPr>
        <w:t xml:space="preserve">, y construye su salida como una suma ponderada de los </w:t>
      </w:r>
      <w:r>
        <w:rPr>
          <w:rFonts w:eastAsia="Arial" w:cs="Arial" w:ascii="Arial" w:hAnsi="Arial"/>
          <w:i/>
          <w:iCs/>
          <w:sz w:val="24"/>
          <w:szCs w:val="24"/>
        </w:rPr>
        <w:t>values</w:t>
      </w:r>
      <w:r>
        <w:rPr>
          <w:rFonts w:eastAsia="Arial" w:cs="Arial" w:ascii="Arial" w:hAnsi="Arial"/>
          <w:sz w:val="24"/>
          <w:szCs w:val="24"/>
        </w:rPr>
        <w:t xml:space="preserve"> de las posiciones a las que atiende. En las posiciones enmascaradas, dado que el </w:t>
      </w:r>
      <w:r>
        <w:rPr>
          <w:rFonts w:eastAsia="Arial" w:cs="Arial" w:ascii="Arial" w:hAnsi="Arial"/>
          <w:i/>
          <w:iCs/>
          <w:sz w:val="24"/>
          <w:szCs w:val="24"/>
        </w:rPr>
        <w:t>mask embedding</w:t>
      </w:r>
      <w:r>
        <w:rPr>
          <w:rFonts w:eastAsia="Arial" w:cs="Arial" w:ascii="Arial" w:hAnsi="Arial"/>
          <w:sz w:val="24"/>
          <w:szCs w:val="24"/>
        </w:rPr>
        <w:t xml:space="preserve"> no contiene información real del fotograma original, </w:t>
      </w:r>
      <w:r>
        <w:rPr>
          <w:rFonts w:ascii="Arial" w:hAnsi="Arial"/>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eastAsia="Arial" w:cs="Arial" w:ascii="Arial" w:hAnsi="Arial"/>
          <w:sz w:val="24"/>
          <w:szCs w:val="24"/>
        </w:rPr>
        <w:t>​ se reconstruye enteramente a partir del contexto —las posiciones vecinas no enmascaradas— y no de su propia entrada.</w:t>
      </w:r>
    </w:p>
    <w:p>
      <w:pPr>
        <w:pStyle w:val="normal1"/>
        <w:spacing w:lineRule="auto" w:line="240" w:before="240" w:after="240"/>
        <w:jc w:val="both"/>
        <w:rPr>
          <w:rFonts w:ascii="Arial" w:hAnsi="Arial"/>
        </w:rPr>
      </w:pPr>
      <w:r>
        <w:rPr>
          <w:rFonts w:eastAsia="Arial" w:cs="Arial" w:ascii="Arial" w:hAnsi="Arial"/>
          <w:sz w:val="24"/>
          <w:szCs w:val="24"/>
        </w:rPr>
        <w:t xml:space="preserve">En la segunda rama, la misma secuencia </w:t>
      </w:r>
      <w:r>
        <w:rPr>
          <w:rFonts w:ascii="Arial" w:hAnsi="Arial"/>
        </w:rPr>
      </w:r>
      <m:oMath xmlns:m="http://schemas.openxmlformats.org/officeDocument/2006/math">
        <m:r>
          <w:rPr>
            <w:rFonts w:ascii="Cambria Math" w:hAnsi="Cambria Math"/>
          </w:rPr>
          <m:t xml:space="preserve">z</m:t>
        </m:r>
      </m:oMath>
      <w:r>
        <w:rPr>
          <w:rFonts w:eastAsia="Arial" w:cs="Arial" w:ascii="Arial" w:hAnsi="Arial"/>
          <w:sz w:val="24"/>
          <w:szCs w:val="24"/>
        </w:rPr>
        <w:t xml:space="preserve"> alimenta un cuantizador que discretiza cada vector en una de un conjunto finito de unidades aprendidas, mediante dos </w:t>
      </w:r>
      <w:r>
        <w:rPr>
          <w:rFonts w:eastAsia="Arial" w:cs="Arial" w:ascii="Arial" w:hAnsi="Arial"/>
          <w:i/>
          <w:iCs/>
          <w:sz w:val="24"/>
          <w:szCs w:val="24"/>
        </w:rPr>
        <w:t>codebooks</w:t>
      </w:r>
      <w:r>
        <w:rPr>
          <w:rFonts w:eastAsia="Arial" w:cs="Arial" w:ascii="Arial" w:hAnsi="Arial"/>
          <w:sz w:val="24"/>
          <w:szCs w:val="24"/>
        </w:rPr>
        <w:t xml:space="preserve"> (G=2 grupos), cada uno una matriz de V=320 filas por d/G columnas, inicializadas aleatoriamente y ajustadas por la propagación hacia atrás como cualquier otro peso del modelo. Para cuantizar un fotograma, una capa lineal proyecta </w:t>
      </w:r>
      <w:r>
        <w:rPr>
          <w:rFonts w:ascii="Arial" w:hAnsi="Arial"/>
        </w:rPr>
      </w:r>
      <m:oMath xmlns:m="http://schemas.openxmlformats.org/officeDocument/2006/math">
        <m:r>
          <w:rPr>
            <w:rFonts w:ascii="Cambria Math" w:hAnsi="Cambria Math"/>
          </w:rPr>
          <m:t xml:space="preserve">z</m:t>
        </m:r>
      </m:oMath>
      <w:r>
        <w:rPr>
          <w:rFonts w:eastAsia="Arial" w:cs="Arial" w:ascii="Arial" w:hAnsi="Arial"/>
          <w:sz w:val="24"/>
          <w:szCs w:val="24"/>
        </w:rPr>
        <w:t xml:space="preserve"> a un conjunto de logits </w:t>
      </w:r>
      <w:r>
        <w:rPr>
          <w:rFonts w:ascii="Arial" w:hAnsi="Arial"/>
        </w:rPr>
      </w:r>
      <m:oMath xmlns:m="http://schemas.openxmlformats.org/officeDocument/2006/math">
        <m:r>
          <w:rPr>
            <w:rFonts w:ascii="Cambria Math" w:hAnsi="Cambria Math"/>
          </w:rPr>
          <m:t xml:space="preserve">l</m:t>
        </m:r>
        <m:r>
          <w:rPr>
            <w:rFonts w:ascii="Cambria Math" w:hAnsi="Cambria Math"/>
          </w:rPr>
          <m:t xml:space="preserve">∈</m:t>
        </m:r>
        <m:sSup>
          <m:e>
            <m:r>
              <w:rPr>
                <w:rFonts w:ascii="Cambria Math" w:hAnsi="Cambria Math"/>
              </w:rPr>
              <m:t xml:space="preserve">ℝ</m:t>
            </m:r>
          </m:e>
          <m:sup>
            <m:r>
              <w:rPr>
                <w:rFonts w:ascii="Cambria Math" w:hAnsi="Cambria Math"/>
              </w:rPr>
              <m:t xml:space="preserve">G</m:t>
            </m:r>
            <m:r>
              <w:rPr>
                <w:rFonts w:ascii="Cambria Math" w:hAnsi="Cambria Math"/>
              </w:rPr>
              <m:t xml:space="preserve">×</m:t>
            </m:r>
            <m:r>
              <w:rPr>
                <w:rFonts w:ascii="Cambria Math" w:hAnsi="Cambria Math"/>
              </w:rPr>
              <m:t xml:space="preserve">V</m:t>
            </m:r>
          </m:sup>
        </m:sSup>
      </m:oMath>
      <w:r>
        <w:rPr>
          <w:rFonts w:eastAsia="Arial" w:cs="Arial" w:ascii="Arial" w:hAnsi="Arial"/>
          <w:sz w:val="24"/>
          <w:szCs w:val="24"/>
        </w:rPr>
        <w:t xml:space="preserve">; un mecanismo de Gumbel-softmax selecciona un índice por grupo; se extraen las filas correspondientes de cada </w:t>
      </w:r>
      <w:r>
        <w:rPr>
          <w:rFonts w:eastAsia="Arial" w:cs="Arial" w:ascii="Arial" w:hAnsi="Arial"/>
          <w:i/>
          <w:iCs/>
          <w:sz w:val="24"/>
          <w:szCs w:val="24"/>
        </w:rPr>
        <w:t>codebook</w:t>
      </w:r>
      <w:r>
        <w:rPr>
          <w:rFonts w:eastAsia="Arial" w:cs="Arial" w:ascii="Arial" w:hAnsi="Arial"/>
          <w:sz w:val="24"/>
          <w:szCs w:val="24"/>
        </w:rPr>
        <w:t xml:space="preserve"> y se concatenan en un vector de dimensión d; y una transformación lineal final produce el vector cuantizado q. Esta estructura de </w:t>
      </w:r>
      <w:r>
        <w:rPr>
          <w:rFonts w:eastAsia="Arial" w:cs="Arial" w:ascii="Arial" w:hAnsi="Arial"/>
          <w:i/>
          <w:iCs/>
          <w:sz w:val="24"/>
          <w:szCs w:val="24"/>
        </w:rPr>
        <w:t>product quantization</w:t>
      </w:r>
      <w:r>
        <w:rPr>
          <w:rFonts w:eastAsia="Arial" w:cs="Arial" w:ascii="Arial" w:hAnsi="Arial"/>
          <w:sz w:val="24"/>
          <w:szCs w:val="24"/>
        </w:rPr>
        <w:t xml:space="preserve"> permite representar hasta </w:t>
      </w:r>
      <w:r>
        <w:rPr>
          <w:rFonts w:ascii="Arial" w:hAnsi="Arial"/>
        </w:rPr>
      </w:r>
      <m:oMath xmlns:m="http://schemas.openxmlformats.org/officeDocument/2006/math">
        <m:sSup>
          <m:e>
            <m:r>
              <w:rPr>
                <w:rFonts w:ascii="Cambria Math" w:hAnsi="Cambria Math"/>
              </w:rPr>
              <m:t xml:space="preserve">V</m:t>
            </m:r>
          </m:e>
          <m:sup>
            <m:r>
              <w:rPr>
                <w:rFonts w:ascii="Cambria Math" w:hAnsi="Cambria Math"/>
              </w:rPr>
              <m:t xml:space="preserve">2</m:t>
            </m:r>
          </m:sup>
        </m:sSup>
        <m:r>
          <w:rPr>
            <w:rFonts w:ascii="Cambria Math" w:hAnsi="Cambria Math"/>
          </w:rPr>
          <m:t xml:space="preserve">=</m:t>
        </m:r>
        <m:r>
          <w:rPr>
            <w:rFonts w:ascii="Cambria Math" w:hAnsi="Cambria Math"/>
          </w:rPr>
          <m:t xml:space="preserve">102.400</m:t>
        </m:r>
      </m:oMath>
      <w:r>
        <w:rPr>
          <w:rFonts w:eastAsia="Arial" w:cs="Arial" w:ascii="Arial" w:hAnsi="Arial"/>
          <w:sz w:val="24"/>
          <w:szCs w:val="24"/>
        </w:rPr>
        <w:t xml:space="preserve"> combinaciones distintas almacenando únicamente </w:t>
      </w:r>
      <w:r>
        <w:rPr>
          <w:rFonts w:ascii="Arial" w:hAnsi="Arial"/>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640</m:t>
        </m:r>
      </m:oMath>
      <w:r>
        <w:rPr>
          <w:rFonts w:eastAsia="Arial" w:cs="Arial" w:ascii="Arial" w:hAnsi="Arial"/>
          <w:sz w:val="24"/>
          <w:szCs w:val="24"/>
        </w:rPr>
        <w:t xml:space="preserve">vectores, una ganancia de eficiencia frente a un </w:t>
      </w:r>
      <w:r>
        <w:rPr>
          <w:rFonts w:eastAsia="Arial" w:cs="Arial" w:ascii="Arial" w:hAnsi="Arial"/>
          <w:i/>
          <w:iCs/>
          <w:sz w:val="24"/>
          <w:szCs w:val="24"/>
        </w:rPr>
        <w:t>codebook</w:t>
      </w:r>
      <w:r>
        <w:rPr>
          <w:rFonts w:eastAsia="Arial" w:cs="Arial" w:ascii="Arial" w:hAnsi="Arial"/>
          <w:sz w:val="24"/>
          <w:szCs w:val="24"/>
        </w:rPr>
        <w:t xml:space="preserve"> único que requeriría almacenar esas 102.400 combinaciones de forma independiente.</w:t>
      </w:r>
    </w:p>
    <w:p>
      <w:pPr>
        <w:pStyle w:val="normal1"/>
        <w:spacing w:lineRule="auto" w:line="240" w:before="240" w:after="240"/>
        <w:jc w:val="both"/>
        <w:rPr>
          <w:rFonts w:ascii="Arial" w:hAnsi="Arial"/>
        </w:rPr>
      </w:pPr>
      <w:r>
        <w:rPr>
          <w:rFonts w:eastAsia="Arial" w:cs="Arial" w:ascii="Arial" w:hAnsi="Arial"/>
          <w:sz w:val="24"/>
          <w:szCs w:val="24"/>
        </w:rPr>
        <w:t xml:space="preserve">La selección discreta de filas —una operación </w:t>
      </w:r>
      <w:r>
        <w:rPr>
          <w:rFonts w:eastAsia="Arial" w:cs="Arial" w:ascii="Arial" w:hAnsi="Arial"/>
          <w:i/>
          <w:iCs/>
          <w:sz w:val="24"/>
          <w:szCs w:val="24"/>
        </w:rPr>
        <w:t>argmax</w:t>
      </w:r>
      <w:r>
        <w:rPr>
          <w:rFonts w:eastAsia="Arial" w:cs="Arial" w:ascii="Arial" w:hAnsi="Arial"/>
          <w:sz w:val="24"/>
          <w:szCs w:val="24"/>
        </w:rPr>
        <w:t xml:space="preserve">, no diferenciable— se entrena mediante </w:t>
      </w:r>
      <w:r>
        <w:rPr>
          <w:rFonts w:eastAsia="Arial" w:cs="Arial" w:ascii="Arial" w:hAnsi="Arial"/>
          <w:i/>
          <w:iCs/>
          <w:sz w:val="24"/>
          <w:szCs w:val="24"/>
        </w:rPr>
        <w:t>straight-through estimator</w:t>
      </w:r>
      <w:r>
        <w:rPr>
          <w:rFonts w:eastAsia="Arial" w:cs="Arial" w:ascii="Arial" w:hAnsi="Arial"/>
          <w:sz w:val="24"/>
          <w:szCs w:val="24"/>
        </w:rPr>
        <w:t xml:space="preserve"> combinado con ruido de Gumbel. Sobre cada logit </w:t>
      </w:r>
      <w:r>
        <w:rPr>
          <w:rFonts w:ascii="Arial" w:hAnsi="Arial"/>
        </w:rPr>
      </w:r>
      <m:oMath xmlns:m="http://schemas.openxmlformats.org/officeDocument/2006/math">
        <m:sSub>
          <m:e>
            <m:r>
              <w:rPr>
                <w:rFonts w:ascii="Cambria Math" w:hAnsi="Cambria Math"/>
              </w:rPr>
              <m:t xml:space="preserve">l</m:t>
            </m:r>
          </m:e>
          <m:sub>
            <m:r>
              <w:rPr>
                <w:rFonts w:ascii="Cambria Math" w:hAnsi="Cambria Math"/>
              </w:rPr>
              <m:t xml:space="preserve">g</m:t>
            </m:r>
            <m:r>
              <w:rPr>
                <w:rFonts w:ascii="Cambria Math" w:hAnsi="Cambria Math"/>
              </w:rPr>
              <m:t xml:space="preserve">,</m:t>
            </m:r>
            <m:r>
              <w:rPr>
                <w:rFonts w:ascii="Cambria Math" w:hAnsi="Cambria Math"/>
              </w:rPr>
              <m:t xml:space="preserve">v</m:t>
            </m:r>
          </m:sub>
        </m:sSub>
      </m:oMath>
      <w:r>
        <w:rPr>
          <w:rFonts w:eastAsia="Arial" w:cs="Arial" w:ascii="Arial" w:hAnsi="Arial"/>
          <w:sz w:val="24"/>
          <w:szCs w:val="24"/>
        </w:rPr>
        <w:t xml:space="preserve"> ​ se suma un ruido </w:t>
      </w:r>
      <w:r>
        <w:rPr>
          <w:rFonts w:ascii="Arial" w:hAnsi="Arial"/>
        </w:rPr>
      </w:r>
      <m:oMath xmlns:m="http://schemas.openxmlformats.org/officeDocument/2006/math">
        <m:sSub>
          <m:e>
            <m:r>
              <w:rPr>
                <w:rFonts w:ascii="Cambria Math" w:hAnsi="Cambria Math"/>
              </w:rPr>
              <m:t xml:space="preserve">n</m:t>
            </m:r>
          </m:e>
          <m:sub>
            <m:r>
              <w:rPr>
                <w:rFonts w:ascii="Cambria Math" w:hAnsi="Cambria Math"/>
              </w:rPr>
              <m:t xml:space="preserve">v</m:t>
            </m:r>
          </m:sub>
        </m:sSub>
      </m:oMath>
      <w:r>
        <w:rPr>
          <w:rFonts w:eastAsia="Arial" w:cs="Arial" w:ascii="Arial" w:hAnsi="Arial"/>
          <w:sz w:val="24"/>
          <w:szCs w:val="24"/>
        </w:rPr>
        <w:t xml:space="preserve">​ muestreado de una distribución de Gumbel; la propiedad conocida como </w:t>
      </w:r>
      <w:r>
        <w:rPr>
          <w:rFonts w:eastAsia="Arial" w:cs="Arial" w:ascii="Arial" w:hAnsi="Arial"/>
          <w:i/>
          <w:iCs/>
          <w:sz w:val="24"/>
          <w:szCs w:val="24"/>
        </w:rPr>
        <w:t>Gumbel-max trick</w:t>
      </w:r>
      <w:r>
        <w:rPr>
          <w:rFonts w:eastAsia="Arial" w:cs="Arial" w:ascii="Arial" w:hAnsi="Arial"/>
          <w:sz w:val="24"/>
          <w:szCs w:val="24"/>
        </w:rPr>
        <w:t xml:space="preserve"> garantiza que </w:t>
      </w:r>
      <w:r>
        <w:rPr>
          <w:rFonts w:ascii="Arial" w:hAnsi="Arial"/>
        </w:rPr>
      </w:r>
      <m:oMath xmlns:m="http://schemas.openxmlformats.org/officeDocument/2006/math">
        <m:r>
          <w:rPr>
            <w:rFonts w:ascii="Cambria Math" w:hAnsi="Cambria Math"/>
          </w:rPr>
          <m:t xml:space="preserve">argmax</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n</m:t>
        </m:r>
        <m:r>
          <w:rPr>
            <w:rFonts w:ascii="Cambria Math" w:hAnsi="Cambria Math"/>
          </w:rPr>
          <m:t xml:space="preserve">)</m:t>
        </m:r>
      </m:oMath>
      <w:r>
        <w:rPr>
          <w:rFonts w:eastAsia="Arial" w:cs="Arial" w:ascii="Arial" w:hAnsi="Arial"/>
          <w:sz w:val="24"/>
          <w:szCs w:val="24"/>
        </w:rPr>
        <w:t xml:space="preserve">equivale a muestrear una fila con probabilidad </w:t>
      </w:r>
      <w:r>
        <w:rPr>
          <w:rFonts w:ascii="Arial" w:hAnsi="Arial"/>
        </w:rPr>
      </w:r>
      <m:oMath xmlns:m="http://schemas.openxmlformats.org/officeDocument/2006/math">
        <m:r>
          <w:rPr>
            <w:rFonts w:ascii="Cambria Math" w:hAnsi="Cambria Math"/>
          </w:rPr>
          <m:t xml:space="preserve">softmax</m:t>
        </m:r>
        <m:r>
          <w:rPr>
            <w:rFonts w:ascii="Cambria Math" w:hAnsi="Cambria Math"/>
          </w:rPr>
          <m:t xml:space="preserve">(</m:t>
        </m:r>
        <m:r>
          <w:rPr>
            <w:rFonts w:ascii="Cambria Math" w:hAnsi="Cambria Math"/>
          </w:rPr>
          <m:t xml:space="preserve">l</m:t>
        </m:r>
        <m:r>
          <w:rPr>
            <w:rFonts w:ascii="Cambria Math" w:hAnsi="Cambria Math"/>
          </w:rPr>
          <m:t xml:space="preserve">)</m:t>
        </m:r>
      </m:oMath>
      <w:r>
        <w:rPr>
          <w:rFonts w:eastAsia="Arial" w:cs="Arial" w:ascii="Arial" w:hAnsi="Arial"/>
          <w:sz w:val="24"/>
          <w:szCs w:val="24"/>
        </w:rPr>
        <w:t>, introduciendo la exploración necesaria durante el entrenamiento. Para permitir la propagación del gradiente se define:</w:t>
      </w:r>
    </w:p>
    <w:p>
      <w:pPr>
        <w:pStyle w:val="normal1"/>
        <w:spacing w:lineRule="auto" w:line="240" w:before="240" w:after="240"/>
        <w:jc w:val="center"/>
        <w:rPr>
          <w:rFonts w:ascii="Arial" w:hAnsi="Arial"/>
        </w:rPr>
      </w:pPr>
      <w:r>
        <w:rPr>
          <w:rFonts w:ascii="Arial" w:hAnsi="Arial"/>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g</m:t>
              </m:r>
              <m:r>
                <w:rPr>
                  <w:rFonts w:ascii="Cambria Math" w:hAnsi="Cambria Math"/>
                </w:rPr>
                <m:t xml:space="preserve">,</m:t>
              </m:r>
              <m:r>
                <w:rPr>
                  <w:rFonts w:ascii="Cambria Math" w:hAnsi="Cambria Math"/>
                </w:rPr>
                <m:t xml:space="preserve">v</m:t>
              </m:r>
            </m:sub>
          </m:sSub>
          <m:r>
            <w:rPr>
              <w:rFonts w:ascii="Cambria Math" w:hAnsi="Cambria Math"/>
            </w:rPr>
            <m:t xml:space="preserve">=</m:t>
          </m:r>
          <m:f>
            <m:num>
              <m:r>
                <w:rPr>
                  <w:rFonts w:ascii="Cambria Math" w:hAnsi="Cambria Math"/>
                </w:rPr>
                <m:t xml:space="preserve">exp</m:t>
              </m:r>
              <m:r>
                <w:rPr>
                  <w:rFonts w:ascii="Cambria Math" w:hAnsi="Cambria Math"/>
                </w:rPr>
                <m:t xml:space="preserve">(</m:t>
              </m:r>
              <m:r>
                <w:rPr>
                  <w:rFonts w:ascii="Cambria Math" w:hAnsi="Cambria Math"/>
                </w:rPr>
                <m:t xml:space="preserve">(</m:t>
              </m:r>
              <m:sSub>
                <m:e>
                  <m:r>
                    <w:rPr>
                      <w:rFonts w:ascii="Cambria Math" w:hAnsi="Cambria Math"/>
                    </w:rPr>
                    <m:t xml:space="preserve">l</m:t>
                  </m:r>
                </m:e>
                <m:sub>
                  <m:r>
                    <w:rPr>
                      <w:rFonts w:ascii="Cambria Math" w:hAnsi="Cambria Math"/>
                    </w:rPr>
                    <m:t xml:space="preserve">g</m:t>
                  </m:r>
                  <m:r>
                    <w:rPr>
                      <w:rFonts w:ascii="Cambria Math" w:hAnsi="Cambria Math"/>
                    </w:rPr>
                    <m:t xml:space="preserve">,</m:t>
                  </m:r>
                  <m:r>
                    <w:rPr>
                      <w:rFonts w:ascii="Cambria Math" w:hAnsi="Cambria Math"/>
                    </w:rPr>
                    <m:t xml:space="preserve">v</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v</m:t>
                  </m:r>
                </m:sub>
              </m:sSub>
              <m:f>
                <m:fPr>
                  <m:type m:val="lin"/>
                </m:fPr>
                <m:num>
                  <m:r>
                    <w:rPr>
                      <w:rFonts w:ascii="Cambria Math" w:hAnsi="Cambria Math"/>
                    </w:rPr>
                    <m:t xml:space="preserve">)</m:t>
                  </m:r>
                </m:num>
                <m:den>
                  <m:r>
                    <w:rPr>
                      <w:rFonts w:ascii="Cambria Math" w:hAnsi="Cambria Math"/>
                    </w:rPr>
                    <m:t xml:space="preserve">τ</m:t>
                  </m:r>
                </m:den>
              </m:f>
              <m:r>
                <w:rPr>
                  <w:rFonts w:ascii="Cambria Math" w:hAnsi="Cambria Math"/>
                </w:rPr>
                <m:t xml:space="preserve">)</m:t>
              </m:r>
            </m:num>
            <m:den>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V</m:t>
                  </m:r>
                </m:sup>
                <m:e>
                  <m:r>
                    <w:rPr>
                      <w:rFonts w:ascii="Cambria Math" w:hAnsi="Cambria Math"/>
                    </w:rPr>
                    <m:t xml:space="preserve">exp</m:t>
                  </m:r>
                  <m:r>
                    <w:rPr>
                      <w:rFonts w:ascii="Cambria Math" w:hAnsi="Cambria Math"/>
                    </w:rPr>
                    <m:t xml:space="preserve">(</m:t>
                  </m:r>
                  <m:r>
                    <w:rPr>
                      <w:rFonts w:ascii="Cambria Math" w:hAnsi="Cambria Math"/>
                    </w:rPr>
                    <m:t xml:space="preserve">(</m:t>
                  </m:r>
                  <m:sSub>
                    <m:e>
                      <m:r>
                        <w:rPr>
                          <w:rFonts w:ascii="Cambria Math" w:hAnsi="Cambria Math"/>
                        </w:rPr>
                        <m:t xml:space="preserve">l</m:t>
                      </m:r>
                    </m:e>
                    <m:sub>
                      <m:r>
                        <w:rPr>
                          <w:rFonts w:ascii="Cambria Math" w:hAnsi="Cambria Math"/>
                        </w:rPr>
                        <m:t xml:space="preserve">g</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f>
                    <m:fPr>
                      <m:type m:val="lin"/>
                    </m:fPr>
                    <m:num>
                      <m:r>
                        <w:rPr>
                          <w:rFonts w:ascii="Cambria Math" w:hAnsi="Cambria Math"/>
                        </w:rPr>
                        <m:t xml:space="preserve">)</m:t>
                      </m:r>
                    </m:num>
                    <m:den>
                      <m:r>
                        <w:rPr>
                          <w:rFonts w:ascii="Cambria Math" w:hAnsi="Cambria Math"/>
                        </w:rPr>
                        <m:t xml:space="preserve">τ</m:t>
                      </m:r>
                    </m:den>
                  </m:f>
                  <m:r>
                    <w:rPr>
                      <w:rFonts w:ascii="Cambria Math" w:hAnsi="Cambria Math"/>
                    </w:rPr>
                    <m:t xml:space="preserve">)</m:t>
                  </m:r>
                </m:e>
              </m:nary>
            </m:den>
          </m:f>
        </m:oMath>
      </m:oMathPara>
    </w:p>
    <w:p>
      <w:pPr>
        <w:pStyle w:val="normal1"/>
        <w:spacing w:lineRule="auto" w:line="240" w:before="240" w:after="240"/>
        <w:jc w:val="both"/>
        <w:rPr>
          <w:rFonts w:ascii="Arial" w:hAnsi="Arial"/>
        </w:rPr>
      </w:pPr>
      <w:r>
        <w:rPr>
          <w:rFonts w:eastAsia="Arial" w:cs="Arial" w:ascii="Arial" w:hAnsi="Arial"/>
          <w:sz w:val="24"/>
          <w:szCs w:val="24"/>
        </w:rPr>
        <w:t xml:space="preserve">En el </w:t>
      </w:r>
      <w:r>
        <w:rPr>
          <w:rFonts w:eastAsia="Arial" w:cs="Arial" w:ascii="Arial" w:hAnsi="Arial"/>
          <w:i/>
          <w:iCs/>
          <w:sz w:val="24"/>
          <w:szCs w:val="24"/>
        </w:rPr>
        <w:t>forward</w:t>
      </w:r>
      <w:r>
        <w:rPr>
          <w:rFonts w:eastAsia="Arial" w:cs="Arial" w:ascii="Arial" w:hAnsi="Arial"/>
          <w:sz w:val="24"/>
          <w:szCs w:val="24"/>
        </w:rPr>
        <w:t xml:space="preserve"> se toma el </w:t>
      </w:r>
      <w:r>
        <w:rPr>
          <w:rFonts w:eastAsia="Arial" w:cs="Arial" w:ascii="Arial" w:hAnsi="Arial"/>
          <w:i/>
          <w:iCs/>
          <w:sz w:val="24"/>
          <w:szCs w:val="24"/>
        </w:rPr>
        <w:t>argmax</w:t>
      </w:r>
      <w:r>
        <w:rPr>
          <w:rFonts w:eastAsia="Arial" w:cs="Arial" w:ascii="Arial" w:hAnsi="Arial"/>
          <w:sz w:val="24"/>
          <w:szCs w:val="24"/>
        </w:rPr>
        <w:t xml:space="preserve"> de esta distribución (selección dura, tipo </w:t>
      </w:r>
      <w:r>
        <w:rPr>
          <w:rFonts w:eastAsia="Arial" w:cs="Arial" w:ascii="Arial" w:hAnsi="Arial"/>
          <w:i/>
          <w:iCs/>
          <w:sz w:val="24"/>
          <w:szCs w:val="24"/>
        </w:rPr>
        <w:t>one-hot</w:t>
      </w:r>
      <w:r>
        <w:rPr>
          <w:rFonts w:eastAsia="Arial" w:cs="Arial" w:ascii="Arial" w:hAnsi="Arial"/>
          <w:sz w:val="24"/>
          <w:szCs w:val="24"/>
        </w:rPr>
        <w:t xml:space="preserve">, que ignora </w:t>
      </w:r>
      <w:r>
        <w:rPr>
          <w:rFonts w:ascii="Arial" w:hAnsi="Arial"/>
        </w:rPr>
      </w:r>
      <m:oMath xmlns:m="http://schemas.openxmlformats.org/officeDocument/2006/math">
        <m:r>
          <w:rPr>
            <w:rFonts w:ascii="Cambria Math" w:hAnsi="Cambria Math"/>
          </w:rPr>
          <m:t xml:space="preserve">τ</m:t>
        </m:r>
      </m:oMath>
      <w:r>
        <w:rPr>
          <w:rFonts w:eastAsia="Arial" w:cs="Arial" w:ascii="Arial" w:hAnsi="Arial"/>
          <w:sz w:val="24"/>
          <w:szCs w:val="24"/>
        </w:rPr>
        <w:t xml:space="preserve">); en el </w:t>
      </w:r>
      <w:r>
        <w:rPr>
          <w:rFonts w:eastAsia="Arial" w:cs="Arial" w:ascii="Arial" w:hAnsi="Arial"/>
          <w:i/>
          <w:iCs/>
          <w:sz w:val="24"/>
          <w:szCs w:val="24"/>
        </w:rPr>
        <w:t>backward</w:t>
      </w:r>
      <w:r>
        <w:rPr>
          <w:rFonts w:eastAsia="Arial" w:cs="Arial" w:ascii="Arial" w:hAnsi="Arial"/>
          <w:sz w:val="24"/>
          <w:szCs w:val="24"/>
        </w:rPr>
        <w:t xml:space="preserve"> se emplea el gradiente del </w:t>
      </w:r>
      <w:r>
        <w:rPr>
          <w:rFonts w:eastAsia="Arial" w:cs="Arial" w:ascii="Arial" w:hAnsi="Arial"/>
          <w:i/>
          <w:iCs/>
          <w:sz w:val="24"/>
          <w:szCs w:val="24"/>
        </w:rPr>
        <w:t>softmax</w:t>
      </w:r>
      <w:r>
        <w:rPr>
          <w:rFonts w:eastAsia="Arial" w:cs="Arial" w:ascii="Arial" w:hAnsi="Arial"/>
          <w:sz w:val="24"/>
          <w:szCs w:val="24"/>
        </w:rPr>
        <w:t xml:space="preserve"> completo, suave y diferenciable, con una temperatura </w:t>
      </w:r>
      <w:r>
        <w:rPr>
          <w:rFonts w:ascii="Arial" w:hAnsi="Arial"/>
        </w:rPr>
      </w:r>
      <m:oMath xmlns:m="http://schemas.openxmlformats.org/officeDocument/2006/math">
        <m:r>
          <w:rPr>
            <w:rFonts w:ascii="Cambria Math" w:hAnsi="Cambria Math"/>
          </w:rPr>
          <m:t xml:space="preserve">τ</m:t>
        </m:r>
      </m:oMath>
      <w:r>
        <w:rPr>
          <w:rFonts w:eastAsia="Arial" w:cs="Arial" w:ascii="Arial" w:hAnsi="Arial"/>
          <w:sz w:val="24"/>
          <w:szCs w:val="24"/>
        </w:rPr>
        <w:t xml:space="preserve"> positiva que decrece gradualmente durante el entrenamiento (de ~2 a ~0.5, sin llegar nunca a 0). </w:t>
      </w:r>
    </w:p>
    <w:p>
      <w:pPr>
        <w:pStyle w:val="normal1"/>
        <w:spacing w:lineRule="auto" w:line="240" w:before="240" w:after="240"/>
        <w:jc w:val="both"/>
        <w:rPr>
          <w:rFonts w:ascii="Arial" w:hAnsi="Arial"/>
        </w:rPr>
      </w:pPr>
      <w:r>
        <w:rPr>
          <w:rFonts w:eastAsia="Arial" w:cs="Arial" w:ascii="Arial" w:hAnsi="Arial"/>
          <w:sz w:val="24"/>
          <w:szCs w:val="24"/>
        </w:rPr>
        <w:t xml:space="preserve">El modelo se entrena mediante dos pérdidas combinadas. La pérdida contrastiva </w:t>
      </w:r>
      <w:r>
        <w:rPr>
          <w:rFonts w:ascii="Arial" w:hAnsi="Arial"/>
        </w:rPr>
      </w:r>
      <m:oMath xmlns:m="http://schemas.openxmlformats.org/officeDocument/2006/math">
        <m:sSub>
          <m:e>
            <m:r>
              <w:rPr>
                <w:rFonts w:ascii="Cambria Math" w:hAnsi="Cambria Math"/>
              </w:rPr>
              <m:t xml:space="preserve">ℒ</m:t>
            </m:r>
          </m:e>
          <m:sub>
            <m:r>
              <w:rPr>
                <w:rFonts w:ascii="Cambria Math" w:hAnsi="Cambria Math"/>
              </w:rPr>
              <m:t xml:space="preserve">m</m:t>
            </m:r>
          </m:sub>
        </m:sSub>
      </m:oMath>
      <w:r>
        <w:rPr>
          <w:rFonts w:eastAsia="Arial" w:cs="Arial" w:ascii="Arial" w:hAnsi="Arial"/>
          <w:sz w:val="24"/>
          <w:szCs w:val="24"/>
        </w:rPr>
        <w:t xml:space="preserve"> evalúa, en cada posición enmascarada, si </w:t>
      </w:r>
      <w:r>
        <w:rPr>
          <w:rFonts w:ascii="Arial" w:hAnsi="Arial"/>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eastAsia="Arial" w:cs="Arial" w:ascii="Arial" w:hAnsi="Arial"/>
          <w:sz w:val="24"/>
          <w:szCs w:val="24"/>
        </w:rPr>
        <w:t xml:space="preserve"> permite distinguir su versión cuantizada verdadera </w:t>
      </w:r>
      <w:r>
        <w:rPr>
          <w:rFonts w:ascii="Arial" w:hAnsi="Arial"/>
        </w:rPr>
      </w:r>
      <m:oMath xmlns:m="http://schemas.openxmlformats.org/officeDocument/2006/math">
        <m:sSub>
          <m:e>
            <m:r>
              <w:rPr>
                <w:rFonts w:ascii="Cambria Math" w:hAnsi="Cambria Math"/>
              </w:rPr>
              <m:t xml:space="preserve">q</m:t>
            </m:r>
          </m:e>
          <m:sub>
            <m:r>
              <w:rPr>
                <w:rFonts w:ascii="Cambria Math" w:hAnsi="Cambria Math"/>
              </w:rPr>
              <m:t xml:space="preserve">t</m:t>
            </m:r>
          </m:sub>
        </m:sSub>
      </m:oMath>
      <w:r>
        <w:rPr>
          <w:rFonts w:eastAsia="Arial" w:cs="Arial" w:ascii="Arial" w:hAnsi="Arial"/>
          <w:sz w:val="24"/>
          <w:szCs w:val="24"/>
        </w:rPr>
        <w:t xml:space="preserve">​ frente a un conjunto de distractores </w:t>
      </w:r>
      <w:r>
        <w:rPr>
          <w:rFonts w:ascii="Arial" w:hAnsi="Arial"/>
        </w:rPr>
      </w:r>
      <m:oMath xmlns:m="http://schemas.openxmlformats.org/officeDocument/2006/math">
        <m:sSub>
          <m:e>
            <m:r>
              <w:rPr>
                <w:rFonts w:ascii="Cambria Math" w:hAnsi="Cambria Math"/>
              </w:rPr>
              <m:t xml:space="preserve">Q</m:t>
            </m:r>
          </m:e>
          <m:sub>
            <m:r>
              <w:rPr>
                <w:rFonts w:ascii="Cambria Math" w:hAnsi="Cambria Math"/>
              </w:rPr>
              <m:t xml:space="preserve">t</m:t>
            </m:r>
          </m:sub>
        </m:sSub>
      </m:oMath>
      <w:r>
        <w:rPr>
          <w:rFonts w:eastAsia="Arial" w:cs="Arial" w:ascii="Arial" w:hAnsi="Arial"/>
          <w:sz w:val="24"/>
          <w:szCs w:val="24"/>
        </w:rPr>
        <w:t xml:space="preserve">​ (otros </w:t>
      </w:r>
      <w:r>
        <w:rPr>
          <w:rFonts w:ascii="Arial" w:hAnsi="Arial"/>
        </w:rPr>
      </w:r>
      <m:oMath xmlns:m="http://schemas.openxmlformats.org/officeDocument/2006/math">
        <m:r>
          <w:rPr>
            <w:rFonts w:ascii="Cambria Math" w:hAnsi="Cambria Math"/>
          </w:rPr>
          <m:t xml:space="preserve">q</m:t>
        </m:r>
      </m:oMath>
      <w:r>
        <w:rPr>
          <w:rFonts w:eastAsia="Arial" w:cs="Arial" w:ascii="Arial" w:hAnsi="Arial"/>
          <w:sz w:val="24"/>
          <w:szCs w:val="24"/>
        </w:rPr>
        <w:t xml:space="preserve">muestreados de otras posiciones enmascaradas del mismo audio), mediante similitud coseno escalada por una temperatura </w:t>
      </w:r>
      <w:r>
        <w:rPr>
          <w:rFonts w:ascii="Arial" w:hAnsi="Arial"/>
        </w:rPr>
      </w:r>
      <m:oMath xmlns:m="http://schemas.openxmlformats.org/officeDocument/2006/math">
        <m:r>
          <w:rPr>
            <w:rFonts w:ascii="Cambria Math" w:hAnsi="Cambria Math"/>
          </w:rPr>
          <m:t xml:space="preserve">κ</m:t>
        </m:r>
      </m:oMath>
      <w:r>
        <w:rPr>
          <w:rFonts w:eastAsia="Arial" w:cs="Arial" w:ascii="Arial" w:hAnsi="Arial"/>
          <w:sz w:val="24"/>
          <w:szCs w:val="24"/>
        </w:rPr>
        <w:t>:</w:t>
      </w:r>
    </w:p>
    <w:p>
      <w:pPr>
        <w:pStyle w:val="normal1"/>
        <w:spacing w:lineRule="auto" w:line="240" w:before="240" w:after="240"/>
        <w:jc w:val="center"/>
        <w:rPr>
          <w:rFonts w:ascii="Arial" w:hAnsi="Arial"/>
        </w:rPr>
      </w:pPr>
      <w:r>
        <w:rPr>
          <w:rFonts w:ascii="Arial" w:hAnsi="Arial"/>
        </w:rPr>
      </w:r>
      <m:oMath xmlns:m="http://schemas.openxmlformats.org/officeDocument/2006/math">
        <m:sSub>
          <m:e>
            <m:r>
              <w:rPr>
                <w:rFonts w:ascii="Cambria Math" w:hAnsi="Cambria Math"/>
              </w:rPr>
              <m:t xml:space="preserve">ℒ</m:t>
            </m:r>
          </m:e>
          <m:sub>
            <m:r>
              <w:rPr>
                <w:rFonts w:ascii="Cambria Math" w:hAnsi="Cambria Math"/>
              </w:rPr>
              <m:t xml:space="preserve">m</m:t>
            </m:r>
          </m:sub>
        </m:sSub>
        <m:r>
          <w:rPr>
            <w:rFonts w:ascii="Cambria Math" w:hAnsi="Cambria Math"/>
          </w:rPr>
          <m:t xml:space="preserve">=</m:t>
        </m:r>
        <m:r>
          <w:rPr>
            <w:rFonts w:ascii="Cambria Math" w:hAnsi="Cambria Math"/>
          </w:rPr>
          <m:t xml:space="preserve">−</m:t>
        </m:r>
        <m:r>
          <w:rPr>
            <w:rFonts w:ascii="Cambria Math" w:hAnsi="Cambria Math"/>
          </w:rPr>
          <m:t xml:space="preserve">log</m:t>
        </m:r>
        <m:f>
          <m:num>
            <m:r>
              <w:rPr>
                <w:rFonts w:ascii="Cambria Math" w:hAnsi="Cambria Math"/>
              </w:rPr>
              <m:t xml:space="preserve">exp</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f>
              <m:fPr>
                <m:type m:val="lin"/>
              </m:fPr>
              <m:num>
                <m:r>
                  <w:rPr>
                    <w:rFonts w:ascii="Cambria Math" w:hAnsi="Cambria Math"/>
                  </w:rPr>
                  <m:t xml:space="preserve">)</m:t>
                </m:r>
              </m:num>
              <m:den>
                <m:r>
                  <w:rPr>
                    <w:rFonts w:ascii="Cambria Math" w:hAnsi="Cambria Math"/>
                  </w:rPr>
                  <m:t xml:space="preserve">κ</m:t>
                </m:r>
              </m:den>
            </m:f>
            <m:r>
              <w:rPr>
                <w:rFonts w:ascii="Cambria Math" w:hAnsi="Cambria Math"/>
              </w:rPr>
              <m:t xml:space="preserve">)</m:t>
            </m:r>
          </m:num>
          <m:den>
            <m:nary>
              <m:naryPr>
                <m:chr m:val="∑"/>
              </m:naryPr>
              <m:sub>
                <m:acc>
                  <m:accPr>
                    <m:chr m:val="~"/>
                  </m:accPr>
                  <m:e>
                    <m:r>
                      <w:rPr>
                        <w:rFonts w:ascii="Cambria Math" w:hAnsi="Cambria Math"/>
                      </w:rPr>
                      <m:t xml:space="preserve">p</m:t>
                    </m:r>
                  </m:e>
                </m:acc>
                <m:r>
                  <w:rPr>
                    <w:rFonts w:ascii="Cambria Math" w:hAnsi="Cambria Math"/>
                  </w:rPr>
                  <m:t xml:space="preserve">∈</m:t>
                </m:r>
                <m:r>
                  <w:rPr>
                    <w:rFonts w:ascii="Cambria Math" w:hAnsi="Cambria Math"/>
                  </w:rPr>
                  <m:t xml:space="preserve">Qt</m:t>
                </m:r>
              </m:sub>
              <m:sup/>
              <m:e>
                <m:r>
                  <w:rPr>
                    <w:rFonts w:ascii="Cambria Math" w:hAnsi="Cambria Math"/>
                  </w:rPr>
                  <m:t xml:space="preserve">exp</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acc>
                  <m:accPr>
                    <m:chr m:val="~"/>
                  </m:accPr>
                  <m:e>
                    <m:r>
                      <w:rPr>
                        <w:rFonts w:ascii="Cambria Math" w:hAnsi="Cambria Math"/>
                      </w:rPr>
                      <m:t xml:space="preserve">q</m:t>
                    </m:r>
                  </m:e>
                </m:acc>
                <m:f>
                  <m:fPr>
                    <m:type m:val="lin"/>
                  </m:fPr>
                  <m:num>
                    <m:r>
                      <w:rPr>
                        <w:rFonts w:ascii="Cambria Math" w:hAnsi="Cambria Math"/>
                      </w:rPr>
                      <m:t xml:space="preserve">)</m:t>
                    </m:r>
                  </m:num>
                  <m:den>
                    <m:r>
                      <w:rPr>
                        <w:rFonts w:ascii="Cambria Math" w:hAnsi="Cambria Math"/>
                      </w:rPr>
                      <m:t xml:space="preserve">κ</m:t>
                    </m:r>
                  </m:den>
                </m:f>
                <m:r>
                  <w:rPr>
                    <w:rFonts w:ascii="Cambria Math" w:hAnsi="Cambria Math"/>
                  </w:rPr>
                  <m:t xml:space="preserve">)</m:t>
                </m:r>
              </m:e>
            </m:nary>
          </m:den>
        </m:f>
      </m:oMath>
      <w:r>
        <w:rPr>
          <w:rFonts w:eastAsia="Arial" w:cs="Arial" w:ascii="Arial" w:hAnsi="Arial"/>
          <w:sz w:val="24"/>
          <w:szCs w:val="24"/>
        </w:rPr>
        <w:t xml:space="preserve"> </w:t>
      </w:r>
    </w:p>
    <w:p>
      <w:pPr>
        <w:pStyle w:val="normal1"/>
        <w:spacing w:lineRule="auto" w:line="240" w:before="240" w:after="240"/>
        <w:jc w:val="both"/>
        <w:rPr>
          <w:rFonts w:ascii="Arial" w:hAnsi="Arial"/>
        </w:rPr>
      </w:pPr>
      <w:r>
        <w:rPr>
          <w:rFonts w:eastAsia="Arial" w:cs="Arial" w:ascii="Arial" w:hAnsi="Arial"/>
          <w:sz w:val="24"/>
          <w:szCs w:val="24"/>
        </w:rPr>
        <w:t xml:space="preserve">Una pérdida de diversidad </w:t>
      </w:r>
      <w:r>
        <w:rPr>
          <w:rFonts w:ascii="Arial" w:hAnsi="Arial"/>
        </w:rPr>
      </w:r>
      <m:oMath xmlns:m="http://schemas.openxmlformats.org/officeDocument/2006/math">
        <m:sSub>
          <m:e>
            <m:r>
              <w:rPr>
                <w:rFonts w:ascii="Cambria Math" w:hAnsi="Cambria Math"/>
              </w:rPr>
              <m:t xml:space="preserve">ℒ</m:t>
            </m:r>
          </m:e>
          <m:sub>
            <m:r>
              <w:rPr>
                <w:rFonts w:ascii="Cambria Math" w:hAnsi="Cambria Math"/>
              </w:rPr>
              <m:t xml:space="preserve">d</m:t>
            </m:r>
          </m:sub>
        </m:sSub>
      </m:oMath>
      <w:r>
        <w:rPr>
          <w:rFonts w:eastAsia="Arial" w:cs="Arial" w:ascii="Arial" w:hAnsi="Arial"/>
          <w:sz w:val="24"/>
          <w:szCs w:val="24"/>
        </w:rPr>
        <w:t xml:space="preserve"> evita que el cuantizador colapse en el uso repetido de solo unas pocas filas de cada </w:t>
      </w:r>
      <w:r>
        <w:rPr>
          <w:rFonts w:eastAsia="Arial" w:cs="Arial" w:ascii="Arial" w:hAnsi="Arial"/>
          <w:i/>
          <w:iCs/>
          <w:sz w:val="24"/>
          <w:szCs w:val="24"/>
        </w:rPr>
        <w:t>codebook</w:t>
      </w:r>
      <w:r>
        <w:rPr>
          <w:rFonts w:eastAsia="Arial" w:cs="Arial" w:ascii="Arial" w:hAnsi="Arial"/>
          <w:sz w:val="24"/>
          <w:szCs w:val="24"/>
        </w:rPr>
        <w:t xml:space="preserve">, maximizando la entropía del uso promedio a lo largo del </w:t>
      </w:r>
      <w:r>
        <w:rPr>
          <w:rFonts w:eastAsia="Arial" w:cs="Arial" w:ascii="Arial" w:hAnsi="Arial"/>
          <w:i/>
          <w:iCs/>
          <w:sz w:val="24"/>
          <w:szCs w:val="24"/>
        </w:rPr>
        <w:t>batch</w:t>
      </w:r>
      <w:r>
        <w:rPr>
          <w:rFonts w:eastAsia="Arial" w:cs="Arial" w:ascii="Arial" w:hAnsi="Arial"/>
          <w:sz w:val="24"/>
          <w:szCs w:val="24"/>
        </w:rPr>
        <w:t xml:space="preserve">: </w:t>
      </w:r>
    </w:p>
    <w:p>
      <w:pPr>
        <w:pStyle w:val="normal1"/>
        <w:spacing w:lineRule="auto" w:line="240" w:before="240" w:after="240"/>
        <w:jc w:val="center"/>
        <w:rPr>
          <w:rFonts w:ascii="Arial" w:hAnsi="Arial"/>
        </w:rPr>
      </w:pPr>
      <w:r>
        <w:rPr>
          <w:rFonts w:ascii="Arial" w:hAnsi="Arial"/>
        </w:rPr>
      </w:r>
      <m:oMathPara xmlns:m="http://schemas.openxmlformats.org/officeDocument/2006/math">
        <m:oMathParaPr>
          <m:jc m:val="center"/>
        </m:oMathParaPr>
        <m:oMath>
          <m:sSub>
            <m:e>
              <m:r>
                <w:rPr>
                  <w:rFonts w:ascii="Cambria Math" w:hAnsi="Cambria Math"/>
                </w:rPr>
                <m:t xml:space="preserve">ℒ</m:t>
              </m:r>
            </m:e>
            <m:sub>
              <m:r>
                <w:rPr>
                  <w:rFonts w:ascii="Cambria Math" w:hAnsi="Cambria Math"/>
                </w:rPr>
                <m:t xml:space="preserve">d</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GV</m:t>
              </m:r>
            </m:den>
          </m:f>
          <m:nary>
            <m:naryPr>
              <m:chr m:val="∑"/>
            </m:naryPr>
            <m:sub>
              <m:r>
                <w:rPr>
                  <w:rFonts w:ascii="Cambria Math" w:hAnsi="Cambria Math"/>
                </w:rPr>
                <m:t xml:space="preserve">g</m:t>
              </m:r>
              <m:r>
                <w:rPr>
                  <w:rFonts w:ascii="Cambria Math" w:hAnsi="Cambria Math"/>
                </w:rPr>
                <m:t xml:space="preserve">=</m:t>
              </m:r>
              <m:r>
                <w:rPr>
                  <w:rFonts w:ascii="Cambria Math" w:hAnsi="Cambria Math"/>
                </w:rPr>
                <m:t xml:space="preserve">1</m:t>
              </m:r>
            </m:sub>
            <m:sup>
              <m:r>
                <w:rPr>
                  <w:rFonts w:ascii="Cambria Math" w:hAnsi="Cambria Math"/>
                </w:rPr>
                <m:t xml:space="preserve">G</m:t>
              </m:r>
            </m:sup>
            <m:e>
              <m:nary>
                <m:naryPr>
                  <m:chr m:val="∑"/>
                </m:naryPr>
                <m:sub>
                  <m:r>
                    <w:rPr>
                      <w:rFonts w:ascii="Cambria Math" w:hAnsi="Cambria Math"/>
                    </w:rPr>
                    <m:t xml:space="preserve">v</m:t>
                  </m:r>
                  <m:r>
                    <w:rPr>
                      <w:rFonts w:ascii="Cambria Math" w:hAnsi="Cambria Math"/>
                    </w:rPr>
                    <m:t xml:space="preserve">=</m:t>
                  </m:r>
                  <m:r>
                    <w:rPr>
                      <w:rFonts w:ascii="Cambria Math" w:hAnsi="Cambria Math"/>
                    </w:rPr>
                    <m:t xml:space="preserve">1</m:t>
                  </m:r>
                </m:sub>
                <m:sup>
                  <m:r>
                    <w:rPr>
                      <w:rFonts w:ascii="Cambria Math" w:hAnsi="Cambria Math"/>
                    </w:rPr>
                    <m:t xml:space="preserve">V</m:t>
                  </m:r>
                </m:sup>
                <m:e>
                  <m:sSub>
                    <m:e>
                      <m:acc>
                        <m:accPr>
                          <m:chr m:val="¯"/>
                        </m:accPr>
                        <m:e>
                          <m:r>
                            <w:rPr>
                              <w:rFonts w:ascii="Cambria Math" w:hAnsi="Cambria Math"/>
                            </w:rPr>
                            <m:t xml:space="preserve">p</m:t>
                          </m:r>
                        </m:e>
                      </m:acc>
                    </m:e>
                    <m:sub>
                      <m:r>
                        <w:rPr>
                          <w:rFonts w:ascii="Cambria Math" w:hAnsi="Cambria Math"/>
                        </w:rPr>
                        <m:t xml:space="preserve">g</m:t>
                      </m:r>
                      <m:r>
                        <w:rPr>
                          <w:rFonts w:ascii="Cambria Math" w:hAnsi="Cambria Math"/>
                        </w:rPr>
                        <m:t xml:space="preserve">,</m:t>
                      </m:r>
                      <m:r>
                        <w:rPr>
                          <w:rFonts w:ascii="Cambria Math" w:hAnsi="Cambria Math"/>
                        </w:rPr>
                        <m:t xml:space="preserve">v</m:t>
                      </m:r>
                    </m:sub>
                  </m:sSub>
                  <m:r>
                    <w:rPr>
                      <w:rFonts w:ascii="Cambria Math" w:hAnsi="Cambria Math"/>
                    </w:rPr>
                    <m:t xml:space="preserve">log</m:t>
                  </m:r>
                  <m:sSub>
                    <m:e>
                      <m:acc>
                        <m:accPr>
                          <m:chr m:val="¯"/>
                        </m:accPr>
                        <m:e>
                          <m:r>
                            <w:rPr>
                              <w:rFonts w:ascii="Cambria Math" w:hAnsi="Cambria Math"/>
                            </w:rPr>
                            <m:t xml:space="preserve">p</m:t>
                          </m:r>
                        </m:e>
                      </m:acc>
                    </m:e>
                    <m:sub>
                      <m:r>
                        <w:rPr>
                          <w:rFonts w:ascii="Cambria Math" w:hAnsi="Cambria Math"/>
                        </w:rPr>
                        <m:t xml:space="preserve">g</m:t>
                      </m:r>
                      <m:r>
                        <w:rPr>
                          <w:rFonts w:ascii="Cambria Math" w:hAnsi="Cambria Math"/>
                        </w:rPr>
                        <m:t xml:space="preserve">,</m:t>
                      </m:r>
                      <m:r>
                        <w:rPr>
                          <w:rFonts w:ascii="Cambria Math" w:hAnsi="Cambria Math"/>
                        </w:rPr>
                        <m:t xml:space="preserve">v</m:t>
                      </m:r>
                    </m:sub>
                  </m:sSub>
                </m:e>
              </m:nary>
            </m:e>
          </m:nary>
        </m:oMath>
      </m:oMathPara>
    </w:p>
    <w:p>
      <w:pPr>
        <w:pStyle w:val="normal1"/>
        <w:spacing w:lineRule="auto" w:line="240" w:before="240" w:after="240"/>
        <w:jc w:val="left"/>
        <w:rPr>
          <w:rFonts w:ascii="Arial" w:hAnsi="Arial"/>
        </w:rPr>
      </w:pPr>
      <w:r>
        <w:rPr>
          <w:rFonts w:eastAsia="Arial" w:cs="Arial" w:ascii="Arial" w:hAnsi="Arial"/>
          <w:sz w:val="24"/>
          <w:szCs w:val="24"/>
        </w:rPr>
        <w:t xml:space="preserve">Donde </w:t>
      </w:r>
      <w:r>
        <w:rPr>
          <w:rFonts w:ascii="Arial" w:hAnsi="Arial"/>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g</m:t>
            </m:r>
          </m:sub>
        </m:sSub>
      </m:oMath>
      <w:r>
        <w:rPr>
          <w:rFonts w:eastAsia="Arial" w:cs="Arial" w:ascii="Arial" w:hAnsi="Arial"/>
          <w:sz w:val="24"/>
          <w:szCs w:val="24"/>
        </w:rPr>
        <w:t xml:space="preserve"> es la probabilidad de selección de cada fila, promediada sobre los fotogramas del batch (con un </w:t>
      </w:r>
      <w:r>
        <w:rPr>
          <w:rFonts w:eastAsia="Arial" w:cs="Arial" w:ascii="Arial" w:hAnsi="Arial"/>
          <w:i/>
          <w:iCs/>
          <w:sz w:val="24"/>
          <w:szCs w:val="24"/>
        </w:rPr>
        <w:t>softmax</w:t>
      </w:r>
      <w:r>
        <w:rPr>
          <w:rFonts w:eastAsia="Arial" w:cs="Arial" w:ascii="Arial" w:hAnsi="Arial"/>
          <w:sz w:val="24"/>
          <w:szCs w:val="24"/>
        </w:rPr>
        <w:t xml:space="preserve"> plano, sin ruido ni temperatura). El objetivo total combina ambas pérdidas </w:t>
      </w:r>
      <w:r>
        <w:rPr>
          <w:rFonts w:ascii="Arial" w:hAnsi="Arial"/>
        </w:rPr>
      </w:r>
      <m:oMath xmlns:m="http://schemas.openxmlformats.org/officeDocument/2006/math">
        <m:r>
          <w:rPr>
            <w:rFonts w:ascii="Cambria Math" w:hAnsi="Cambria Math"/>
          </w:rPr>
          <m:t xml:space="preserve">ℒ</m:t>
        </m:r>
        <m:r>
          <w:rPr>
            <w:rFonts w:ascii="Cambria Math" w:hAnsi="Cambria Math"/>
          </w:rPr>
          <m:t xml:space="preserve">=</m:t>
        </m:r>
        <m:sSub>
          <m:e>
            <m:r>
              <w:rPr>
                <w:rFonts w:ascii="Cambria Math" w:hAnsi="Cambria Math"/>
              </w:rPr>
              <m:t xml:space="preserve">ℒ</m:t>
            </m:r>
          </m:e>
          <m:sub>
            <m:r>
              <w:rPr>
                <w:rFonts w:ascii="Cambria Math" w:hAnsi="Cambria Math"/>
              </w:rPr>
              <m:t xml:space="preserve">m</m:t>
            </m:r>
          </m:sub>
        </m:sSub>
        <m:r>
          <w:rPr>
            <w:rFonts w:ascii="Cambria Math" w:hAnsi="Cambria Math"/>
          </w:rPr>
          <m:t xml:space="preserve">+</m:t>
        </m:r>
        <m:r>
          <w:rPr>
            <w:rFonts w:ascii="Cambria Math" w:hAnsi="Cambria Math"/>
          </w:rPr>
          <m:t xml:space="preserve">α</m:t>
        </m:r>
        <m:r>
          <w:rPr>
            <w:rFonts w:ascii="Cambria Math" w:hAnsi="Cambria Math"/>
          </w:rPr>
          <m:t xml:space="preserve">ℒd</m:t>
        </m:r>
      </m:oMath>
      <w:r>
        <w:rPr>
          <w:rFonts w:eastAsia="Arial" w:cs="Arial" w:ascii="Arial" w:hAnsi="Arial"/>
          <w:sz w:val="24"/>
          <w:szCs w:val="24"/>
        </w:rPr>
        <w:t xml:space="preserve">​, donde </w:t>
      </w:r>
      <w:r>
        <w:rPr>
          <w:rFonts w:ascii="Arial" w:hAnsi="Arial"/>
        </w:rPr>
      </w:r>
      <m:oMath xmlns:m="http://schemas.openxmlformats.org/officeDocument/2006/math">
        <m:r>
          <w:rPr>
            <w:rFonts w:ascii="Cambria Math" w:hAnsi="Cambria Math"/>
          </w:rPr>
          <m:t xml:space="preserve">α</m:t>
        </m:r>
      </m:oMath>
      <w:r>
        <w:rPr>
          <w:rFonts w:eastAsia="Arial" w:cs="Arial" w:ascii="Arial" w:hAnsi="Arial"/>
          <w:sz w:val="24"/>
          <w:szCs w:val="24"/>
        </w:rPr>
        <w:t xml:space="preserve"> regula el balance entre utilidad y diversidad de las unidades seleccionadas. </w:t>
      </w:r>
    </w:p>
    <w:p>
      <w:pPr>
        <w:pStyle w:val="normal1"/>
        <w:spacing w:lineRule="auto" w:line="240" w:before="240" w:after="240"/>
        <w:jc w:val="left"/>
        <w:rPr>
          <w:rFonts w:ascii="Arial" w:hAnsi="Arial"/>
        </w:rPr>
      </w:pPr>
      <w:r>
        <w:rPr>
          <w:rFonts w:eastAsia="Arial" w:cs="Arial" w:ascii="Arial" w:hAnsi="Arial"/>
          <w:b/>
          <w:bCs/>
          <w:sz w:val="24"/>
          <w:szCs w:val="24"/>
        </w:rPr>
        <w:t>Fine-tuning: adaptación a la tarea de clasificación</w:t>
      </w:r>
    </w:p>
    <w:p>
      <w:pPr>
        <w:pStyle w:val="normal1"/>
        <w:spacing w:lineRule="auto" w:line="240" w:before="240" w:after="240"/>
        <w:jc w:val="left"/>
        <w:rPr>
          <w:rFonts w:ascii="Arial" w:hAnsi="Arial"/>
        </w:rPr>
      </w:pPr>
      <w:r>
        <w:rPr>
          <w:rFonts w:eastAsia="Arial" w:cs="Arial" w:ascii="Arial" w:hAnsi="Arial"/>
          <w:sz w:val="24"/>
          <w:szCs w:val="24"/>
        </w:rPr>
        <w:t xml:space="preserve">Ajustar wav2vec 2.0 a la tarea AD/CTR implica reutilizar el modelo preventrenado, descartando el cuantizador (empleado solo en pre entrenamiento) y acoplando al Transformer una cabeza de clasificación nueva: una capa de </w:t>
      </w:r>
      <w:r>
        <w:rPr>
          <w:rFonts w:eastAsia="Arial" w:cs="Arial" w:ascii="Arial" w:hAnsi="Arial"/>
          <w:i/>
          <w:iCs/>
          <w:sz w:val="24"/>
          <w:szCs w:val="24"/>
        </w:rPr>
        <w:t>pooling</w:t>
      </w:r>
      <w:r>
        <w:rPr>
          <w:rFonts w:eastAsia="Arial" w:cs="Arial" w:ascii="Arial" w:hAnsi="Arial"/>
          <w:sz w:val="24"/>
          <w:szCs w:val="24"/>
        </w:rPr>
        <w:t xml:space="preserve"> que colapsa la secuencia de </w:t>
      </w:r>
      <w:r>
        <w:rPr>
          <w:rFonts w:ascii="Arial" w:hAnsi="Arial"/>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rFonts w:eastAsia="Arial" w:cs="Arial" w:ascii="Arial" w:hAnsi="Arial"/>
          <w:sz w:val="24"/>
          <w:szCs w:val="24"/>
        </w:rPr>
        <w:t xml:space="preserve">​ en un único vector por audio, seguida de una proyección lineal a dos clases. El </w:t>
      </w:r>
      <w:r>
        <w:rPr>
          <w:rFonts w:eastAsia="Arial" w:cs="Arial" w:ascii="Arial" w:hAnsi="Arial"/>
          <w:i/>
          <w:iCs/>
          <w:sz w:val="24"/>
          <w:szCs w:val="24"/>
        </w:rPr>
        <w:t>feature encoder</w:t>
      </w:r>
      <w:r>
        <w:rPr>
          <w:rFonts w:eastAsia="Arial" w:cs="Arial" w:ascii="Arial" w:hAnsi="Arial"/>
          <w:sz w:val="24"/>
          <w:szCs w:val="24"/>
        </w:rPr>
        <w:t xml:space="preserve"> permanece congelado en todas las configuraciones, dado que su función es genérica y no específica de la tarea. La pérdida cambia de la formulación contrastiva a una entropía cruzada estándar:</w:t>
      </w:r>
    </w:p>
    <w:p>
      <w:pPr>
        <w:pStyle w:val="normal1"/>
        <w:spacing w:lineRule="auto" w:line="240" w:before="240" w:after="240"/>
        <w:jc w:val="center"/>
        <w:rPr>
          <w:rFonts w:ascii="Arial" w:hAnsi="Arial"/>
        </w:rPr>
      </w:pPr>
      <w:r>
        <w:rPr>
          <w:rFonts w:eastAsia="Arial" w:cs="Arial" w:ascii="Arial" w:hAnsi="Arial"/>
          <w:sz w:val="24"/>
          <w:szCs w:val="24"/>
        </w:rPr>
        <w:t xml:space="preserve"> </w:t>
      </w:r>
      <w:r>
        <w:rPr>
          <w:rFonts w:ascii="Arial" w:hAnsi="Arial"/>
        </w:rPr>
      </w:r>
      <m:oMath xmlns:m="http://schemas.openxmlformats.org/officeDocument/2006/math">
        <m:sSub>
          <m:e>
            <m:r>
              <w:rPr>
                <w:rFonts w:ascii="Cambria Math" w:hAnsi="Cambria Math"/>
              </w:rPr>
              <m:t xml:space="preserve">ℒ</m:t>
            </m:r>
          </m:e>
          <m:sub>
            <m:r>
              <w:rPr>
                <w:rFonts w:ascii="Cambria Math" w:hAnsi="Cambria Math"/>
              </w:rPr>
              <m:t xml:space="preserve">CE</m:t>
            </m:r>
          </m:sub>
        </m:sSub>
        <m:r>
          <w:rPr>
            <w:rFonts w:ascii="Cambria Math" w:hAnsi="Cambria Math"/>
          </w:rPr>
          <m:t xml:space="preserve">=</m:t>
        </m:r>
        <m:nary>
          <m:naryPr>
            <m:chr m:val="∑"/>
          </m:naryPr>
          <m:sub>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AD</m:t>
            </m:r>
            <m:r>
              <w:rPr>
                <w:rFonts w:ascii="Cambria Math" w:hAnsi="Cambria Math"/>
              </w:rPr>
              <m:t xml:space="preserve">,</m:t>
            </m:r>
            <m:r>
              <w:rPr>
                <w:rFonts w:ascii="Cambria Math" w:hAnsi="Cambria Math"/>
              </w:rPr>
              <m:t xml:space="preserve">CTR</m:t>
            </m:r>
            <m:r>
              <w:rPr>
                <w:rFonts w:ascii="Cambria Math" w:hAnsi="Cambria Math"/>
              </w:rPr>
              <m:t xml:space="preserve">}</m:t>
            </m:r>
          </m:sub>
          <m:sup/>
          <m:e>
            <m:sSub>
              <m:e>
                <m:r>
                  <w:rPr>
                    <w:rFonts w:ascii="Cambria Math" w:hAnsi="Cambria Math"/>
                  </w:rPr>
                  <m:t xml:space="preserve">y</m:t>
                </m:r>
              </m:e>
              <m:sub>
                <m:r>
                  <w:rPr>
                    <w:rFonts w:ascii="Cambria Math" w:hAnsi="Cambria Math"/>
                  </w:rPr>
                  <m:t xml:space="preserve">c</m:t>
                </m:r>
              </m:sub>
            </m:sSub>
            <m:r>
              <w:rPr>
                <w:rFonts w:ascii="Cambria Math" w:hAnsi="Cambria Math"/>
              </w:rPr>
              <m:t xml:space="preserve">log</m:t>
            </m:r>
            <m:sSub>
              <m:e>
                <m:acc>
                  <m:accPr>
                    <m:chr m:val="⃗"/>
                  </m:accPr>
                  <m:e>
                    <m:r>
                      <w:rPr>
                        <w:rFonts w:ascii="Cambria Math" w:hAnsi="Cambria Math"/>
                      </w:rPr>
                      <m:t xml:space="preserve">y</m:t>
                    </m:r>
                  </m:e>
                </m:acc>
              </m:e>
              <m:sub>
                <m:r>
                  <w:rPr>
                    <w:rFonts w:ascii="Cambria Math" w:hAnsi="Cambria Math"/>
                  </w:rPr>
                  <m:t xml:space="preserve">c</m:t>
                </m:r>
              </m:sub>
            </m:sSub>
          </m:e>
        </m:nary>
      </m:oMath>
    </w:p>
    <w:p>
      <w:pPr>
        <w:pStyle w:val="normal1"/>
        <w:spacing w:lineRule="auto" w:line="240" w:before="240" w:after="240"/>
        <w:jc w:val="left"/>
        <w:rPr>
          <w:rFonts w:ascii="Arial" w:hAnsi="Arial"/>
        </w:rPr>
      </w:pPr>
      <w:r>
        <w:rPr>
          <w:rFonts w:eastAsia="Arial" w:cs="Arial" w:ascii="Arial" w:hAnsi="Arial"/>
          <w:sz w:val="24"/>
          <w:szCs w:val="24"/>
        </w:rPr>
        <w:t>La decisión central de diseño es cuántos y cuáles pesos del Transformer se permiten modificar. En un extremo, el modelo congelado (solo se entrena la cabeza); en el opuesto, el ajuste fino completo (se actualiza la totalidad de los pesos del Transformer).  Entre ambos se ubican las estrategias PEFT, que buscan un punto intermedio: capacidad suficiente para especializar el modelo sin comprometer el conocimiento pre entrenado ni multiplicar innecesariamente los parámetros entrenables, riesgo especialmente relevante en el régimen de datos limitados de este fenómeno en concreto. Esta decisión se organiza en tres ejes: cuánto (cantidad de parámetros entrenables), cómo (el mecanismo de adaptación), y dónde (en qué capas o matrices se aplica). Las cuatro estrategias evaluadas (descongelamiento parcial, adaptadores, LoRA y prefix-tuning) son puntos distintos en este espacio. ​</w:t>
      </w:r>
    </w:p>
    <w:p>
      <w:pPr>
        <w:pStyle w:val="normal1"/>
        <w:spacing w:lineRule="auto" w:line="240" w:before="240" w:after="240"/>
        <w:jc w:val="left"/>
        <w:rPr>
          <w:rFonts w:ascii="Arial" w:hAnsi="Arial" w:eastAsia="Arial" w:cs="Arial"/>
          <w:b/>
          <w:bCs/>
          <w:sz w:val="24"/>
          <w:szCs w:val="24"/>
        </w:rPr>
      </w:pPr>
      <w:r>
        <w:rPr>
          <w:rFonts w:eastAsia="Arial" w:cs="Arial" w:ascii="Arial" w:hAnsi="Arial"/>
          <w:b/>
          <w:bCs/>
          <w:sz w:val="24"/>
          <w:szCs w:val="24"/>
        </w:rPr>
      </w:r>
    </w:p>
    <w:p>
      <w:pPr>
        <w:pStyle w:val="normal1"/>
        <w:spacing w:lineRule="auto" w:line="240" w:before="240" w:after="240"/>
        <w:jc w:val="both"/>
        <w:rPr>
          <w:rFonts w:ascii="Arial" w:hAnsi="Arial"/>
        </w:rPr>
      </w:pPr>
      <w:r>
        <w:rPr>
          <w:rFonts w:eastAsia="Arial" w:cs="Arial" w:ascii="Arial" w:hAnsi="Arial"/>
          <w:b/>
          <w:bCs/>
          <w:i/>
          <w:iCs/>
          <w:sz w:val="24"/>
          <w:szCs w:val="24"/>
        </w:rPr>
        <w:t>Estrategias de ajuste eficiente de parámetros (PEFT)</w:t>
      </w:r>
    </w:p>
    <w:p>
      <w:pPr>
        <w:pStyle w:val="normal1"/>
        <w:spacing w:lineRule="auto" w:line="240" w:before="240" w:after="240"/>
        <w:jc w:val="both"/>
        <w:rPr>
          <w:rFonts w:ascii="Arial" w:hAnsi="Arial"/>
        </w:rPr>
      </w:pPr>
      <w:r>
        <w:rPr>
          <w:rFonts w:eastAsia="Arial" w:cs="Arial" w:ascii="Arial" w:hAnsi="Arial"/>
          <w:b/>
          <w:bCs/>
          <w:i/>
          <w:iCs/>
          <w:sz w:val="24"/>
          <w:szCs w:val="24"/>
        </w:rPr>
        <w:t xml:space="preserve">Descongelamiento parcial de capas: </w:t>
      </w:r>
      <w:r>
        <w:rPr>
          <w:rFonts w:eastAsia="Arial" w:cs="Arial" w:ascii="Arial" w:hAnsi="Arial"/>
          <w:sz w:val="24"/>
          <w:szCs w:val="24"/>
        </w:rPr>
        <w:t>se seleccionan las últimas n capas del Transformer y se permite que sus pesos ya pre entrenados se actualicen, mientras el resto permanece congelado. A diferencia de las tres estrategias siguientes, no añade parámetros nuevos, lo que la acerca al ajuste fino completo</w:t>
      </w:r>
      <w:r>
        <w:rPr>
          <w:rFonts w:eastAsia="Arial" w:cs="Arial" w:ascii="Arial" w:hAnsi="Arial"/>
          <w:i/>
          <w:iCs/>
          <w:sz w:val="24"/>
          <w:szCs w:val="24"/>
        </w:rPr>
        <w:t>.</w:t>
      </w:r>
    </w:p>
    <w:p>
      <w:pPr>
        <w:pStyle w:val="normal1"/>
        <w:spacing w:lineRule="auto" w:line="240" w:before="240" w:after="240"/>
        <w:jc w:val="both"/>
        <w:rPr>
          <w:rFonts w:ascii="Arial" w:hAnsi="Arial" w:eastAsia="Arial" w:cs="Arial"/>
          <w:b/>
          <w:bCs/>
          <w:i/>
          <w:i/>
          <w:iCs/>
          <w:sz w:val="24"/>
          <w:szCs w:val="24"/>
        </w:rPr>
      </w:pPr>
      <w:r>
        <w:rPr>
          <w:rFonts w:eastAsia="Arial" w:cs="Arial" w:ascii="Arial" w:hAnsi="Arial"/>
          <w:b/>
          <w:bCs/>
          <w:i/>
          <w:iCs/>
          <w:sz w:val="24"/>
          <w:szCs w:val="24"/>
        </w:rPr>
      </w:r>
    </w:p>
    <w:p>
      <w:pPr>
        <w:pStyle w:val="normal1"/>
        <w:spacing w:lineRule="auto" w:line="240" w:before="240" w:after="240"/>
        <w:jc w:val="both"/>
        <w:rPr>
          <w:rFonts w:ascii="Arial" w:hAnsi="Arial"/>
        </w:rPr>
      </w:pPr>
      <w:r>
        <w:rPr>
          <w:rFonts w:eastAsia="Arial" w:cs="Arial" w:ascii="Arial" w:hAnsi="Arial"/>
          <w:b/>
          <w:bCs/>
          <w:i/>
          <w:iCs/>
          <w:sz w:val="24"/>
          <w:szCs w:val="24"/>
        </w:rPr>
        <w:t>Adaptadores tipo bottleneck</w:t>
      </w:r>
      <w:r>
        <w:rPr>
          <w:rFonts w:eastAsia="Arial" w:cs="Arial" w:ascii="Arial" w:hAnsi="Arial"/>
          <w:b/>
          <w:bCs/>
          <w:sz w:val="24"/>
          <w:szCs w:val="24"/>
        </w:rPr>
        <w:t xml:space="preserve"> [9]</w:t>
      </w:r>
      <w:r>
        <w:rPr>
          <w:rFonts w:eastAsia="Arial" w:cs="Arial" w:ascii="Arial" w:hAnsi="Arial"/>
          <w:sz w:val="24"/>
          <w:szCs w:val="24"/>
        </w:rPr>
        <w:t xml:space="preserve">. Mantienen el Transformer congelado e insertan un módulo nuevo en el camino de las activaciones. Dado un vector </w:t>
      </w:r>
      <w:r>
        <w:rPr>
          <w:rFonts w:ascii="Arial" w:hAnsi="Arial"/>
        </w:rPr>
      </w:r>
      <m:oMath xmlns:m="http://schemas.openxmlformats.org/officeDocument/2006/math">
        <m:r>
          <w:rPr>
            <w:rFonts w:ascii="Cambria Math" w:hAnsi="Cambria Math"/>
          </w:rPr>
          <m:t xml:space="preserve">x</m:t>
        </m:r>
      </m:oMath>
      <w:r>
        <w:rPr>
          <w:rFonts w:eastAsia="Arial" w:cs="Arial" w:ascii="Arial" w:hAnsi="Arial"/>
          <w:sz w:val="24"/>
          <w:szCs w:val="24"/>
        </w:rPr>
        <w:t xml:space="preserve"> de dimensión </w:t>
      </w:r>
      <w:r>
        <w:rPr>
          <w:rFonts w:ascii="Arial" w:hAnsi="Arial"/>
        </w:rPr>
      </w:r>
      <m:oMath xmlns:m="http://schemas.openxmlformats.org/officeDocument/2006/math">
        <m:r>
          <w:rPr>
            <w:rFonts w:ascii="Cambria Math" w:hAnsi="Cambria Math"/>
          </w:rPr>
          <m:t xml:space="preserve">D</m:t>
        </m:r>
      </m:oMath>
      <w:r>
        <w:rPr>
          <w:rFonts w:eastAsia="Arial" w:cs="Arial" w:ascii="Arial" w:hAnsi="Arial"/>
          <w:sz w:val="24"/>
          <w:szCs w:val="24"/>
        </w:rPr>
        <w:t>:</w:t>
      </w:r>
    </w:p>
    <w:p>
      <w:pPr>
        <w:pStyle w:val="normal1"/>
        <w:spacing w:lineRule="auto" w:line="240" w:before="240" w:after="240"/>
        <w:jc w:val="center"/>
        <w:rPr>
          <w:rFonts w:ascii="Arial" w:hAnsi="Arial"/>
        </w:rPr>
      </w:pPr>
      <w:r>
        <w:rPr>
          <w:rFonts w:ascii="Arial" w:hAnsi="Arial"/>
        </w:rPr>
      </w:r>
      <m:oMathPara xmlns:m="http://schemas.openxmlformats.org/officeDocument/2006/math">
        <m:oMathParaPr>
          <m:jc m:val="center"/>
        </m:oMathParaPr>
        <m:oMath>
          <m:r>
            <w:rPr>
              <w:rFonts w:ascii="Cambria Math" w:hAnsi="Cambria Math"/>
            </w:rPr>
            <m:t xml:space="preserve">Adapter</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up</m:t>
              </m:r>
            </m:sub>
          </m:sSub>
          <m:r>
            <w:rPr>
              <w:rFonts w:ascii="Cambria Math" w:hAnsi="Cambria Math"/>
            </w:rPr>
            <m:t xml:space="preserve">σ</m:t>
          </m:r>
          <m:r>
            <w:rPr>
              <w:rFonts w:ascii="Cambria Math" w:hAnsi="Cambria Math"/>
            </w:rPr>
            <m:t xml:space="preserve">(</m:t>
          </m:r>
          <m:sSub>
            <m:e>
              <m:r>
                <w:rPr>
                  <w:rFonts w:ascii="Cambria Math" w:hAnsi="Cambria Math"/>
                </w:rPr>
                <m:t xml:space="preserve">W</m:t>
              </m:r>
            </m:e>
            <m:sub>
              <m:r>
                <w:rPr>
                  <w:rFonts w:ascii="Cambria Math" w:hAnsi="Cambria Math"/>
                </w:rPr>
                <m:t xml:space="preserve">down</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out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Adapter</m:t>
          </m:r>
          <m:r>
            <w:rPr>
              <w:rFonts w:ascii="Cambria Math" w:hAnsi="Cambria Math"/>
            </w:rPr>
            <m:t xml:space="preserve">(</m:t>
          </m:r>
          <m:r>
            <w:rPr>
              <w:rFonts w:ascii="Cambria Math" w:hAnsi="Cambria Math"/>
            </w:rPr>
            <m:t xml:space="preserve">x</m:t>
          </m:r>
          <m:r>
            <w:rPr>
              <w:rFonts w:ascii="Cambria Math" w:hAnsi="Cambria Math"/>
            </w:rPr>
            <m:t xml:space="preserve">)</m:t>
          </m:r>
        </m:oMath>
      </m:oMathPara>
    </w:p>
    <w:p>
      <w:pPr>
        <w:pStyle w:val="normal1"/>
        <w:spacing w:lineRule="auto" w:line="240" w:before="240" w:after="240"/>
        <w:jc w:val="both"/>
        <w:rPr>
          <w:rFonts w:ascii="Arial" w:hAnsi="Arial"/>
        </w:rPr>
      </w:pPr>
      <w:r>
        <w:rPr>
          <w:rFonts w:ascii="Arial" w:hAnsi="Arial"/>
        </w:rPr>
      </w:r>
      <m:oMath xmlns:m="http://schemas.openxmlformats.org/officeDocument/2006/math">
        <m:sSub>
          <m:e>
            <m:r>
              <w:rPr>
                <w:rFonts w:ascii="Cambria Math" w:hAnsi="Cambria Math"/>
              </w:rPr>
              <m:t xml:space="preserve">W</m:t>
            </m:r>
          </m:e>
          <m:sub>
            <m:r>
              <w:rPr>
                <w:rFonts w:ascii="Cambria Math" w:hAnsi="Cambria Math"/>
              </w:rPr>
              <m:t xml:space="preserve">down</m:t>
            </m:r>
          </m:sub>
        </m:sSub>
      </m:oMath>
      <w:r>
        <w:rPr>
          <w:rFonts w:eastAsia="Arial" w:cs="Arial" w:ascii="Arial" w:hAnsi="Arial"/>
          <w:sz w:val="24"/>
          <w:szCs w:val="24"/>
        </w:rPr>
        <w:t xml:space="preserve">(de D a m) comprime </w:t>
      </w:r>
      <w:r>
        <w:rPr>
          <w:rFonts w:ascii="Arial" w:hAnsi="Arial"/>
        </w:rPr>
      </w:r>
      <m:oMath xmlns:m="http://schemas.openxmlformats.org/officeDocument/2006/math">
        <m:r>
          <w:rPr>
            <w:rFonts w:ascii="Cambria Math" w:hAnsi="Cambria Math"/>
          </w:rPr>
          <m:t xml:space="preserve">x</m:t>
        </m:r>
      </m:oMath>
      <w:r>
        <w:rPr>
          <w:rFonts w:eastAsia="Arial Unicode MS" w:cs="Arial Unicode MS" w:ascii="Arial" w:hAnsi="Arial"/>
          <w:sz w:val="24"/>
          <w:szCs w:val="24"/>
        </w:rPr>
        <w:t xml:space="preserve">a un cuello de botella m≪D; </w:t>
      </w:r>
      <w:r>
        <w:rPr>
          <w:rFonts w:ascii="Arial" w:hAnsi="Arial"/>
        </w:rPr>
      </w:r>
      <m:oMath xmlns:m="http://schemas.openxmlformats.org/officeDocument/2006/math">
        <m:r>
          <w:rPr>
            <w:rFonts w:ascii="Cambria Math" w:hAnsi="Cambria Math"/>
          </w:rPr>
          <m:t xml:space="preserve">σ</m:t>
        </m:r>
      </m:oMath>
      <w:r>
        <w:rPr>
          <w:rFonts w:eastAsia="Arial" w:cs="Arial" w:ascii="Arial" w:hAnsi="Arial"/>
          <w:sz w:val="24"/>
          <w:szCs w:val="24"/>
        </w:rPr>
        <w:t xml:space="preserve">  es una no linealidad imprescindible (sin ella, dos proyecciones lineales colapsaría en una); </w:t>
      </w:r>
      <w:r>
        <w:rPr>
          <w:rFonts w:ascii="Arial" w:hAnsi="Arial"/>
        </w:rPr>
      </w:r>
      <m:oMath xmlns:m="http://schemas.openxmlformats.org/officeDocument/2006/math">
        <m:sSub>
          <m:e>
            <m:r>
              <w:rPr>
                <w:rFonts w:ascii="Cambria Math" w:hAnsi="Cambria Math"/>
              </w:rPr>
              <m:t xml:space="preserve">W</m:t>
            </m:r>
          </m:e>
          <m:sub>
            <m:r>
              <w:rPr>
                <w:rFonts w:ascii="Cambria Math" w:hAnsi="Cambria Math"/>
              </w:rPr>
              <m:t xml:space="preserve">up</m:t>
            </m:r>
          </m:sub>
        </m:sSub>
      </m:oMath>
      <w:r>
        <w:rPr>
          <w:rFonts w:eastAsia="Arial" w:cs="Arial" w:ascii="Arial" w:hAnsi="Arial"/>
          <w:sz w:val="24"/>
          <w:szCs w:val="24"/>
        </w:rPr>
        <w:t xml:space="preserve">(de m a D) reconstruye la dimensión original. Esta se inicializa cercano a cero (el adaptador arranca como función identidad, sin dañar las representaciones pre entrenadas); Por el contrario </w:t>
      </w:r>
      <w:r>
        <w:rPr>
          <w:rFonts w:ascii="Arial" w:hAnsi="Arial"/>
        </w:rPr>
      </w:r>
      <m:oMath xmlns:m="http://schemas.openxmlformats.org/officeDocument/2006/math">
        <m:sSub>
          <m:e>
            <m:r>
              <w:rPr>
                <w:rFonts w:ascii="Cambria Math" w:hAnsi="Cambria Math"/>
              </w:rPr>
              <m:t xml:space="preserve">W</m:t>
            </m:r>
          </m:e>
          <m:sub>
            <m:r>
              <w:rPr>
                <w:rFonts w:ascii="Cambria Math" w:hAnsi="Cambria Math"/>
              </w:rPr>
              <m:t xml:space="preserve">down</m:t>
            </m:r>
          </m:sub>
        </m:sSub>
      </m:oMath>
      <w:r>
        <w:rPr>
          <w:rFonts w:eastAsia="Arial" w:cs="Arial" w:ascii="Arial" w:hAnsi="Arial"/>
          <w:sz w:val="24"/>
          <w:szCs w:val="24"/>
        </w:rPr>
        <w:t xml:space="preserve"> no puede inicializarse en cero, o el gradiente hacia esa matriz quedaría anulado. </w:t>
      </w:r>
    </w:p>
    <w:p>
      <w:pPr>
        <w:pStyle w:val="normal1"/>
        <w:spacing w:lineRule="auto" w:line="240" w:before="240" w:after="240"/>
        <w:jc w:val="both"/>
        <w:rPr>
          <w:rFonts w:ascii="Arial" w:hAnsi="Arial"/>
        </w:rPr>
      </w:pPr>
      <w:r>
        <w:rPr>
          <w:rFonts w:eastAsia="Arial" w:cs="Arial" w:ascii="Arial" w:hAnsi="Arial"/>
          <w:b/>
          <w:bCs/>
          <w:i/>
          <w:iCs/>
          <w:sz w:val="24"/>
          <w:szCs w:val="24"/>
        </w:rPr>
        <w:t>LoRA</w:t>
      </w:r>
      <w:r>
        <w:rPr>
          <w:rFonts w:eastAsia="Arial" w:cs="Arial" w:ascii="Arial" w:hAnsi="Arial"/>
          <w:b/>
          <w:bCs/>
          <w:sz w:val="24"/>
          <w:szCs w:val="24"/>
        </w:rPr>
        <w:t xml:space="preserve"> [10]</w:t>
      </w:r>
      <w:r>
        <w:rPr>
          <w:rFonts w:eastAsia="Arial" w:cs="Arial" w:ascii="Arial" w:hAnsi="Arial"/>
          <w:sz w:val="24"/>
          <w:szCs w:val="24"/>
        </w:rPr>
        <w:t xml:space="preserve">. Comparte el principio de proyección-cuello de botella-proyección, aplicado sobre pesos en vez de activaciones. Congela una matriz existente </w:t>
      </w:r>
      <w:r>
        <w:rPr>
          <w:rFonts w:ascii="Arial" w:hAnsi="Arial"/>
        </w:rPr>
      </w:r>
      <m:oMath xmlns:m="http://schemas.openxmlformats.org/officeDocument/2006/math">
        <m:r>
          <w:rPr>
            <w:rFonts w:ascii="Cambria Math" w:hAnsi="Cambria Math"/>
          </w:rPr>
          <m:t xml:space="preserve">W</m:t>
        </m:r>
      </m:oMath>
      <w:r>
        <w:rPr>
          <w:rFonts w:eastAsia="Arial" w:cs="Arial" w:ascii="Arial" w:hAnsi="Arial"/>
          <w:sz w:val="24"/>
          <w:szCs w:val="24"/>
        </w:rPr>
        <w:t xml:space="preserve">(típicamente </w:t>
      </w:r>
      <w:r>
        <w:rPr>
          <w:rFonts w:ascii="Arial" w:hAnsi="Arial"/>
        </w:rPr>
      </w:r>
      <m:oMath xmlns:m="http://schemas.openxmlformats.org/officeDocument/2006/math">
        <m:sSub>
          <m:e>
            <m:r>
              <w:rPr>
                <w:rFonts w:ascii="Cambria Math" w:hAnsi="Cambria Math"/>
              </w:rPr>
              <m:t xml:space="preserve">W</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r>
          <w:rPr>
            <w:rFonts w:ascii="Cambria Math" w:hAnsi="Cambria Math"/>
          </w:rPr>
          <m:t xml:space="preserve">o</m:t>
        </m:r>
        <m:sSub>
          <m:e>
            <m:r>
              <w:rPr>
                <w:rFonts w:ascii="Cambria Math" w:hAnsi="Cambria Math"/>
              </w:rPr>
              <m:t xml:space="preserve">W</m:t>
            </m:r>
          </m:e>
          <m:sub>
            <m:r>
              <w:rPr>
                <w:rFonts w:ascii="Cambria Math" w:hAnsi="Cambria Math"/>
              </w:rPr>
              <m:t xml:space="preserve">v</m:t>
            </m:r>
          </m:sub>
        </m:sSub>
      </m:oMath>
      <w:r>
        <w:rPr>
          <w:rFonts w:eastAsia="Arial" w:cs="Arial" w:ascii="Arial" w:hAnsi="Arial"/>
          <w:sz w:val="24"/>
          <w:szCs w:val="24"/>
        </w:rPr>
        <w:t xml:space="preserve"> ) y añade, en paralelo, una corrección de bajo rango:</w:t>
      </w:r>
    </w:p>
    <w:p>
      <w:pPr>
        <w:pStyle w:val="normal1"/>
        <w:spacing w:lineRule="auto" w:line="240" w:before="240" w:after="240"/>
        <w:jc w:val="center"/>
        <w:rPr>
          <w:rFonts w:ascii="Arial" w:hAnsi="Arial"/>
        </w:rPr>
      </w:pPr>
      <w:r>
        <w:rPr>
          <w:rFonts w:ascii="Arial" w:hAnsi="Arial"/>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ef</m:t>
              </m:r>
            </m:sub>
          </m:sSub>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Δ</m:t>
          </m:r>
          <m:r>
            <w:rPr>
              <w:rFonts w:ascii="Cambria Math" w:hAnsi="Cambria Math"/>
            </w:rPr>
            <m:t xml:space="preserve">W</m:t>
          </m:r>
          <m:r>
            <w:rPr>
              <w:rFonts w:ascii="Cambria Math" w:hAnsi="Cambria Math"/>
            </w:rPr>
            <m:t xml:space="preserve">,</m:t>
          </m:r>
          <m:r>
            <w:rPr>
              <w:rFonts w:ascii="Cambria Math" w:hAnsi="Cambria Math"/>
            </w:rPr>
            <m:t xml:space="preserve">Δ</m:t>
          </m:r>
          <m:r>
            <w:rPr>
              <w:rFonts w:ascii="Cambria Math" w:hAnsi="Cambria Math"/>
            </w:rPr>
            <m:t xml:space="preserve">W</m:t>
          </m:r>
          <m:r>
            <w:rPr>
              <w:rFonts w:ascii="Cambria Math" w:hAnsi="Cambria Math"/>
            </w:rPr>
            <m:t xml:space="preserve">=</m:t>
          </m:r>
          <m:r>
            <w:rPr>
              <w:rFonts w:ascii="Cambria Math" w:hAnsi="Cambria Math"/>
            </w:rPr>
            <m:t xml:space="preserve">BA</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W</m:t>
              </m:r>
            </m:e>
            <m:sub>
              <m:r>
                <w:rPr>
                  <w:rFonts w:ascii="Cambria Math" w:hAnsi="Cambria Math"/>
                </w:rPr>
                <m:t xml:space="preserve">x</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Ax</m:t>
          </m:r>
          <m:r>
            <w:rPr>
              <w:rFonts w:ascii="Cambria Math" w:hAnsi="Cambria Math"/>
            </w:rPr>
            <m:t xml:space="preserve">)</m:t>
          </m:r>
        </m:oMath>
      </m:oMathPara>
    </w:p>
    <w:p>
      <w:pPr>
        <w:pStyle w:val="normal1"/>
        <w:spacing w:lineRule="auto" w:line="240" w:before="240" w:after="240"/>
        <w:jc w:val="both"/>
        <w:rPr>
          <w:rFonts w:ascii="Arial" w:hAnsi="Arial"/>
        </w:rPr>
      </w:pPr>
      <w:r>
        <w:rPr>
          <w:rFonts w:eastAsia="Arial" w:cs="Arial" w:ascii="Arial" w:hAnsi="Arial"/>
          <w:sz w:val="24"/>
          <w:szCs w:val="24"/>
        </w:rPr>
        <w:t xml:space="preserve">con </w:t>
      </w:r>
      <w:r>
        <w:rPr>
          <w:rFonts w:ascii="Arial" w:hAnsi="Arial"/>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D</m:t>
        </m:r>
        <m:r>
          <w:rPr>
            <w:rFonts w:ascii="Cambria Math" w:hAnsi="Cambria Math"/>
          </w:rPr>
          <m:t xml:space="preserve">)</m:t>
        </m:r>
      </m:oMath>
      <w:r>
        <w:rPr>
          <w:rFonts w:eastAsia="Arial" w:cs="Arial" w:ascii="Arial" w:hAnsi="Arial"/>
          <w:sz w:val="24"/>
          <w:szCs w:val="24"/>
        </w:rPr>
        <w:t xml:space="preserve"> y </w:t>
      </w:r>
      <w:r>
        <w:rPr>
          <w:rFonts w:ascii="Arial" w:hAnsi="Arial"/>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r</m:t>
        </m:r>
        <m:r>
          <w:rPr>
            <w:rFonts w:ascii="Cambria Math" w:hAnsi="Cambria Math"/>
          </w:rPr>
          <m:t xml:space="preserve">)</m:t>
        </m:r>
      </m:oMath>
      <w:r>
        <w:rPr>
          <w:rFonts w:eastAsia="Arial" w:cs="Arial" w:ascii="Arial" w:hAnsi="Arial"/>
          <w:sz w:val="24"/>
          <w:szCs w:val="24"/>
        </w:rPr>
        <w:t>,</w:t>
      </w:r>
      <w:r>
        <w:rPr>
          <w:rFonts w:ascii="Arial" w:hAnsi="Arial"/>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D</m:t>
        </m:r>
      </m:oMath>
      <w:r>
        <w:rPr>
          <w:rFonts w:eastAsia="Arial" w:cs="Arial" w:ascii="Arial" w:hAnsi="Arial"/>
          <w:sz w:val="24"/>
          <w:szCs w:val="24"/>
        </w:rPr>
        <w:t xml:space="preserve">. La hipótesis subyacente es que el cambio </w:t>
      </w:r>
      <w:r>
        <w:rPr>
          <w:rFonts w:ascii="Arial" w:hAnsi="Arial"/>
        </w:rPr>
      </w:r>
      <m:oMath xmlns:m="http://schemas.openxmlformats.org/officeDocument/2006/math">
        <m:r>
          <w:rPr>
            <w:rFonts w:ascii="Cambria Math" w:hAnsi="Cambria Math"/>
          </w:rPr>
          <m:t xml:space="preserve">Δ</m:t>
        </m:r>
        <m:r>
          <w:rPr>
            <w:rFonts w:ascii="Cambria Math" w:hAnsi="Cambria Math"/>
          </w:rPr>
          <m:t xml:space="preserve">W</m:t>
        </m:r>
      </m:oMath>
      <w:r>
        <w:rPr>
          <w:rFonts w:eastAsia="Arial" w:cs="Arial" w:ascii="Arial" w:hAnsi="Arial"/>
          <w:sz w:val="24"/>
          <w:szCs w:val="24"/>
        </w:rPr>
        <w:t xml:space="preserve">necesario vive en un espacio de rango bajo, aunque </w:t>
      </w:r>
      <w:r>
        <w:rPr>
          <w:rFonts w:ascii="Arial" w:hAnsi="Arial"/>
        </w:rPr>
      </w:r>
      <m:oMath xmlns:m="http://schemas.openxmlformats.org/officeDocument/2006/math">
        <m:r>
          <w:rPr>
            <w:rFonts w:ascii="Cambria Math" w:hAnsi="Cambria Math"/>
          </w:rPr>
          <m:t xml:space="preserve">W</m:t>
        </m:r>
      </m:oMath>
      <w:r>
        <w:rPr>
          <w:rFonts w:eastAsia="Arial" w:cs="Arial" w:ascii="Arial" w:hAnsi="Arial"/>
          <w:sz w:val="24"/>
          <w:szCs w:val="24"/>
        </w:rPr>
        <w:t xml:space="preserve">sea de rango alto. Gracias a la linealidad y el paralelismo, al terminar el entrenamiento puede calcularse </w:t>
      </w:r>
      <w:r>
        <w:rPr>
          <w:rFonts w:ascii="Arial" w:hAnsi="Arial"/>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BA</m:t>
        </m:r>
      </m:oMath>
      <w:r>
        <w:rPr>
          <w:rFonts w:eastAsia="Arial" w:cs="Arial" w:ascii="Arial" w:hAnsi="Arial"/>
          <w:sz w:val="24"/>
          <w:szCs w:val="24"/>
        </w:rPr>
        <w:t xml:space="preserve"> Una sola vez y reemplazar la matriz original: LoRA no añade costo de latencia en inferencia, a diferencia del adaptador (secuencial y no lineal, no fusionable).</w:t>
      </w:r>
    </w:p>
    <w:p>
      <w:pPr>
        <w:pStyle w:val="normal1"/>
        <w:spacing w:lineRule="auto" w:line="240" w:before="240" w:after="240"/>
        <w:jc w:val="both"/>
        <w:rPr>
          <w:rFonts w:ascii="Arial" w:hAnsi="Arial"/>
        </w:rPr>
      </w:pPr>
      <w:r>
        <w:rPr>
          <w:rFonts w:eastAsia="Arial" w:cs="Arial" w:ascii="Arial" w:hAnsi="Arial"/>
          <w:b/>
          <w:bCs/>
          <w:i/>
          <w:iCs/>
          <w:sz w:val="24"/>
          <w:szCs w:val="24"/>
        </w:rPr>
        <w:t>Prefix-tuning</w:t>
      </w:r>
      <w:r>
        <w:rPr>
          <w:rFonts w:eastAsia="Arial" w:cs="Arial" w:ascii="Arial" w:hAnsi="Arial"/>
          <w:b/>
          <w:bCs/>
          <w:sz w:val="24"/>
          <w:szCs w:val="24"/>
        </w:rPr>
        <w:t xml:space="preserve"> [11]: </w:t>
      </w:r>
      <w:r>
        <w:rPr>
          <w:rFonts w:eastAsia="Arial" w:cs="Arial" w:ascii="Arial" w:hAnsi="Arial"/>
          <w:sz w:val="24"/>
          <w:szCs w:val="24"/>
        </w:rPr>
        <w:t xml:space="preserve">Este método no modifica activaciones ni pesos, sino el contenido al que atiende la atención. Antepone </w:t>
      </w:r>
      <w:r>
        <w:rPr>
          <w:rFonts w:ascii="Arial" w:hAnsi="Arial"/>
        </w:rPr>
      </w:r>
      <m:oMath xmlns:m="http://schemas.openxmlformats.org/officeDocument/2006/math">
        <m:r>
          <w:rPr>
            <w:rFonts w:ascii="Cambria Math" w:hAnsi="Cambria Math"/>
          </w:rPr>
          <m:t xml:space="preserve">p</m:t>
        </m:r>
      </m:oMath>
      <w:r>
        <w:rPr>
          <w:rFonts w:eastAsia="Arial" w:cs="Arial" w:ascii="Arial" w:hAnsi="Arial"/>
          <w:sz w:val="24"/>
          <w:szCs w:val="24"/>
        </w:rPr>
        <w:t xml:space="preserve"> vectores entrenables a las claves y valores de cada capa:</w:t>
      </w:r>
    </w:p>
    <w:p>
      <w:pPr>
        <w:pStyle w:val="normal1"/>
        <w:spacing w:lineRule="auto" w:line="240" w:before="240" w:after="240"/>
        <w:jc w:val="center"/>
        <w:rPr>
          <w:rFonts w:ascii="Arial" w:hAnsi="Arial"/>
        </w:rPr>
      </w:pPr>
      <w:r>
        <w:rPr>
          <w:rFonts w:ascii="Arial" w:hAnsi="Arial"/>
        </w:rPr>
      </w:r>
      <m:oMathPara xmlns:m="http://schemas.openxmlformats.org/officeDocument/2006/math">
        <m:oMathParaPr>
          <m:jc m:val="center"/>
        </m:oMathParaPr>
        <m:oMath>
          <m:d>
            <m:dPr>
              <m:begChr m:val="["/>
              <m:endChr m:val="]"/>
            </m:dPr>
            <m:e>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r>
                <w:rPr>
                  <w:rFonts w:ascii="Cambria Math" w:hAnsi="Cambria Math"/>
                </w:rPr>
                <m:t xml:space="preserve">K</m:t>
              </m:r>
            </m:e>
          </m:d>
          <m:d>
            <m:dPr>
              <m:begChr m:val="["/>
              <m:endChr m:val="]"/>
            </m:dPr>
            <m:e>
              <m:sSub>
                <m:e>
                  <m:r>
                    <w:rPr>
                      <w:rFonts w:ascii="Cambria Math" w:hAnsi="Cambria Math"/>
                    </w:rPr>
                    <m:t xml:space="preserve">P</m:t>
                  </m:r>
                </m:e>
                <m:sub>
                  <m:r>
                    <w:rPr>
                      <w:rFonts w:ascii="Cambria Math" w:hAnsi="Cambria Math"/>
                    </w:rPr>
                    <m:t xml:space="preserve">v</m:t>
                  </m:r>
                </m:sub>
              </m:sSub>
              <m:r>
                <w:rPr>
                  <w:rFonts w:ascii="Cambria Math" w:hAnsi="Cambria Math"/>
                </w:rPr>
                <m:t xml:space="preserve">;</m:t>
              </m:r>
              <m:r>
                <w:rPr>
                  <w:rFonts w:ascii="Cambria Math" w:hAnsi="Cambria Math"/>
                </w:rPr>
                <m:t xml:space="preserve">V</m:t>
              </m:r>
            </m:e>
          </m:d>
        </m:oMath>
      </m:oMathPara>
    </w:p>
    <w:p>
      <w:pPr>
        <w:pStyle w:val="normal1"/>
        <w:spacing w:lineRule="auto" w:line="240" w:before="240" w:after="240"/>
        <w:jc w:val="both"/>
        <w:rPr>
          <w:rFonts w:ascii="Arial" w:hAnsi="Arial"/>
        </w:rPr>
      </w:pPr>
      <w:r>
        <w:rPr>
          <w:rFonts w:ascii="Arial" w:hAnsi="Arial"/>
        </w:rPr>
      </w:r>
      <m:oMath xmlns:m="http://schemas.openxmlformats.org/officeDocument/2006/math">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v</m:t>
            </m:r>
          </m:sub>
        </m:sSub>
      </m:oMath>
      <w:r>
        <w:rPr>
          <w:rFonts w:eastAsia="Arial" w:cs="Arial" w:ascii="Arial" w:hAnsi="Arial"/>
          <w:sz w:val="24"/>
          <w:szCs w:val="24"/>
        </w:rPr>
        <w:t xml:space="preserve">(matrices </w:t>
      </w:r>
      <w:r>
        <w:rPr>
          <w:rFonts w:ascii="Arial" w:hAnsi="Arial"/>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d</m:t>
        </m:r>
        <m:r>
          <w:rPr>
            <w:rFonts w:ascii="Cambria Math" w:hAnsi="Cambria Math"/>
          </w:rPr>
          <m:t xml:space="preserve">)</m:t>
        </m:r>
      </m:oMath>
      <w:r>
        <w:rPr>
          <w:rFonts w:eastAsia="Arial" w:cs="Arial" w:ascii="Arial" w:hAnsi="Arial"/>
          <w:sz w:val="24"/>
          <w:szCs w:val="24"/>
        </w:rPr>
        <w:t xml:space="preserve">no corresponden a ningún fotograma real; funcionan como memoria específica de la tarea. Se anteponen solo a K/V, nunca a Q, por dos razones: Q es la señal real  y K/V el material que se consulta; estructuralmente, la atención produce una salida por </w:t>
      </w:r>
      <w:r>
        <w:rPr>
          <w:rFonts w:eastAsia="Arial" w:cs="Arial" w:ascii="Arial" w:hAnsi="Arial"/>
          <w:i/>
          <w:iCs/>
          <w:sz w:val="24"/>
          <w:szCs w:val="24"/>
        </w:rPr>
        <w:t>query</w:t>
      </w:r>
      <w:r>
        <w:rPr>
          <w:rFonts w:eastAsia="Arial" w:cs="Arial" w:ascii="Arial" w:hAnsi="Arial"/>
          <w:sz w:val="24"/>
          <w:szCs w:val="24"/>
        </w:rPr>
        <w:t xml:space="preserve">: con </w:t>
      </w:r>
      <w:r>
        <w:rPr>
          <w:rFonts w:ascii="Arial" w:hAnsi="Arial"/>
        </w:rPr>
      </w:r>
      <m:oMath xmlns:m="http://schemas.openxmlformats.org/officeDocument/2006/math">
        <m:r>
          <w:rPr>
            <w:rFonts w:ascii="Cambria Math" w:hAnsi="Cambria Math"/>
          </w:rPr>
          <m:t xml:space="preserve">T</m:t>
        </m:r>
      </m:oMath>
      <w:r>
        <w:rPr>
          <w:rFonts w:eastAsia="Arial" w:cs="Arial" w:ascii="Arial" w:hAnsi="Arial"/>
          <w:sz w:val="24"/>
          <w:szCs w:val="24"/>
        </w:rPr>
        <w:t xml:space="preserve"> fotogramas reales hay </w:t>
      </w:r>
      <w:r>
        <w:rPr>
          <w:rFonts w:ascii="Arial" w:hAnsi="Arial"/>
        </w:rPr>
      </w:r>
      <m:oMath xmlns:m="http://schemas.openxmlformats.org/officeDocument/2006/math">
        <m:r>
          <w:rPr>
            <w:rFonts w:ascii="Cambria Math" w:hAnsi="Cambria Math"/>
          </w:rPr>
          <m:t xml:space="preserve">T</m:t>
        </m:r>
      </m:oMath>
      <w:r>
        <w:rPr>
          <w:rFonts w:eastAsia="Arial" w:cs="Arial" w:ascii="Arial" w:hAnsi="Arial"/>
          <w:sz w:val="24"/>
          <w:szCs w:val="24"/>
        </w:rPr>
        <w:t xml:space="preserve"> salidas, y añadir el prefix a Q generaría </w:t>
      </w:r>
      <w:r>
        <w:rPr>
          <w:rFonts w:ascii="Arial" w:hAnsi="Arial"/>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p</m:t>
        </m:r>
      </m:oMath>
      <w:r>
        <w:rPr>
          <w:rFonts w:eastAsia="Arial" w:cs="Arial" w:ascii="Arial" w:hAnsi="Arial"/>
          <w:sz w:val="24"/>
          <w:szCs w:val="24"/>
        </w:rPr>
        <w:t xml:space="preserve"> salidas, inflando la longitud de secuencia en cada capa. La modificación la controla </w:t>
      </w:r>
      <w:r>
        <w:rPr>
          <w:rFonts w:ascii="Arial" w:hAnsi="Arial"/>
        </w:rPr>
      </w:r>
      <m:oMath xmlns:m="http://schemas.openxmlformats.org/officeDocument/2006/math">
        <m:r>
          <w:rPr>
            <w:rFonts w:ascii="Cambria Math" w:hAnsi="Cambria Math"/>
          </w:rPr>
          <m:t xml:space="preserve">p</m:t>
        </m:r>
      </m:oMath>
      <w:r>
        <w:rPr>
          <w:rFonts w:eastAsia="Arial" w:cs="Arial" w:ascii="Arial" w:hAnsi="Arial"/>
          <w:sz w:val="24"/>
          <w:szCs w:val="24"/>
        </w:rPr>
        <w:t xml:space="preserve">, análogo a  </w:t>
      </w:r>
      <w:r>
        <w:rPr>
          <w:rFonts w:ascii="Arial" w:hAnsi="Arial"/>
        </w:rPr>
      </w:r>
      <m:oMath xmlns:m="http://schemas.openxmlformats.org/officeDocument/2006/math">
        <m:r>
          <w:rPr>
            <w:rFonts w:ascii="Cambria Math" w:hAnsi="Cambria Math"/>
          </w:rPr>
          <m:t xml:space="preserve">m</m:t>
        </m:r>
      </m:oMath>
      <w:r>
        <w:rPr>
          <w:rFonts w:eastAsia="Arial" w:cs="Arial" w:ascii="Arial" w:hAnsi="Arial"/>
          <w:sz w:val="24"/>
          <w:szCs w:val="24"/>
        </w:rPr>
        <w:t xml:space="preserve"> y </w:t>
      </w:r>
      <w:r>
        <w:rPr>
          <w:rFonts w:ascii="Arial" w:hAnsi="Arial"/>
        </w:rPr>
      </w:r>
      <m:oMath xmlns:m="http://schemas.openxmlformats.org/officeDocument/2006/math">
        <m:r>
          <w:rPr>
            <w:rFonts w:ascii="Cambria Math" w:hAnsi="Cambria Math"/>
          </w:rPr>
          <m:t xml:space="preserve">r</m:t>
        </m:r>
      </m:oMath>
      <w:r>
        <w:rPr>
          <w:rFonts w:eastAsia="Arial" w:cs="Arial" w:ascii="Arial" w:hAnsi="Arial"/>
          <w:sz w:val="24"/>
          <w:szCs w:val="24"/>
        </w:rPr>
        <w:t xml:space="preserve"> en los métodos anteriores. </w:t>
      </w:r>
    </w:p>
    <w:p>
      <w:pPr>
        <w:pStyle w:val="normal1"/>
        <w:spacing w:lineRule="auto" w:line="240" w:before="240" w:after="240"/>
        <w:jc w:val="both"/>
        <w:rPr>
          <w:rFonts w:ascii="Arial" w:hAnsi="Arial"/>
          <w:sz w:val="24"/>
          <w:szCs w:val="24"/>
        </w:rPr>
      </w:pPr>
      <w:r>
        <w:rPr>
          <w:rFonts w:ascii="Arial" w:hAnsi="Arial"/>
          <w:sz w:val="24"/>
          <w:szCs w:val="24"/>
        </w:rPr>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r>
    </w:p>
    <w:p>
      <w:pPr>
        <w:pStyle w:val="normal1"/>
        <w:jc w:val="both"/>
        <w:rPr>
          <w:rFonts w:ascii="Arial" w:hAnsi="Arial" w:eastAsia="Arial" w:cs="Arial"/>
          <w:b/>
          <w:bCs/>
          <w:sz w:val="24"/>
          <w:szCs w:val="24"/>
        </w:rPr>
      </w:pPr>
      <w:r>
        <w:rPr>
          <w:rFonts w:eastAsia="Arial" w:cs="Arial" w:ascii="Arial" w:hAnsi="Arial"/>
          <w:b/>
          <w:bCs/>
          <w:sz w:val="24"/>
          <w:szCs w:val="24"/>
        </w:rPr>
      </w:r>
    </w:p>
    <w:p>
      <w:pPr>
        <w:pStyle w:val="normal1"/>
        <w:jc w:val="both"/>
        <w:rPr>
          <w:rFonts w:ascii="Arial" w:hAnsi="Arial"/>
        </w:rPr>
      </w:pPr>
      <w:r>
        <w:rPr>
          <w:rFonts w:eastAsia="Arial" w:cs="Arial" w:ascii="Arial" w:hAnsi="Arial"/>
          <w:b/>
          <w:bCs/>
          <w:position w:val="0"/>
          <w:sz w:val="24"/>
          <w:sz w:val="24"/>
          <w:szCs w:val="24"/>
          <w:vertAlign w:val="baseline"/>
        </w:rPr>
        <w:t>Metodología:</w:t>
      </w:r>
    </w:p>
    <w:p>
      <w:pPr>
        <w:pStyle w:val="normal1"/>
        <w:spacing w:lineRule="auto" w:line="240" w:before="240" w:after="240"/>
        <w:jc w:val="both"/>
        <w:rPr>
          <w:rFonts w:ascii="Arial" w:hAnsi="Arial"/>
        </w:rPr>
      </w:pPr>
      <w:r>
        <w:rPr>
          <w:rFonts w:eastAsia="Arial" w:cs="Arial" w:ascii="Arial" w:hAnsi="Arial"/>
          <w:b/>
          <w:bCs/>
          <w:sz w:val="24"/>
          <w:szCs w:val="24"/>
        </w:rPr>
        <w:t>Bases de datos: ADReSS</w:t>
      </w:r>
    </w:p>
    <w:p>
      <w:pPr>
        <w:pStyle w:val="normal1"/>
        <w:spacing w:lineRule="auto" w:line="240" w:before="240" w:after="240"/>
        <w:jc w:val="both"/>
        <w:rPr>
          <w:rFonts w:ascii="Arial" w:hAnsi="Arial"/>
        </w:rPr>
      </w:pPr>
      <w:r>
        <w:rPr>
          <w:rFonts w:eastAsia="Arial" w:cs="Arial" w:ascii="Arial" w:hAnsi="Arial"/>
          <w:color w:val="auto"/>
          <w:position w:val="0"/>
          <w:sz w:val="24"/>
          <w:sz w:val="24"/>
          <w:szCs w:val="24"/>
          <w:vertAlign w:val="baseline"/>
        </w:rPr>
        <w:t xml:space="preserve">Para la validación experimental se emplearán ADReSS derivada del Pitt Corpus (DementiaBank) y diseñados para la clasificación automática AD vs. control mediante los retos Interspeech Challenge. ADReSS [7] reúne 156 hablantes (78 con AD, 78 controles), balanceados por edad y género, divididos en 108 hablantes de entrenamiento y 48 de prueba, a partir de la descripción de la lámina </w:t>
      </w:r>
      <w:r>
        <w:rPr>
          <w:rFonts w:eastAsia="Arial" w:cs="Arial" w:ascii="Arial" w:hAnsi="Arial"/>
          <w:i/>
          <w:iCs/>
          <w:color w:val="auto"/>
          <w:position w:val="0"/>
          <w:sz w:val="24"/>
          <w:sz w:val="24"/>
          <w:szCs w:val="24"/>
          <w:vertAlign w:val="baseline"/>
        </w:rPr>
        <w:t>Cookie Theft</w:t>
      </w:r>
      <w:r>
        <w:rPr>
          <w:rFonts w:eastAsia="Arial" w:cs="Arial" w:ascii="Arial" w:hAnsi="Arial"/>
          <w:color w:val="auto"/>
          <w:position w:val="0"/>
          <w:sz w:val="24"/>
          <w:sz w:val="24"/>
          <w:szCs w:val="24"/>
          <w:vertAlign w:val="baseline"/>
        </w:rPr>
        <w:t xml:space="preserve"> del Boston Diagnostic Aphasia Exam.  </w:t>
      </w:r>
    </w:p>
    <w:p>
      <w:pPr>
        <w:pStyle w:val="BodyText"/>
        <w:spacing w:lineRule="auto" w:line="240" w:before="240" w:after="240"/>
        <w:jc w:val="both"/>
        <w:rPr/>
      </w:pPr>
      <w:r>
        <w:rPr>
          <w:rStyle w:val="Strong"/>
          <w:rFonts w:eastAsia="Arial" w:cs="Arial" w:ascii="Arial" w:hAnsi="Arial"/>
          <w:color w:val="auto"/>
          <w:position w:val="0"/>
          <w:sz w:val="24"/>
          <w:sz w:val="24"/>
          <w:szCs w:val="24"/>
          <w:vertAlign w:val="baseline"/>
        </w:rPr>
        <w:t>Fase 1: Clasificación sin ajuste</w:t>
      </w:r>
    </w:p>
    <w:p>
      <w:pPr>
        <w:pStyle w:val="BodyText"/>
        <w:rPr>
          <w:rFonts w:ascii="Arial" w:hAnsi="Arial"/>
        </w:rPr>
      </w:pPr>
      <w:r>
        <w:rPr>
          <w:rFonts w:ascii="Arial" w:hAnsi="Arial"/>
          <w:sz w:val="24"/>
          <w:szCs w:val="24"/>
        </w:rPr>
        <w:t>En esta fase, el audio preprocesado se pasa directamente al modelo Wav2Vec 2.0 preentrenado sin activar ninguna de las cuatro estrategias PEFT. El modelo actúa únicamente como extractor de representaciones: todos sus pesos permanecen estaticos y solo se entrena la capa de clasificación (AD vs CTR) sobre dichas representaciones. El resultado de esta fase es el punto de referencia frente al cual se medirán todas las estrategias de adaptación, y responde a la pregunta de si las representaciones aprendidas de forma genérica transfieren de manera útil a la tarea de clasificación clínica sin ningún tipo de especialización en la cabecera.</w:t>
      </w:r>
    </w:p>
    <w:p>
      <w:pPr>
        <w:pStyle w:val="BodyText"/>
        <w:rPr>
          <w:rFonts w:ascii="Arial" w:hAnsi="Arial"/>
          <w:sz w:val="24"/>
          <w:szCs w:val="24"/>
        </w:rPr>
      </w:pPr>
      <w:r>
        <w:rPr>
          <w:rFonts w:ascii="Arial" w:hAnsi="Arial"/>
          <w:sz w:val="24"/>
          <w:szCs w:val="24"/>
        </w:rP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5759450" cy="23298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59450" cy="2329815"/>
                    </a:xfrm>
                    <a:prstGeom prst="rect">
                      <a:avLst/>
                    </a:prstGeom>
                  </pic:spPr>
                </pic:pic>
              </a:graphicData>
            </a:graphic>
          </wp:anchor>
        </w:drawing>
      </w:r>
    </w:p>
    <w:p>
      <w:pPr>
        <w:pStyle w:val="BodyText"/>
        <w:rPr/>
      </w:pPr>
      <w:r>
        <w:rPr>
          <w:rStyle w:val="Strong"/>
          <w:rFonts w:ascii="Arial" w:hAnsi="Arial"/>
          <w:sz w:val="24"/>
          <w:szCs w:val="24"/>
        </w:rPr>
        <w:t>Fase 2: Clasificación con PEFT</w:t>
      </w:r>
    </w:p>
    <w:p>
      <w:pPr>
        <w:pStyle w:val="BodyText"/>
        <w:rPr>
          <w:rFonts w:ascii="Arial" w:hAnsi="Arial"/>
        </w:rPr>
      </w:pPr>
      <w:r>
        <w:rPr>
          <w:rFonts w:ascii="Arial" w:hAnsi="Arial"/>
          <w:sz w:val="24"/>
          <w:szCs w:val="24"/>
        </w:rPr>
        <w:t>El mismo modelo preentrenado se somete, de forma independiente, a cada una de las cuatro estrategias evaluadas: adaptadores bottleneck, LoRA, prefix-tuning y descongelamiento parcial de capas , produciendo cuatro variantes adaptadas distintas del modelo, cada una entrenada por separado sobre el mismo conjunto de datos y bajo las mismas condiciones que la fase 1. Esta fase genera los cuatro resultados experimentales de clasificación a comparar con el modelo original.</w:t>
      </w:r>
    </w:p>
    <w:p>
      <w:pPr>
        <w:pStyle w:val="BodyText"/>
        <w:rPr>
          <w:rFonts w:ascii="Arial" w:hAnsi="Arial"/>
          <w:sz w:val="24"/>
          <w:szCs w:val="24"/>
        </w:rPr>
      </w:pPr>
      <w:r>
        <w:rPr>
          <w:rFonts w:ascii="Arial" w:hAnsi="Arial"/>
          <w:sz w:val="24"/>
          <w:szCs w:val="24"/>
        </w:rPr>
      </w:r>
    </w:p>
    <w:p>
      <w:pPr>
        <w:pStyle w:val="BodyText"/>
        <w:rPr/>
      </w:pPr>
      <w:r>
        <w:rPr>
          <w:rStyle w:val="Strong"/>
          <w:rFonts w:ascii="Arial" w:hAnsi="Arial"/>
          <w:sz w:val="24"/>
          <w:szCs w:val="24"/>
        </w:rPr>
        <w:t>Fase 3: Comparación de fase 1 y fase 2</w:t>
      </w:r>
    </w:p>
    <w:p>
      <w:pPr>
        <w:pStyle w:val="BodyText"/>
        <w:rPr>
          <w:rFonts w:ascii="Arial" w:hAnsi="Arial"/>
        </w:rPr>
      </w:pPr>
      <w:r>
        <w:rPr>
          <w:rFonts w:ascii="Arial" w:hAnsi="Arial"/>
          <w:sz w:val="24"/>
          <w:szCs w:val="24"/>
        </w:rPr>
        <w:t>Esta fase no representa un nuevo paso por el flujo del diagrama metodologico, sino un análisis transversal que toma los resultados de evaluación de las fases 1 y 2 y los confronta desde dos puntos de vista: el desempeño de clasificación obtenido entre el modelo original y sus versiones ajustadas  y el tiempo de ejecución requerido por cada una de las estrategias implementadas. Esta doble comparación es la que permite responder directamente la hipótesis central de la tesis: si el ajuste eficiente de parámetros logra igualar o superar al modelo estatico, y cual es el tiempo promedio en el cual lo logra en relación con un ajuste completo del modelo en el que se reentrenan todos los pesos de wav2vec 2.0 .</w:t>
      </w:r>
    </w:p>
    <w:p>
      <w:pPr>
        <w:pStyle w:val="normal1"/>
        <w:spacing w:lineRule="auto" w:line="240" w:before="240" w:after="240"/>
        <w:jc w:val="both"/>
        <w:rPr>
          <w:rFonts w:ascii="Arial" w:hAnsi="Arial" w:eastAsia="Arial" w:cs="Arial"/>
          <w:position w:val="0"/>
          <w:sz w:val="24"/>
          <w:sz w:val="24"/>
          <w:vertAlign w:val="baseline"/>
        </w:rPr>
      </w:pPr>
      <w:r>
        <w:rPr>
          <w:rFonts w:eastAsia="Arial" w:cs="Arial" w:ascii="Arial" w:hAnsi="Arial"/>
          <w:position w:val="0"/>
          <w:sz w:val="24"/>
          <w:sz w:val="24"/>
          <w:vertAlign w:val="baseline"/>
        </w:rPr>
      </w:r>
    </w:p>
    <w:p>
      <w:pPr>
        <w:pStyle w:val="normal1"/>
        <w:jc w:val="both"/>
        <w:rPr>
          <w:rFonts w:ascii="Arial" w:hAnsi="Arial" w:eastAsia="Arial" w:cs="Arial"/>
          <w:b/>
          <w:bCs/>
          <w:color w:val="7F7F7F"/>
          <w:position w:val="0"/>
          <w:sz w:val="24"/>
          <w:sz w:val="24"/>
          <w:szCs w:val="24"/>
          <w:vertAlign w:val="baseline"/>
        </w:rPr>
      </w:pPr>
      <w:r>
        <w:rPr>
          <w:rFonts w:eastAsia="Arial" w:cs="Arial" w:ascii="Arial" w:hAnsi="Arial"/>
          <w:b/>
          <w:bCs/>
          <w:color w:val="7F7F7F"/>
          <w:position w:val="0"/>
          <w:sz w:val="24"/>
          <w:sz w:val="24"/>
          <w:szCs w:val="24"/>
          <w:vertAlign w:val="baseline"/>
        </w:rPr>
      </w:r>
    </w:p>
    <w:p>
      <w:pPr>
        <w:pStyle w:val="normal1"/>
        <w:jc w:val="both"/>
        <w:rPr>
          <w:rFonts w:ascii="Arial" w:hAnsi="Arial"/>
        </w:rPr>
      </w:pPr>
      <w:r>
        <w:rPr>
          <w:rFonts w:eastAsia="Arial" w:cs="Arial" w:ascii="Arial" w:hAnsi="Arial"/>
          <w:b/>
          <w:bCs/>
          <w:position w:val="0"/>
          <w:sz w:val="24"/>
          <w:sz w:val="24"/>
          <w:szCs w:val="24"/>
          <w:vertAlign w:val="baseline"/>
        </w:rPr>
        <w:t>Cronograma de actividades</w:t>
      </w:r>
    </w:p>
    <w:p>
      <w:pPr>
        <w:pStyle w:val="normal1"/>
        <w:rPr>
          <w:rFonts w:ascii="Arial" w:hAnsi="Arial"/>
        </w:rPr>
      </w:pPr>
      <w:r>
        <w:rPr>
          <w:rFonts w:ascii="Arial" w:hAnsi="Arial"/>
        </w:rPr>
        <w:drawing>
          <wp:anchor behindDoc="0" distT="0" distB="0" distL="0" distR="0" simplePos="0" locked="0" layoutInCell="0" allowOverlap="1" relativeHeight="90">
            <wp:simplePos x="0" y="0"/>
            <wp:positionH relativeFrom="column">
              <wp:align>center</wp:align>
            </wp:positionH>
            <wp:positionV relativeFrom="paragraph">
              <wp:posOffset>635</wp:posOffset>
            </wp:positionV>
            <wp:extent cx="5759450" cy="21977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59450" cy="2197735"/>
                    </a:xfrm>
                    <a:prstGeom prst="rect">
                      <a:avLst/>
                    </a:prstGeom>
                  </pic:spPr>
                </pic:pic>
              </a:graphicData>
            </a:graphic>
          </wp:anchor>
        </w:drawing>
      </w:r>
    </w:p>
    <w:p>
      <w:pPr>
        <w:pStyle w:val="normal1"/>
        <w:jc w:val="both"/>
        <w:rPr>
          <w:rFonts w:ascii="Arial" w:hAnsi="Arial" w:eastAsia="Arial" w:cs="Arial"/>
          <w:b/>
          <w:bCs/>
          <w:color w:val="7F7F7F"/>
          <w:position w:val="0"/>
          <w:sz w:val="24"/>
          <w:sz w:val="24"/>
          <w:szCs w:val="24"/>
          <w:vertAlign w:val="baseline"/>
        </w:rPr>
      </w:pPr>
      <w:r>
        <w:rPr>
          <w:rFonts w:eastAsia="Arial" w:cs="Arial" w:ascii="Arial" w:hAnsi="Arial"/>
          <w:b/>
          <w:bCs/>
          <w:color w:val="7F7F7F"/>
          <w:position w:val="0"/>
          <w:sz w:val="24"/>
          <w:sz w:val="24"/>
          <w:szCs w:val="24"/>
          <w:vertAlign w:val="baseline"/>
        </w:rPr>
      </w:r>
    </w:p>
    <w:p>
      <w:pPr>
        <w:pStyle w:val="normal1"/>
        <w:jc w:val="both"/>
        <w:rPr>
          <w:rFonts w:ascii="Arial" w:hAnsi="Arial"/>
        </w:rPr>
      </w:pPr>
      <w:r>
        <w:rPr>
          <w:rFonts w:ascii="Arial" w:hAnsi="Arial"/>
        </w:rPr>
      </w:r>
    </w:p>
    <w:p>
      <w:pPr>
        <w:pStyle w:val="normal1"/>
        <w:jc w:val="both"/>
        <w:rPr>
          <w:rFonts w:ascii="Arial" w:hAnsi="Arial"/>
        </w:rPr>
      </w:pPr>
      <w:r>
        <w:rPr>
          <w:rFonts w:ascii="Arial" w:hAnsi="Arial"/>
        </w:rPr>
      </w:r>
    </w:p>
    <w:p>
      <w:pPr>
        <w:pStyle w:val="normal1"/>
        <w:jc w:val="both"/>
        <w:rPr>
          <w:rFonts w:ascii="Arial" w:hAnsi="Arial"/>
        </w:rPr>
      </w:pPr>
      <w:r>
        <w:rPr>
          <w:rFonts w:ascii="Arial" w:hAnsi="Arial"/>
        </w:rPr>
      </w:r>
    </w:p>
    <w:p>
      <w:pPr>
        <w:pStyle w:val="normal1"/>
        <w:jc w:val="both"/>
        <w:rPr>
          <w:rFonts w:ascii="Arial" w:hAnsi="Arial"/>
        </w:rPr>
      </w:pPr>
      <w:r>
        <w:rPr>
          <w:rFonts w:ascii="Arial" w:hAnsi="Arial"/>
        </w:rPr>
      </w:r>
    </w:p>
    <w:p>
      <w:pPr>
        <w:pStyle w:val="normal1"/>
        <w:jc w:val="both"/>
        <w:rPr>
          <w:rFonts w:ascii="Arial" w:hAnsi="Arial"/>
        </w:rPr>
      </w:pPr>
      <w:r>
        <w:rPr>
          <w:rFonts w:ascii="Arial" w:hAnsi="Arial"/>
        </w:rPr>
      </w:r>
    </w:p>
    <w:p>
      <w:pPr>
        <w:pStyle w:val="normal1"/>
        <w:jc w:val="both"/>
        <w:rPr>
          <w:rFonts w:ascii="Arial" w:hAnsi="Arial"/>
        </w:rPr>
      </w:pPr>
      <w:r>
        <w:rPr>
          <w:rFonts w:eastAsia="Arial" w:cs="Arial" w:ascii="Arial" w:hAnsi="Arial"/>
          <w:b/>
          <w:bCs/>
          <w:position w:val="0"/>
          <w:sz w:val="24"/>
          <w:sz w:val="24"/>
          <w:szCs w:val="24"/>
          <w:vertAlign w:val="baseline"/>
        </w:rPr>
        <w:t>Resultados esperados</w:t>
      </w:r>
    </w:p>
    <w:p>
      <w:pPr>
        <w:pStyle w:val="normal1"/>
        <w:jc w:val="both"/>
        <w:rPr>
          <w:rFonts w:ascii="Arial" w:hAnsi="Arial"/>
        </w:rPr>
      </w:pPr>
      <w:r>
        <w:rPr>
          <w:rFonts w:ascii="Arial" w:hAnsi="Arial"/>
        </w:rPr>
      </w:r>
    </w:p>
    <w:p>
      <w:pPr>
        <w:pStyle w:val="BodyText"/>
        <w:jc w:val="both"/>
        <w:rPr>
          <w:rFonts w:ascii="Arial" w:hAnsi="Arial"/>
          <w:b w:val="false"/>
          <w:bCs w:val="false"/>
        </w:rPr>
      </w:pPr>
      <w:r>
        <w:rPr>
          <w:rFonts w:eastAsia="Arial" w:cs="Arial" w:ascii="Arial" w:hAnsi="Arial"/>
          <w:b w:val="false"/>
          <w:bCs w:val="false"/>
          <w:position w:val="0"/>
          <w:sz w:val="24"/>
          <w:sz w:val="24"/>
          <w:szCs w:val="24"/>
          <w:vertAlign w:val="baseline"/>
        </w:rPr>
        <w:t xml:space="preserve">Con la ejecución de las tres fases descritas en la metodología, se espera obtener un conjunto de hallazgos que permitan responder </w:t>
      </w:r>
      <w:r>
        <w:rPr>
          <w:rFonts w:eastAsia="Arial" w:cs="Arial" w:ascii="Arial" w:hAnsi="Arial"/>
          <w:b w:val="false"/>
          <w:bCs w:val="false"/>
          <w:position w:val="0"/>
          <w:sz w:val="24"/>
          <w:sz w:val="24"/>
          <w:szCs w:val="24"/>
          <w:vertAlign w:val="baseline"/>
        </w:rPr>
        <w:t xml:space="preserve">a </w:t>
      </w:r>
      <w:r>
        <w:rPr>
          <w:rFonts w:eastAsia="Arial" w:cs="Arial" w:ascii="Arial" w:hAnsi="Arial"/>
          <w:b w:val="false"/>
          <w:bCs w:val="false"/>
          <w:position w:val="0"/>
          <w:sz w:val="24"/>
          <w:sz w:val="24"/>
          <w:szCs w:val="24"/>
          <w:vertAlign w:val="baseline"/>
        </w:rPr>
        <w:t xml:space="preserve">la hipótesis central de este trabajo: que la adaptación mediante estrategias de ajuste eficiente de parámetros (PEFT) mejora el desempeño de clasificación de wav2vec 2.0 en la tarea de discriminación entre pacientes con enfermedad de Alzheimer y controles sanos, incluso en presencia de datos etiquetados limitados, respecto a un modelo </w:t>
      </w:r>
      <w:r>
        <w:rPr>
          <w:rFonts w:eastAsia="Arial" w:cs="Arial" w:ascii="Arial" w:hAnsi="Arial"/>
          <w:b w:val="false"/>
          <w:bCs w:val="false"/>
          <w:position w:val="0"/>
          <w:sz w:val="24"/>
          <w:sz w:val="24"/>
          <w:szCs w:val="24"/>
          <w:vertAlign w:val="baseline"/>
        </w:rPr>
        <w:t>estatico</w:t>
      </w:r>
      <w:r>
        <w:rPr>
          <w:rFonts w:eastAsia="Arial" w:cs="Arial" w:ascii="Arial" w:hAnsi="Arial"/>
          <w:b w:val="false"/>
          <w:bCs w:val="false"/>
          <w:position w:val="0"/>
          <w:sz w:val="24"/>
          <w:sz w:val="24"/>
          <w:szCs w:val="24"/>
          <w:vertAlign w:val="baseline"/>
        </w:rPr>
        <w:t xml:space="preserve"> sin ningún tipo de especialización.</w:t>
      </w:r>
    </w:p>
    <w:p>
      <w:pPr>
        <w:pStyle w:val="BodyText"/>
        <w:rPr>
          <w:rFonts w:ascii="Arial" w:hAnsi="Arial"/>
        </w:rPr>
      </w:pPr>
      <w:r>
        <w:rPr>
          <w:rFonts w:ascii="Arial" w:hAnsi="Arial"/>
        </w:rPr>
        <w:t>En primer lugar, de la fase de clasificación sin ajuste se espera obtener una línea de referencia cuantificable en términos de las métricas de evaluación seleccionadas (exactitud, F1-score y sensibilidad/especificidad, dado el contexto clínico de la tarea). Se anticipa que este desempeño, aunque por encima del azar, sea moderado, en la medida en que las representaciones de wav2vec 2.0 fueron aprendidas a partir de habla no patológica y no incorporan ningún mecanismo de especialización hacia los patrones acústicos asociados al deterioro cognitivo. Este resultado no busca ser sobresaliente en sí mismo, sino constituir el punto de comparación fijo frente al cual se evaluará el aporte real de cada estrategia de adaptación.</w:t>
      </w:r>
    </w:p>
    <w:p>
      <w:pPr>
        <w:pStyle w:val="BodyText"/>
        <w:rPr/>
      </w:pPr>
      <w:r>
        <w:rPr>
          <w:rFonts w:ascii="Arial" w:hAnsi="Arial"/>
        </w:rPr>
        <w:t xml:space="preserve">En segundo lugar, de la aplicación independiente de las cuatro estrategias de ajuste eficiente de parámetros </w:t>
      </w:r>
      <w:r>
        <w:rPr>
          <w:rFonts w:ascii="Arial" w:hAnsi="Arial"/>
        </w:rPr>
        <w:t>(</w:t>
      </w:r>
      <w:r>
        <w:rPr>
          <w:rFonts w:ascii="Arial" w:hAnsi="Arial"/>
        </w:rPr>
        <w:t xml:space="preserve">adaptadores tipo </w:t>
      </w:r>
      <w:r>
        <w:rPr>
          <w:rStyle w:val="Emphasis"/>
          <w:rFonts w:ascii="Arial" w:hAnsi="Arial"/>
        </w:rPr>
        <w:t>bottleneck</w:t>
      </w:r>
      <w:r>
        <w:rPr>
          <w:rFonts w:ascii="Arial" w:hAnsi="Arial"/>
        </w:rPr>
        <w:t xml:space="preserve">, LoRA, </w:t>
      </w:r>
      <w:r>
        <w:rPr>
          <w:rStyle w:val="Emphasis"/>
          <w:rFonts w:ascii="Arial" w:hAnsi="Arial"/>
        </w:rPr>
        <w:t>prefix-tuning</w:t>
      </w:r>
      <w:r>
        <w:rPr>
          <w:rFonts w:ascii="Arial" w:hAnsi="Arial"/>
        </w:rPr>
        <w:t xml:space="preserve"> y descongelamiento parcial de capas</w:t>
      </w:r>
      <w:r>
        <w:rPr>
          <w:rFonts w:ascii="Arial" w:hAnsi="Arial"/>
        </w:rPr>
        <w:t>)</w:t>
      </w:r>
      <w:r>
        <w:rPr>
          <w:rFonts w:ascii="Arial" w:hAnsi="Arial"/>
        </w:rPr>
        <w:t xml:space="preserve"> se espera caracterizar su aplicabilidad y su comportamiento particular sobre la arquitectura de wav2vec 2.0 en este escenario de datos clínicos escasos. No se anticipa que las cuatro estrategias se comporten de manera equivalente: es razonable esperar que estrategias con mayor capacidad de modificación de las representaciones internas (por ejemplo, el descongelamiento parcial de capas) obtengan ganancias de desempeño más notorias pero a un costo de parámetros entrenables considerablemente mayor, mientras que estrategias más restringidas (como </w:t>
      </w:r>
      <w:r>
        <w:rPr>
          <w:rStyle w:val="Emphasis"/>
          <w:rFonts w:ascii="Arial" w:hAnsi="Arial"/>
        </w:rPr>
        <w:t>prefix-tuning</w:t>
      </w:r>
      <w:r>
        <w:rPr>
          <w:rFonts w:ascii="Arial" w:hAnsi="Arial"/>
        </w:rPr>
        <w:t>) podrían mostrar mejoras más modestas, en línea con lo reportado en la literatura sobre su menor flexibilidad en arquitecturas de habla en comparación con modelos de lenguaje. Esta heterogeneidad esperada es en sí misma un resultado relevante, pues permite identificar qué mecanismo de adaptación resulta más adecuado para este tipo de tarea y de dato.</w:t>
      </w:r>
    </w:p>
    <w:p>
      <w:pPr>
        <w:pStyle w:val="BodyText"/>
        <w:rPr>
          <w:rFonts w:ascii="Arial" w:hAnsi="Arial"/>
        </w:rPr>
      </w:pPr>
      <w:r>
        <w:rPr>
          <w:rFonts w:ascii="Arial" w:hAnsi="Arial"/>
        </w:rPr>
        <w:t xml:space="preserve">En tercer lugar, de la comparación conjunta entre el modelo base y las cuatro estrategias se espera establecer no solo cuál o cuáles estrategias superan a la línea base en desempeño de clasificación, sino también cuál ofrece la relación más favorable entre mejora de desempeño y costo computacional (parámetros entrenables, tiempo de entrenamiento e inferencia). Se espera que este análisis comparativo constituya el aporte metodológico central del trabajo, al proporcionar evidencia sobre la viabilidad de adaptar modelos fundacionales de habla a tareas clínicas </w:t>
      </w:r>
      <w:r>
        <w:rPr>
          <w:rFonts w:ascii="Arial" w:hAnsi="Arial"/>
        </w:rPr>
        <w:t>no invasivas</w:t>
      </w:r>
      <w:r>
        <w:rPr>
          <w:rFonts w:ascii="Arial" w:hAnsi="Arial"/>
        </w:rPr>
        <w:t>.</w:t>
      </w:r>
    </w:p>
    <w:p>
      <w:pPr>
        <w:pStyle w:val="BodyText"/>
        <w:rPr>
          <w:rFonts w:ascii="Arial" w:hAnsi="Arial"/>
        </w:rPr>
      </w:pPr>
      <w:commentRangeStart w:id="1"/>
      <w:r>
        <w:rPr>
          <w:rFonts w:ascii="Arial" w:hAnsi="Arial"/>
        </w:rPr>
        <w:t>Finalmente, se espera que este trabajo contribuya a un área de investigación aún escasamente explorada: la intersección entre PEFT, modelos de habla auto-supervisados y clasificación de enfermedades neurodegenerativas. Dado que las corpus experimentales utilizados están en inglés, los resultados obtenidos deben entenderse como una validación metodológica de las estrategias evaluadas más que como una conclusión directa sobre su desempeño en habla en español; no obstante, se espera que esta validación siente una base metodológica replicable para trabajos futuros orientados a corpus de habla clínica en español, incluyendo eventualmente el contexto colombiano que motiva este trabajo.</w:t>
      </w:r>
      <w:commentRangeEnd w:id="1"/>
      <w:r>
        <w:commentReference w:id="1"/>
      </w:r>
      <w:r>
        <w:rPr>
          <w:rFonts w:ascii="Arial" w:hAnsi="Arial"/>
        </w:rPr>
      </w:r>
    </w:p>
    <w:p>
      <w:pPr>
        <w:pStyle w:val="normal1"/>
        <w:jc w:val="both"/>
        <w:rPr>
          <w:rFonts w:ascii="Arial" w:hAnsi="Arial"/>
        </w:rPr>
      </w:pPr>
      <w:r>
        <w:rPr>
          <w:rFonts w:ascii="Arial" w:hAnsi="Arial"/>
        </w:rPr>
      </w:r>
    </w:p>
    <w:p>
      <w:pPr>
        <w:pStyle w:val="normal1"/>
        <w:jc w:val="both"/>
        <w:rPr>
          <w:rFonts w:ascii="Arial" w:hAnsi="Arial"/>
        </w:rPr>
      </w:pPr>
      <w:r>
        <w:rPr>
          <w:rFonts w:ascii="Arial" w:hAnsi="Arial"/>
        </w:rPr>
      </w:r>
    </w:p>
    <w:p>
      <w:pPr>
        <w:pStyle w:val="normal1"/>
        <w:jc w:val="both"/>
        <w:rPr>
          <w:rFonts w:ascii="Arial" w:hAnsi="Arial"/>
        </w:rPr>
      </w:pPr>
      <w:r>
        <w:rPr>
          <w:rFonts w:eastAsia="Arial" w:cs="Arial" w:ascii="Arial" w:hAnsi="Arial"/>
          <w:b/>
          <w:bCs/>
          <w:position w:val="0"/>
          <w:sz w:val="24"/>
          <w:sz w:val="24"/>
          <w:szCs w:val="24"/>
          <w:vertAlign w:val="baseline"/>
        </w:rPr>
        <w:t>Presupuesto</w:t>
      </w:r>
    </w:p>
    <w:p>
      <w:pPr>
        <w:pStyle w:val="normal1"/>
        <w:jc w:val="both"/>
        <w:rPr>
          <w:rFonts w:ascii="Arial" w:hAnsi="Arial"/>
        </w:rPr>
      </w:pPr>
      <w:r>
        <w:rPr>
          <w:rFonts w:eastAsia="Arial" w:cs="Arial" w:ascii="Arial" w:hAnsi="Arial"/>
          <w:color w:val="7F7F7F"/>
          <w:position w:val="0"/>
          <w:sz w:val="24"/>
          <w:sz w:val="24"/>
          <w:szCs w:val="24"/>
          <w:vertAlign w:val="baseline"/>
        </w:rPr>
        <w:t>Se describen los recursos necesarios para la realización del proyecto (gastos en personal, gastos en equipos o análisis, gastos en materiales o insumos).</w:t>
      </w:r>
    </w:p>
    <w:p>
      <w:pPr>
        <w:pStyle w:val="normal1"/>
        <w:jc w:val="both"/>
        <w:rPr>
          <w:rFonts w:ascii="Arial" w:hAnsi="Arial" w:eastAsia="Arial" w:cs="Arial"/>
          <w:b/>
          <w:bCs/>
          <w:color w:val="7F7F7F"/>
          <w:position w:val="0"/>
          <w:sz w:val="24"/>
          <w:sz w:val="24"/>
          <w:szCs w:val="24"/>
          <w:vertAlign w:val="baseline"/>
        </w:rPr>
      </w:pPr>
      <w:r>
        <w:rPr>
          <w:rFonts w:eastAsia="Arial" w:cs="Arial" w:ascii="Arial" w:hAnsi="Arial"/>
          <w:b/>
          <w:bCs/>
          <w:color w:val="7F7F7F"/>
          <w:position w:val="0"/>
          <w:sz w:val="24"/>
          <w:sz w:val="24"/>
          <w:szCs w:val="24"/>
          <w:vertAlign w:val="baseline"/>
        </w:rPr>
      </w:r>
    </w:p>
    <w:p>
      <w:pPr>
        <w:pStyle w:val="normal1"/>
        <w:jc w:val="both"/>
        <w:rPr>
          <w:rFonts w:ascii="Arial" w:hAnsi="Arial"/>
        </w:rPr>
      </w:pPr>
      <w:r>
        <w:rPr>
          <w:rFonts w:eastAsia="Arial" w:cs="Arial" w:ascii="Arial" w:hAnsi="Arial"/>
          <w:b/>
          <w:bCs/>
          <w:position w:val="0"/>
          <w:sz w:val="24"/>
          <w:sz w:val="24"/>
          <w:szCs w:val="24"/>
          <w:vertAlign w:val="baseline"/>
        </w:rPr>
        <w:t>Referencias bibliográficas</w:t>
      </w:r>
    </w:p>
    <w:p>
      <w:pPr>
        <w:pStyle w:val="normal1"/>
        <w:jc w:val="both"/>
        <w:rPr>
          <w:rFonts w:ascii="Arial" w:hAnsi="Arial"/>
        </w:rPr>
      </w:pPr>
      <w:r>
        <w:rPr>
          <w:rFonts w:eastAsia="Arial" w:cs="Arial" w:ascii="Arial" w:hAnsi="Arial"/>
          <w:color w:val="7F7F7F"/>
          <w:position w:val="0"/>
          <w:sz w:val="24"/>
          <w:sz w:val="24"/>
          <w:szCs w:val="24"/>
          <w:vertAlign w:val="baseline"/>
        </w:rPr>
        <w:t xml:space="preserve">Se referencian adecuadamente los autores y publicaciones citados en este proyecto de acuerdo con la Norma Técnica Colombiana. </w:t>
      </w:r>
    </w:p>
    <w:p>
      <w:pPr>
        <w:pStyle w:val="normal1"/>
        <w:jc w:val="both"/>
        <w:rPr>
          <w:rFonts w:ascii="Arial" w:hAnsi="Arial" w:eastAsia="Arial" w:cs="Arial"/>
          <w:b/>
          <w:bCs/>
          <w:color w:val="7F7F7F"/>
          <w:position w:val="0"/>
          <w:sz w:val="24"/>
          <w:sz w:val="24"/>
          <w:szCs w:val="24"/>
          <w:vertAlign w:val="baseline"/>
        </w:rPr>
      </w:pPr>
      <w:r>
        <w:rPr>
          <w:rFonts w:eastAsia="Arial" w:cs="Arial" w:ascii="Arial" w:hAnsi="Arial"/>
          <w:b/>
          <w:bCs/>
          <w:color w:val="7F7F7F"/>
          <w:position w:val="0"/>
          <w:sz w:val="24"/>
          <w:sz w:val="24"/>
          <w:szCs w:val="24"/>
          <w:vertAlign w:val="baseline"/>
        </w:rPr>
      </w:r>
    </w:p>
    <w:p>
      <w:pPr>
        <w:pStyle w:val="normal1"/>
        <w:jc w:val="both"/>
        <w:rPr>
          <w:rFonts w:ascii="Arial" w:hAnsi="Arial"/>
        </w:rPr>
      </w:pPr>
      <w:r>
        <w:rPr>
          <w:rFonts w:eastAsia="Arial" w:cs="Arial" w:ascii="Arial" w:hAnsi="Arial"/>
          <w:b/>
          <w:bCs/>
          <w:position w:val="0"/>
          <w:sz w:val="24"/>
          <w:sz w:val="24"/>
          <w:szCs w:val="24"/>
          <w:vertAlign w:val="baseline"/>
        </w:rPr>
        <w:t xml:space="preserve">Visto bueno del asesor interno </w:t>
      </w:r>
    </w:p>
    <w:p>
      <w:pPr>
        <w:pStyle w:val="normal1"/>
        <w:jc w:val="both"/>
        <w:rPr>
          <w:rFonts w:ascii="Arial" w:hAnsi="Arial"/>
        </w:rPr>
      </w:pPr>
      <w:r>
        <w:rPr>
          <w:rFonts w:eastAsia="Arial" w:cs="Arial" w:ascii="Arial" w:hAnsi="Arial"/>
          <w:position w:val="0"/>
          <w:sz w:val="24"/>
          <w:sz w:val="24"/>
          <w:szCs w:val="24"/>
          <w:vertAlign w:val="baseline"/>
        </w:rPr>
        <w:t>Como asesor conozco la propuesta y avalo el contenido de esta.</w:t>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mc:AlternateContent>
          <mc:Choice Requires="wps">
            <w:drawing>
              <wp:anchor behindDoc="0" distT="5080" distB="5715" distL="1270" distR="635" simplePos="0" locked="0" layoutInCell="1" allowOverlap="1" relativeHeight="28">
                <wp:simplePos x="0" y="0"/>
                <wp:positionH relativeFrom="column">
                  <wp:posOffset>3776345</wp:posOffset>
                </wp:positionH>
                <wp:positionV relativeFrom="paragraph">
                  <wp:posOffset>146050</wp:posOffset>
                </wp:positionV>
                <wp:extent cx="1915795" cy="12700"/>
                <wp:effectExtent l="1270" t="5080" r="635" b="5715"/>
                <wp:wrapNone/>
                <wp:docPr id="3" name="Shape2"/>
                <a:graphic xmlns:a="http://schemas.openxmlformats.org/drawingml/2006/main">
                  <a:graphicData uri="http://schemas.microsoft.com/office/word/2010/wordprocessingShape">
                    <wps:wsp>
                      <wps:cNvSpPr/>
                      <wps:spPr>
                        <a:xfrm>
                          <a:off x="0" y="0"/>
                          <a:ext cx="1915920" cy="12600"/>
                        </a:xfrm>
                        <a:prstGeom prst="straightConnector1">
                          <a:avLst/>
                        </a:prstGeom>
                        <a:no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2" path="m0,0l-2147483648,-2147483647e" stroked="t" o:allowincell="f" style="position:absolute;margin-left:297.35pt;margin-top:11.5pt;width:150.8pt;height:0.95pt;mso-wrap-style:none;v-text-anchor:middle" type="_x0000_t32">
                <v:fill o:detectmouseclick="t" on="false"/>
                <v:stroke color="black" weight="9360" joinstyle="miter" endcap="flat"/>
                <w10:wrap type="none"/>
              </v:shape>
            </w:pict>
          </mc:Fallback>
        </mc:AlternateContent>
        <mc:AlternateContent>
          <mc:Choice Requires="wps">
            <w:drawing>
              <wp:anchor behindDoc="0" distT="5080" distB="5715" distL="1270" distR="635" simplePos="0" locked="0" layoutInCell="1" allowOverlap="1" relativeHeight="29">
                <wp:simplePos x="0" y="0"/>
                <wp:positionH relativeFrom="column">
                  <wp:posOffset>23495</wp:posOffset>
                </wp:positionH>
                <wp:positionV relativeFrom="paragraph">
                  <wp:posOffset>146050</wp:posOffset>
                </wp:positionV>
                <wp:extent cx="1915795" cy="12700"/>
                <wp:effectExtent l="1270" t="5080" r="635" b="5715"/>
                <wp:wrapNone/>
                <wp:docPr id="4" name="Shape1"/>
                <a:graphic xmlns:a="http://schemas.openxmlformats.org/drawingml/2006/main">
                  <a:graphicData uri="http://schemas.microsoft.com/office/word/2010/wordprocessingShape">
                    <wps:wsp>
                      <wps:cNvSpPr/>
                      <wps:spPr>
                        <a:xfrm>
                          <a:off x="0" y="0"/>
                          <a:ext cx="1915920" cy="12600"/>
                        </a:xfrm>
                        <a:prstGeom prst="straightConnector1">
                          <a:avLst/>
                        </a:prstGeom>
                        <a:noFill/>
                        <a:ln w="9525">
                          <a:solidFill>
                            <a:srgbClr val="000000"/>
                          </a:solidFill>
                          <a:miter/>
                        </a:ln>
                      </wps:spPr>
                      <wps:style>
                        <a:lnRef idx="0"/>
                        <a:fillRef idx="0"/>
                        <a:effectRef idx="0"/>
                        <a:fontRef idx="minor"/>
                      </wps:style>
                      <wps:bodyPr/>
                    </wps:wsp>
                  </a:graphicData>
                </a:graphic>
              </wp:anchor>
            </w:drawing>
          </mc:Choice>
          <mc:Fallback>
            <w:pict>
              <v:shape id="shape_0" ID="Shape1" path="m0,0l-2147483648,-2147483647e" stroked="t" o:allowincell="f" style="position:absolute;margin-left:1.85pt;margin-top:11.5pt;width:150.8pt;height:0.95pt;mso-wrap-style:none;v-text-anchor:middle" type="_x0000_t32">
                <v:fill o:detectmouseclick="t" on="false"/>
                <v:stroke color="black" weight="9360" joinstyle="miter" endcap="flat"/>
                <w10:wrap type="none"/>
              </v:shape>
            </w:pict>
          </mc:Fallback>
        </mc:AlternateContent>
      </w:r>
    </w:p>
    <w:p>
      <w:pPr>
        <w:pStyle w:val="normal1"/>
        <w:rPr>
          <w:rFonts w:ascii="Arial" w:hAnsi="Arial"/>
        </w:rPr>
      </w:pPr>
      <w:r>
        <w:rPr>
          <w:rFonts w:eastAsia="Arial" w:cs="Arial" w:ascii="Arial" w:hAnsi="Arial"/>
          <w:position w:val="0"/>
          <w:sz w:val="24"/>
          <w:sz w:val="24"/>
          <w:szCs w:val="24"/>
          <w:vertAlign w:val="baseline"/>
        </w:rPr>
        <w:t xml:space="preserve">Nombre del asesor interno </w:t>
        <w:tab/>
        <w:tab/>
        <w:tab/>
        <w:tab/>
        <w:t xml:space="preserve">       Firma del asesor interno </w:t>
      </w:r>
    </w:p>
    <w:p>
      <w:pPr>
        <w:pStyle w:val="normal1"/>
        <w:rPr>
          <w:rFonts w:ascii="Arial" w:hAnsi="Arial"/>
        </w:rPr>
      </w:pPr>
      <w:r>
        <w:rPr>
          <w:rFonts w:eastAsia="Arial" w:cs="Arial" w:ascii="Arial" w:hAnsi="Arial"/>
          <w:position w:val="0"/>
          <w:sz w:val="24"/>
          <w:sz w:val="24"/>
          <w:szCs w:val="24"/>
          <w:vertAlign w:val="baseline"/>
        </w:rPr>
        <w:t xml:space="preserve">C.C. </w:t>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rPr>
          <w:rFonts w:ascii="Arial" w:hAnsi="Arial" w:eastAsia="Century Gothic" w:cs="Century Gothic"/>
          <w:position w:val="0"/>
          <w:sz w:val="24"/>
          <w:sz w:val="24"/>
          <w:szCs w:val="24"/>
          <w:vertAlign w:val="baseline"/>
        </w:rPr>
      </w:pPr>
      <w:r>
        <w:rPr>
          <w:rFonts w:eastAsia="Century Gothic" w:cs="Century Gothic" w:ascii="Arial" w:hAnsi="Arial"/>
          <w:position w:val="0"/>
          <w:sz w:val="24"/>
          <w:sz w:val="24"/>
          <w:szCs w:val="24"/>
          <w:vertAlign w:val="baseline"/>
        </w:rPr>
      </w:r>
    </w:p>
    <w:p>
      <w:pPr>
        <w:pStyle w:val="normal1"/>
        <w:rPr>
          <w:rFonts w:ascii="Arial" w:hAnsi="Arial" w:eastAsia="Century Gothic" w:cs="Century Gothic"/>
          <w:position w:val="0"/>
          <w:sz w:val="24"/>
          <w:sz w:val="24"/>
          <w:szCs w:val="24"/>
          <w:vertAlign w:val="baseline"/>
        </w:rPr>
      </w:pPr>
      <w:r>
        <w:rPr>
          <w:rFonts w:eastAsia="Century Gothic" w:cs="Century Gothic" w:ascii="Arial" w:hAnsi="Arial"/>
          <w:position w:val="0"/>
          <w:sz w:val="24"/>
          <w:sz w:val="24"/>
          <w:szCs w:val="24"/>
          <w:vertAlign w:val="baseline"/>
        </w:rPr>
      </w:r>
      <w:bookmarkStart w:id="2" w:name="_ho5n7941snfd"/>
      <w:bookmarkStart w:id="3" w:name="_ho5n7941snfd"/>
      <w:bookmarkEnd w:id="3"/>
    </w:p>
    <w:p>
      <w:pPr>
        <w:pStyle w:val="normal1"/>
        <w:jc w:val="both"/>
        <w:rPr>
          <w:rFonts w:ascii="Arial" w:hAnsi="Arial" w:eastAsia="Arial" w:cs="Arial"/>
          <w:b/>
          <w:bCs/>
          <w:position w:val="0"/>
          <w:sz w:val="24"/>
          <w:sz w:val="24"/>
          <w:szCs w:val="24"/>
          <w:vertAlign w:val="baseline"/>
        </w:rPr>
      </w:pPr>
      <w:r>
        <w:rPr>
          <w:rFonts w:eastAsia="Arial" w:cs="Arial" w:ascii="Arial" w:hAnsi="Arial"/>
          <w:b/>
          <w:bCs/>
          <w:position w:val="0"/>
          <w:sz w:val="24"/>
          <w:sz w:val="24"/>
          <w:szCs w:val="24"/>
          <w:vertAlign w:val="baseline"/>
        </w:rPr>
      </w:r>
    </w:p>
    <w:p>
      <w:pPr>
        <w:pStyle w:val="normal1"/>
        <w:jc w:val="both"/>
        <w:rPr>
          <w:rFonts w:ascii="Arial" w:hAnsi="Arial"/>
        </w:rPr>
      </w:pPr>
      <w:r>
        <w:rPr>
          <w:rFonts w:eastAsia="Arial" w:cs="Arial" w:ascii="Arial" w:hAnsi="Arial"/>
          <w:b/>
          <w:bCs/>
          <w:position w:val="0"/>
          <w:sz w:val="24"/>
          <w:sz w:val="24"/>
          <w:szCs w:val="24"/>
          <w:vertAlign w:val="baseline"/>
        </w:rPr>
        <w:t>OBSERVACIONES</w:t>
      </w:r>
    </w:p>
    <w:p>
      <w:pPr>
        <w:pStyle w:val="Heading1"/>
        <w:numPr>
          <w:ilvl w:val="0"/>
          <w:numId w:val="2"/>
        </w:numPr>
        <w:ind w:hanging="360" w:left="791"/>
        <w:jc w:val="both"/>
        <w:rPr>
          <w:rFonts w:ascii="Arial" w:hAnsi="Arial"/>
        </w:rPr>
      </w:pPr>
      <w:bookmarkStart w:id="4" w:name="_d6ssffjsw8tn"/>
      <w:bookmarkEnd w:id="4"/>
      <w:r>
        <w:rPr>
          <w:rFonts w:ascii="Arial" w:hAnsi="Arial"/>
          <w:b w:val="false"/>
          <w:bCs w:val="false"/>
          <w:position w:val="0"/>
          <w:sz w:val="24"/>
          <w:sz w:val="24"/>
          <w:szCs w:val="24"/>
          <w:vertAlign w:val="baseline"/>
        </w:rPr>
        <w:t>La propuesta debe entregarse máximo 45 días calendario después de la fecha de inicio del contrato.</w:t>
      </w:r>
    </w:p>
    <w:p>
      <w:pPr>
        <w:pStyle w:val="Heading1"/>
        <w:numPr>
          <w:ilvl w:val="0"/>
          <w:numId w:val="2"/>
        </w:numPr>
        <w:ind w:hanging="360" w:left="791"/>
        <w:jc w:val="both"/>
        <w:rPr>
          <w:rFonts w:ascii="Arial" w:hAnsi="Arial"/>
        </w:rPr>
      </w:pPr>
      <w:r>
        <w:rPr>
          <w:rFonts w:ascii="Arial" w:hAnsi="Arial"/>
          <w:b w:val="false"/>
          <w:bCs w:val="false"/>
          <w:position w:val="0"/>
          <w:sz w:val="24"/>
          <w:sz w:val="24"/>
          <w:szCs w:val="24"/>
          <w:vertAlign w:val="baseline"/>
        </w:rPr>
        <w:t xml:space="preserve">La propuesta debe presentarse en 7 páginas como máximo, en tamaño de letra 12, interlineado sencillo, normas ICONTEC vigentes y debe contener todos los ítems aquí relacionados. </w:t>
      </w:r>
    </w:p>
    <w:p>
      <w:pPr>
        <w:pStyle w:val="normal1"/>
        <w:keepNext w:val="false"/>
        <w:keepLines w:val="false"/>
        <w:pageBreakBefore w:val="false"/>
        <w:widowControl/>
        <w:shd w:val="clear" w:fill="auto"/>
        <w:spacing w:lineRule="auto" w:line="240" w:before="0" w:after="0"/>
        <w:ind w:hanging="0" w:left="720" w:right="0"/>
        <w:jc w:val="left"/>
        <w:rPr>
          <w:rFonts w:ascii="Arial" w:hAnsi="Arial" w:eastAsia="Arial" w:cs="Arial"/>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 w:val="24"/>
          <w:szCs w:val="24"/>
          <w:u w:val="none"/>
          <w:shd w:fill="auto" w:val="clear"/>
          <w:vertAlign w:val="baseline"/>
        </w:rPr>
      </w:r>
    </w:p>
    <w:p>
      <w:pPr>
        <w:pStyle w:val="Heading1"/>
        <w:spacing w:lineRule="auto" w:line="240" w:before="0" w:after="60"/>
        <w:ind w:hanging="0" w:left="431" w:right="0"/>
        <w:jc w:val="both"/>
        <w:rPr>
          <w:rFonts w:ascii="Arial" w:hAnsi="Arial"/>
        </w:rPr>
      </w:pPr>
      <w:r>
        <w:rPr>
          <w:rFonts w:ascii="Arial" w:hAnsi="Arial"/>
          <w:b w:val="false"/>
          <w:bCs w:val="false"/>
          <w:position w:val="0"/>
          <w:sz w:val="24"/>
          <w:sz w:val="24"/>
          <w:szCs w:val="24"/>
          <w:vertAlign w:val="baseline"/>
        </w:rPr>
        <w:t>3. Los ítems y porcentajes de evaluación de las prácticas académicas son:</w:t>
      </w:r>
    </w:p>
    <w:p>
      <w:pPr>
        <w:pStyle w:val="normal1"/>
        <w:ind w:hanging="0" w:left="708" w:right="0"/>
        <w:rPr>
          <w:rFonts w:ascii="Arial" w:hAnsi="Arial"/>
        </w:rPr>
      </w:pPr>
      <w:r>
        <w:rPr>
          <w:rFonts w:eastAsia="Arial" w:cs="Arial" w:ascii="Arial" w:hAnsi="Arial"/>
          <w:position w:val="0"/>
          <w:sz w:val="24"/>
          <w:sz w:val="24"/>
          <w:szCs w:val="24"/>
          <w:vertAlign w:val="baseline"/>
        </w:rPr>
        <w:t>Propuesta: 20 %</w:t>
      </w:r>
    </w:p>
    <w:p>
      <w:pPr>
        <w:pStyle w:val="normal1"/>
        <w:ind w:hanging="0" w:left="708" w:right="0"/>
        <w:rPr>
          <w:rFonts w:ascii="Arial" w:hAnsi="Arial"/>
        </w:rPr>
      </w:pPr>
      <w:r>
        <w:rPr>
          <w:rFonts w:eastAsia="Arial" w:cs="Arial" w:ascii="Arial" w:hAnsi="Arial"/>
          <w:position w:val="0"/>
          <w:sz w:val="24"/>
          <w:sz w:val="24"/>
          <w:szCs w:val="24"/>
          <w:vertAlign w:val="baseline"/>
        </w:rPr>
        <w:t>Seguimiento: 10 %</w:t>
      </w:r>
    </w:p>
    <w:p>
      <w:pPr>
        <w:pStyle w:val="normal1"/>
        <w:ind w:hanging="0" w:left="708" w:right="0"/>
        <w:rPr>
          <w:rFonts w:ascii="Arial" w:hAnsi="Arial"/>
        </w:rPr>
      </w:pPr>
      <w:r>
        <w:rPr>
          <w:rFonts w:eastAsia="Arial" w:cs="Arial" w:ascii="Arial" w:hAnsi="Arial"/>
          <w:position w:val="0"/>
          <w:sz w:val="24"/>
          <w:sz w:val="24"/>
          <w:szCs w:val="24"/>
          <w:vertAlign w:val="baseline"/>
        </w:rPr>
        <w:t>Informes parciales: 10 %</w:t>
      </w:r>
    </w:p>
    <w:p>
      <w:pPr>
        <w:pStyle w:val="normal1"/>
        <w:ind w:hanging="0" w:left="708" w:right="0"/>
        <w:rPr>
          <w:rFonts w:ascii="Arial" w:hAnsi="Arial"/>
        </w:rPr>
      </w:pPr>
      <w:r>
        <w:rPr>
          <w:rFonts w:eastAsia="Arial" w:cs="Arial" w:ascii="Arial" w:hAnsi="Arial"/>
          <w:position w:val="0"/>
          <w:sz w:val="24"/>
          <w:sz w:val="24"/>
          <w:szCs w:val="24"/>
          <w:vertAlign w:val="baseline"/>
        </w:rPr>
        <w:t>Informe final: 40 %</w:t>
      </w:r>
    </w:p>
    <w:p>
      <w:pPr>
        <w:pStyle w:val="normal1"/>
        <w:ind w:hanging="0" w:left="708" w:right="0"/>
        <w:rPr>
          <w:rFonts w:ascii="Arial" w:hAnsi="Arial"/>
        </w:rPr>
      </w:pPr>
      <w:r>
        <w:rPr>
          <w:rFonts w:eastAsia="Arial" w:cs="Arial" w:ascii="Arial" w:hAnsi="Arial"/>
          <w:position w:val="0"/>
          <w:sz w:val="24"/>
          <w:sz w:val="24"/>
          <w:szCs w:val="24"/>
          <w:vertAlign w:val="baseline"/>
        </w:rPr>
        <w:t>Sustentación: 20 %</w:t>
      </w:r>
    </w:p>
    <w:p>
      <w:pPr>
        <w:pStyle w:val="normal1"/>
        <w:keepNext w:val="false"/>
        <w:keepLines w:val="false"/>
        <w:pageBreakBefore w:val="false"/>
        <w:widowControl/>
        <w:shd w:val="clear" w:fill="auto"/>
        <w:spacing w:lineRule="auto" w:line="240" w:before="0" w:after="0"/>
        <w:ind w:hanging="0" w:left="791" w:right="0"/>
        <w:jc w:val="both"/>
        <w:rPr>
          <w:rFonts w:ascii="Arial" w:hAnsi="Arial" w:eastAsia="Arial" w:cs="Arial"/>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rPr>
          <w:rFonts w:ascii="Arial" w:hAnsi="Arial" w:eastAsia="Arial" w:cs="Arial"/>
          <w:position w:val="0"/>
          <w:sz w:val="24"/>
          <w:sz w:val="24"/>
          <w:szCs w:val="24"/>
          <w:vertAlign w:val="baseline"/>
        </w:rPr>
      </w:pPr>
      <w:r>
        <w:rPr>
          <w:rFonts w:eastAsia="Arial" w:cs="Arial" w:ascii="Arial" w:hAnsi="Arial"/>
          <w:position w:val="0"/>
          <w:sz w:val="24"/>
          <w:sz w:val="24"/>
          <w:szCs w:val="24"/>
          <w:vertAlign w:val="baseline"/>
        </w:rPr>
      </w:r>
    </w:p>
    <w:p>
      <w:pPr>
        <w:pStyle w:val="normal1"/>
        <w:rPr>
          <w:rFonts w:ascii="Arial" w:hAnsi="Arial" w:eastAsia="Century Gothic" w:cs="Century Gothic"/>
          <w:position w:val="0"/>
          <w:sz w:val="24"/>
          <w:sz w:val="24"/>
          <w:szCs w:val="24"/>
          <w:vertAlign w:val="baseline"/>
        </w:rPr>
      </w:pPr>
      <w:r>
        <w:rPr>
          <w:rFonts w:eastAsia="Century Gothic" w:cs="Century Gothic" w:ascii="Arial" w:hAnsi="Arial"/>
          <w:position w:val="0"/>
          <w:sz w:val="24"/>
          <w:sz w:val="24"/>
          <w:szCs w:val="24"/>
          <w:vertAlign w:val="baseline"/>
        </w:rPr>
      </w:r>
    </w:p>
    <w:p>
      <w:pPr>
        <w:pStyle w:val="Normal"/>
        <w:rPr>
          <w:rFonts w:ascii="Arial" w:hAnsi="Arial"/>
          <w:sz w:val="24"/>
          <w:szCs w:val="24"/>
        </w:rPr>
      </w:pPr>
      <w:r>
        <w:rPr>
          <w:rFonts w:ascii="Arial" w:hAnsi="Arial"/>
          <w:sz w:val="24"/>
          <w:szCs w:val="24"/>
        </w:rPr>
      </w:r>
    </w:p>
    <w:p>
      <w:pPr>
        <w:pStyle w:val="Normal"/>
        <w:rPr/>
      </w:pPr>
      <w:r>
        <w:rPr>
          <w:rStyle w:val="Strong"/>
          <w:rFonts w:eastAsia="Century Gothic" w:cs="Century Gothic" w:ascii="Arial" w:hAnsi="Arial"/>
          <w:b w:val="false"/>
          <w:bCs w:val="false"/>
          <w:position w:val="0"/>
          <w:sz w:val="24"/>
          <w:sz w:val="24"/>
          <w:szCs w:val="24"/>
          <w:vertAlign w:val="baseline"/>
        </w:rPr>
        <w:t>[1]</w:t>
      </w:r>
      <w:r>
        <w:rPr>
          <w:rFonts w:eastAsia="Century Gothic" w:cs="Century Gothic" w:ascii="Arial" w:hAnsi="Arial"/>
          <w:b w:val="false"/>
          <w:bCs w:val="false"/>
          <w:position w:val="0"/>
          <w:sz w:val="24"/>
          <w:sz w:val="24"/>
          <w:szCs w:val="24"/>
          <w:vertAlign w:val="baseline"/>
        </w:rPr>
        <w:t xml:space="preserve"> World Health Organization. (n.d.). </w:t>
      </w:r>
      <w:r>
        <w:rPr>
          <w:rStyle w:val="Emphasis"/>
          <w:rFonts w:eastAsia="Century Gothic" w:cs="Century Gothic" w:ascii="Arial" w:hAnsi="Arial"/>
          <w:b w:val="false"/>
          <w:bCs w:val="false"/>
          <w:position w:val="0"/>
          <w:sz w:val="24"/>
          <w:sz w:val="24"/>
          <w:szCs w:val="24"/>
          <w:vertAlign w:val="baseline"/>
        </w:rPr>
        <w:t>Global action plan on the public health response to dementia 2017–2025</w:t>
      </w:r>
      <w:r>
        <w:rPr>
          <w:rFonts w:eastAsia="Century Gothic" w:cs="Century Gothic" w:ascii="Arial" w:hAnsi="Arial"/>
          <w:b w:val="false"/>
          <w:bCs w:val="false"/>
          <w:position w:val="0"/>
          <w:sz w:val="24"/>
          <w:sz w:val="24"/>
          <w:szCs w:val="24"/>
          <w:vertAlign w:val="baseline"/>
        </w:rPr>
        <w:t>. Retrieved June 30, 2026.</w:t>
        <w:br/>
        <w:t xml:space="preserve">Enlace: </w:t>
      </w:r>
      <w:hyperlink r:id="rId4">
        <w:r>
          <w:rPr>
            <w:rStyle w:val="Hyperlink"/>
            <w:rFonts w:eastAsia="Century Gothic" w:cs="Century Gothic" w:ascii="Arial" w:hAnsi="Arial"/>
            <w:b w:val="false"/>
            <w:bCs w:val="false"/>
            <w:position w:val="0"/>
            <w:sz w:val="24"/>
            <w:sz w:val="24"/>
            <w:szCs w:val="24"/>
            <w:vertAlign w:val="baseline"/>
          </w:rPr>
          <w:t>https://www.who.int/publications/i/item/global-action-plan-on-the-public-health-response-to-dementia-2017---2025</w:t>
        </w:r>
      </w:hyperlink>
    </w:p>
    <w:p>
      <w:pPr>
        <w:pStyle w:val="Normal"/>
        <w:rPr>
          <w:rFonts w:ascii="Arial" w:hAnsi="Arial" w:eastAsia="Century Gothic" w:cs="Century Gothic"/>
          <w:b w:val="false"/>
          <w:bCs w:val="false"/>
          <w:position w:val="0"/>
          <w:sz w:val="24"/>
          <w:sz w:val="24"/>
          <w:szCs w:val="24"/>
          <w:vertAlign w:val="baseline"/>
        </w:rPr>
      </w:pPr>
      <w:r>
        <w:rPr>
          <w:rFonts w:eastAsia="Century Gothic" w:cs="Century Gothic" w:ascii="Arial" w:hAnsi="Arial"/>
          <w:b w:val="false"/>
          <w:bCs w:val="false"/>
          <w:position w:val="0"/>
          <w:sz w:val="24"/>
          <w:sz w:val="24"/>
          <w:szCs w:val="24"/>
          <w:vertAlign w:val="baseline"/>
        </w:rPr>
      </w:r>
    </w:p>
    <w:p>
      <w:pPr>
        <w:pStyle w:val="BodyText"/>
        <w:rPr/>
      </w:pPr>
      <w:r>
        <w:rPr>
          <w:rFonts w:eastAsia="Century Gothic" w:cs="Century Gothic" w:ascii="Arial" w:hAnsi="Arial"/>
          <w:b w:val="false"/>
          <w:bCs w:val="false"/>
          <w:position w:val="0"/>
          <w:sz w:val="24"/>
          <w:sz w:val="24"/>
          <w:szCs w:val="24"/>
          <w:vertAlign w:val="baseline"/>
        </w:rPr>
        <w:t xml:space="preserve">[2] Pardo Turriago, R. (2026). </w:t>
      </w:r>
      <w:r>
        <w:rPr>
          <w:rStyle w:val="Emphasis"/>
          <w:rFonts w:eastAsia="Century Gothic" w:cs="Century Gothic" w:ascii="Arial" w:hAnsi="Arial"/>
          <w:b w:val="false"/>
          <w:bCs w:val="false"/>
          <w:position w:val="0"/>
          <w:sz w:val="24"/>
          <w:sz w:val="24"/>
          <w:szCs w:val="24"/>
          <w:vertAlign w:val="baseline"/>
        </w:rPr>
        <w:t>La epidemia de demencia avanza silenciosa con el envejecimiento en Colombia</w:t>
      </w:r>
      <w:r>
        <w:rPr>
          <w:rFonts w:eastAsia="Century Gothic" w:cs="Century Gothic" w:ascii="Arial" w:hAnsi="Arial"/>
          <w:b w:val="false"/>
          <w:bCs w:val="false"/>
          <w:position w:val="0"/>
          <w:sz w:val="24"/>
          <w:sz w:val="24"/>
          <w:szCs w:val="24"/>
          <w:vertAlign w:val="baseline"/>
        </w:rPr>
        <w:t xml:space="preserve">. Periódico UNAL. Enlace: </w:t>
      </w:r>
      <w:hyperlink r:id="rId5">
        <w:r>
          <w:rPr>
            <w:rStyle w:val="Hyperlink"/>
            <w:rFonts w:eastAsia="Century Gothic" w:cs="Century Gothic" w:ascii="Arial" w:hAnsi="Arial"/>
            <w:b w:val="false"/>
            <w:bCs w:val="false"/>
            <w:position w:val="0"/>
            <w:sz w:val="24"/>
            <w:sz w:val="24"/>
            <w:szCs w:val="24"/>
            <w:vertAlign w:val="baseline"/>
          </w:rPr>
          <w:t>https://www.periodico.unal.edu.co/articulos/la-epidemia-de-demencia-avanza-silenciosa-con-el-envejecimiento-en-colombia</w:t>
        </w:r>
      </w:hyperlink>
    </w:p>
    <w:p>
      <w:pPr>
        <w:pStyle w:val="BodyText"/>
        <w:rPr/>
      </w:pPr>
      <w:r>
        <w:rPr>
          <w:rStyle w:val="Strong"/>
          <w:rFonts w:eastAsia="Century Gothic" w:cs="Century Gothic" w:ascii="Arial" w:hAnsi="Arial"/>
          <w:b w:val="false"/>
          <w:bCs w:val="false"/>
          <w:position w:val="0"/>
          <w:sz w:val="24"/>
          <w:sz w:val="24"/>
          <w:szCs w:val="24"/>
          <w:vertAlign w:val="baseline"/>
        </w:rPr>
        <w:t>[3]</w:t>
      </w:r>
      <w:r>
        <w:rPr>
          <w:rFonts w:eastAsia="Century Gothic" w:cs="Century Gothic" w:ascii="Arial" w:hAnsi="Arial"/>
          <w:b w:val="false"/>
          <w:bCs w:val="false"/>
          <w:position w:val="0"/>
          <w:sz w:val="24"/>
          <w:sz w:val="24"/>
          <w:szCs w:val="24"/>
          <w:vertAlign w:val="baseline"/>
        </w:rPr>
        <w:t xml:space="preserve"> Guerrero-Barragán, A., &amp; Lucumí-Cuesta, D. I. (2025). Stakeholder perceptions of dementia in Colombia: A qualitative study. </w:t>
      </w:r>
      <w:r>
        <w:rPr>
          <w:rStyle w:val="Emphasis"/>
          <w:rFonts w:eastAsia="Century Gothic" w:cs="Century Gothic" w:ascii="Arial" w:hAnsi="Arial"/>
          <w:b w:val="false"/>
          <w:bCs w:val="false"/>
          <w:position w:val="0"/>
          <w:sz w:val="24"/>
          <w:sz w:val="24"/>
          <w:szCs w:val="24"/>
          <w:vertAlign w:val="baseline"/>
        </w:rPr>
        <w:t>BMC Public Health, 25</w:t>
      </w:r>
      <w:r>
        <w:rPr>
          <w:rFonts w:eastAsia="Century Gothic" w:cs="Century Gothic" w:ascii="Arial" w:hAnsi="Arial"/>
          <w:b w:val="false"/>
          <w:bCs w:val="false"/>
          <w:position w:val="0"/>
          <w:sz w:val="24"/>
          <w:sz w:val="24"/>
          <w:szCs w:val="24"/>
          <w:vertAlign w:val="baseline"/>
        </w:rPr>
        <w:t>(1), 959.</w:t>
        <w:br/>
        <w:t xml:space="preserve">Enlace: </w:t>
      </w:r>
      <w:hyperlink r:id="rId6">
        <w:r>
          <w:rPr>
            <w:rStyle w:val="Hyperlink"/>
            <w:rFonts w:eastAsia="Century Gothic" w:cs="Century Gothic" w:ascii="Arial" w:hAnsi="Arial"/>
            <w:b w:val="false"/>
            <w:bCs w:val="false"/>
            <w:position w:val="0"/>
            <w:sz w:val="24"/>
            <w:sz w:val="24"/>
            <w:szCs w:val="24"/>
            <w:vertAlign w:val="baseline"/>
          </w:rPr>
          <w:t>https://doi.org/10.1186/s12889-025-22166-9</w:t>
        </w:r>
      </w:hyperlink>
    </w:p>
    <w:p>
      <w:pPr>
        <w:pStyle w:val="BodyText"/>
        <w:rPr/>
      </w:pPr>
      <w:r>
        <w:rPr>
          <w:rStyle w:val="Strong"/>
          <w:rFonts w:ascii="Arial" w:hAnsi="Arial"/>
          <w:b w:val="false"/>
          <w:bCs w:val="false"/>
          <w:sz w:val="24"/>
          <w:szCs w:val="24"/>
        </w:rPr>
        <w:t>[4]</w:t>
      </w:r>
      <w:r>
        <w:rPr>
          <w:rFonts w:ascii="Arial" w:hAnsi="Arial"/>
          <w:b w:val="false"/>
          <w:bCs w:val="false"/>
          <w:sz w:val="24"/>
          <w:szCs w:val="24"/>
        </w:rPr>
        <w:t xml:space="preserve"> Giudicessi, A., McDowell, C. P., Martinez, J. E., Baena, A., Vila-Castelar, C., Norton, D., Aguirre-Acevedo, D. C., Tirado, V., Bocanegra, Y., Guzman-Velez, E., Lopera, F., Cronin-Golomb, A., &amp; Quiroz, Y. T. (2024). Cognitive outcomes in autosomal-dominant Alzheimer's disease: A comprehensive review from a Colombian kindred with the presenilin-1 E280A mutation. </w:t>
      </w:r>
      <w:r>
        <w:rPr>
          <w:rStyle w:val="Emphasis"/>
          <w:rFonts w:ascii="Arial" w:hAnsi="Arial"/>
          <w:b w:val="false"/>
          <w:bCs w:val="false"/>
          <w:sz w:val="24"/>
          <w:szCs w:val="24"/>
        </w:rPr>
        <w:t>Journal of Alzheimer's Disease, 101</w:t>
      </w:r>
      <w:r>
        <w:rPr>
          <w:rFonts w:ascii="Arial" w:hAnsi="Arial"/>
          <w:b w:val="false"/>
          <w:bCs w:val="false"/>
          <w:sz w:val="24"/>
          <w:szCs w:val="24"/>
        </w:rPr>
        <w:t>(2), 397–415.</w:t>
        <w:br/>
        <w:t xml:space="preserve">Enlace: </w:t>
      </w:r>
      <w:r>
        <w:rPr>
          <w:rStyle w:val="Hyperlink"/>
          <w:rFonts w:ascii="Arial" w:hAnsi="Arial"/>
          <w:b w:val="false"/>
          <w:bCs w:val="false"/>
          <w:sz w:val="24"/>
          <w:szCs w:val="24"/>
        </w:rPr>
        <w:t>https://doi.org/10.3233/JAD-240360</w:t>
      </w:r>
    </w:p>
    <w:p>
      <w:pPr>
        <w:pStyle w:val="Normal"/>
        <w:spacing w:lineRule="auto" w:line="480"/>
        <w:ind w:hanging="0" w:left="0" w:right="0"/>
        <w:rPr>
          <w:rFonts w:ascii="Arial" w:hAnsi="Arial"/>
          <w:b w:val="false"/>
          <w:bCs w:val="false"/>
        </w:rPr>
      </w:pPr>
      <w:r>
        <w:rPr>
          <w:rFonts w:ascii="Arial" w:hAnsi="Arial"/>
          <w:b w:val="false"/>
          <w:bCs w:val="false"/>
        </w:rPr>
      </w:r>
    </w:p>
    <w:p>
      <w:pPr>
        <w:pStyle w:val="Normal"/>
        <w:spacing w:lineRule="auto" w:line="480"/>
        <w:ind w:hanging="0" w:left="0" w:right="0"/>
        <w:rPr/>
      </w:pPr>
      <w:r>
        <w:rPr>
          <w:rFonts w:ascii="Arial" w:hAnsi="Arial"/>
          <w:b w:val="false"/>
          <w:bCs w:val="false"/>
          <w:sz w:val="24"/>
          <w:szCs w:val="24"/>
        </w:rPr>
        <w:t xml:space="preserve">[5] Vigo, I., Coelho, L., &amp; Reis, S. (2022). Speech- and Language-Based Classification of Alzheimer’s Disease: A Systematic Review. </w:t>
      </w:r>
      <w:r>
        <w:rPr>
          <w:rFonts w:ascii="Arial" w:hAnsi="Arial"/>
          <w:b w:val="false"/>
          <w:bCs w:val="false"/>
          <w:i/>
          <w:sz w:val="24"/>
          <w:szCs w:val="24"/>
        </w:rPr>
        <w:t>Bioengineering</w:t>
      </w:r>
      <w:r>
        <w:rPr>
          <w:rFonts w:ascii="Arial" w:hAnsi="Arial"/>
          <w:b w:val="false"/>
          <w:bCs w:val="false"/>
          <w:sz w:val="24"/>
          <w:szCs w:val="24"/>
        </w:rPr>
        <w:t xml:space="preserve">, </w:t>
      </w:r>
      <w:r>
        <w:rPr>
          <w:rFonts w:ascii="Arial" w:hAnsi="Arial"/>
          <w:b w:val="false"/>
          <w:bCs w:val="false"/>
          <w:i/>
          <w:sz w:val="24"/>
          <w:szCs w:val="24"/>
        </w:rPr>
        <w:t>9</w:t>
      </w:r>
      <w:r>
        <w:rPr>
          <w:rFonts w:ascii="Arial" w:hAnsi="Arial"/>
          <w:b w:val="false"/>
          <w:bCs w:val="false"/>
          <w:sz w:val="24"/>
          <w:szCs w:val="24"/>
        </w:rPr>
        <w:t xml:space="preserve">(1), 27. </w:t>
      </w:r>
      <w:hyperlink r:id="rId7">
        <w:r>
          <w:rPr>
            <w:rStyle w:val="Hyperlink"/>
            <w:rFonts w:ascii="Arial" w:hAnsi="Arial"/>
            <w:b w:val="false"/>
            <w:bCs w:val="false"/>
            <w:sz w:val="24"/>
            <w:szCs w:val="24"/>
          </w:rPr>
          <w:t>https://doi.org/10.3390/bioengineering9010027</w:t>
        </w:r>
      </w:hyperlink>
    </w:p>
    <w:p>
      <w:pPr>
        <w:pStyle w:val="Normal"/>
        <w:rPr/>
      </w:pPr>
      <w:r>
        <w:rPr>
          <w:rFonts w:eastAsia="Century Gothic" w:cs="Century Gothic" w:ascii="Arial" w:hAnsi="Arial"/>
          <w:position w:val="0"/>
          <w:sz w:val="24"/>
          <w:sz w:val="24"/>
          <w:szCs w:val="24"/>
          <w:vertAlign w:val="baseline"/>
        </w:rPr>
        <w:t xml:space="preserve">[6]Baevski, A., Zhou, H., Mohamed, A., &amp; Auli, M. (2020). </w:t>
      </w:r>
      <w:r>
        <w:rPr>
          <w:rFonts w:eastAsia="Century Gothic" w:cs="Century Gothic" w:ascii="Arial" w:hAnsi="Arial"/>
          <w:i/>
          <w:position w:val="0"/>
          <w:sz w:val="24"/>
          <w:sz w:val="24"/>
          <w:szCs w:val="24"/>
          <w:vertAlign w:val="baseline"/>
        </w:rPr>
        <w:t>wav2vec 2.0: A Framework for Self-Supervised Learning of Speech Representations</w:t>
      </w:r>
      <w:r>
        <w:rPr>
          <w:rFonts w:eastAsia="Century Gothic" w:cs="Century Gothic" w:ascii="Arial" w:hAnsi="Arial"/>
          <w:position w:val="0"/>
          <w:sz w:val="24"/>
          <w:sz w:val="24"/>
          <w:szCs w:val="24"/>
          <w:vertAlign w:val="baseline"/>
        </w:rPr>
        <w:t xml:space="preserve"> (arXiv:2006.11477). arXiv. </w:t>
      </w:r>
      <w:hyperlink r:id="rId8">
        <w:r>
          <w:rPr>
            <w:rStyle w:val="Hyperlink"/>
            <w:rFonts w:eastAsia="Century Gothic" w:cs="Century Gothic" w:ascii="Arial" w:hAnsi="Arial"/>
            <w:position w:val="0"/>
            <w:sz w:val="24"/>
            <w:sz w:val="24"/>
            <w:szCs w:val="24"/>
            <w:vertAlign w:val="baseline"/>
          </w:rPr>
          <w:t>https://doi.org/10.48550/arXiv.2006.11477</w:t>
        </w:r>
      </w:hyperlink>
    </w:p>
    <w:p>
      <w:pPr>
        <w:pStyle w:val="Normal"/>
        <w:spacing w:lineRule="auto" w:line="480"/>
        <w:rPr>
          <w:rFonts w:ascii="Arial" w:hAnsi="Arial"/>
          <w:sz w:val="24"/>
          <w:szCs w:val="24"/>
        </w:rPr>
      </w:pPr>
      <w:r>
        <w:rPr>
          <w:rFonts w:ascii="Arial" w:hAnsi="Arial"/>
          <w:sz w:val="24"/>
          <w:szCs w:val="24"/>
        </w:rPr>
      </w:r>
    </w:p>
    <w:p>
      <w:pPr>
        <w:pStyle w:val="Normal"/>
        <w:spacing w:lineRule="auto" w:line="480"/>
        <w:rPr/>
      </w:pPr>
      <w:r>
        <w:rPr>
          <w:rFonts w:ascii="Arial" w:hAnsi="Arial"/>
          <w:sz w:val="24"/>
          <w:szCs w:val="24"/>
        </w:rPr>
        <w:t xml:space="preserve">[7]Luz, S., Haider, F., Fuente, S. de la, Fromm, D., &amp; MacWhinney, B. (2020). </w:t>
      </w:r>
      <w:r>
        <w:rPr>
          <w:rFonts w:ascii="Arial" w:hAnsi="Arial"/>
          <w:i/>
          <w:sz w:val="24"/>
          <w:szCs w:val="24"/>
        </w:rPr>
        <w:t>Alzheimer’s Dementia Recognition through Spontaneous Speech: The ADReSS Challenge</w:t>
      </w:r>
      <w:r>
        <w:rPr>
          <w:rFonts w:ascii="Arial" w:hAnsi="Arial"/>
          <w:sz w:val="24"/>
          <w:szCs w:val="24"/>
        </w:rPr>
        <w:t xml:space="preserve"> (arXiv:2004.06833). arXiv. </w:t>
      </w:r>
      <w:hyperlink r:id="rId9">
        <w:r>
          <w:rPr>
            <w:rStyle w:val="Hyperlink"/>
            <w:rFonts w:ascii="Arial" w:hAnsi="Arial"/>
            <w:sz w:val="24"/>
            <w:szCs w:val="24"/>
          </w:rPr>
          <w:t>https://doi.org/10.48550/arXiv.2004.06833</w:t>
        </w:r>
      </w:hyperlink>
    </w:p>
    <w:p>
      <w:pPr>
        <w:pStyle w:val="Normal"/>
        <w:spacing w:lineRule="auto" w:line="480"/>
        <w:rPr/>
      </w:pPr>
      <w:r>
        <w:rPr>
          <w:rFonts w:ascii="Arial" w:hAnsi="Arial"/>
          <w:sz w:val="24"/>
          <w:szCs w:val="24"/>
        </w:rPr>
        <w:t xml:space="preserve">[8]Luz, S., Haider, F., Fuente, S. de la, Fromm, D., &amp; MacWhinney, B. (2021). </w:t>
      </w:r>
      <w:r>
        <w:rPr>
          <w:rFonts w:ascii="Arial" w:hAnsi="Arial"/>
          <w:i/>
          <w:sz w:val="24"/>
          <w:szCs w:val="24"/>
        </w:rPr>
        <w:t>Detecting cognitive decline using speech only: The ADReSSo Challenge</w:t>
      </w:r>
      <w:r>
        <w:rPr>
          <w:rFonts w:ascii="Arial" w:hAnsi="Arial"/>
          <w:sz w:val="24"/>
          <w:szCs w:val="24"/>
        </w:rPr>
        <w:t xml:space="preserve"> (arXiv:2104.09356). arXiv. </w:t>
      </w:r>
      <w:hyperlink r:id="rId10">
        <w:r>
          <w:rPr>
            <w:rStyle w:val="Hyperlink"/>
            <w:rFonts w:ascii="Arial" w:hAnsi="Arial"/>
            <w:sz w:val="24"/>
            <w:szCs w:val="24"/>
          </w:rPr>
          <w:t>https://doi.org/10.48550/arXiv.2104.09356</w:t>
        </w:r>
      </w:hyperlink>
    </w:p>
    <w:p>
      <w:pPr>
        <w:pStyle w:val="Normal"/>
        <w:rPr/>
      </w:pPr>
      <w:r>
        <w:rPr>
          <w:rFonts w:eastAsia="Century Gothic" w:cs="Century Gothic" w:ascii="Arial" w:hAnsi="Arial"/>
          <w:position w:val="0"/>
          <w:sz w:val="24"/>
          <w:sz w:val="24"/>
          <w:szCs w:val="24"/>
          <w:vertAlign w:val="baseline"/>
        </w:rPr>
        <w:t xml:space="preserve">[9]Houlsby, N., Giurgiu, A., Jastrzebski, S., Morrone, B., Laroussilhe, Q. de, Gesmundo, A., Attariyan, M., &amp; Gelly, S. (2019). </w:t>
      </w:r>
      <w:r>
        <w:rPr>
          <w:rFonts w:eastAsia="Century Gothic" w:cs="Century Gothic" w:ascii="Arial" w:hAnsi="Arial"/>
          <w:i/>
          <w:position w:val="0"/>
          <w:sz w:val="24"/>
          <w:sz w:val="24"/>
          <w:szCs w:val="24"/>
          <w:vertAlign w:val="baseline"/>
        </w:rPr>
        <w:t>Parameter-Efficient Transfer Learning for NLP</w:t>
      </w:r>
      <w:r>
        <w:rPr>
          <w:rFonts w:eastAsia="Century Gothic" w:cs="Century Gothic" w:ascii="Arial" w:hAnsi="Arial"/>
          <w:position w:val="0"/>
          <w:sz w:val="24"/>
          <w:sz w:val="24"/>
          <w:szCs w:val="24"/>
          <w:vertAlign w:val="baseline"/>
        </w:rPr>
        <w:t xml:space="preserve"> (arXiv:1902.00751). arXiv. </w:t>
      </w:r>
      <w:hyperlink r:id="rId11">
        <w:r>
          <w:rPr>
            <w:rStyle w:val="Hyperlink"/>
            <w:rFonts w:eastAsia="Century Gothic" w:cs="Century Gothic" w:ascii="Arial" w:hAnsi="Arial"/>
            <w:position w:val="0"/>
            <w:sz w:val="24"/>
            <w:sz w:val="24"/>
            <w:szCs w:val="24"/>
            <w:vertAlign w:val="baseline"/>
          </w:rPr>
          <w:t>https://doi.org/10.48550/arXiv.1902.00751</w:t>
        </w:r>
      </w:hyperlink>
    </w:p>
    <w:p>
      <w:pPr>
        <w:pStyle w:val="Normal"/>
        <w:spacing w:lineRule="auto" w:line="480"/>
        <w:rPr>
          <w:rFonts w:ascii="Arial" w:hAnsi="Arial"/>
          <w:sz w:val="24"/>
          <w:szCs w:val="24"/>
        </w:rPr>
      </w:pPr>
      <w:r>
        <w:rPr>
          <w:rFonts w:ascii="Arial" w:hAnsi="Arial"/>
          <w:sz w:val="24"/>
          <w:szCs w:val="24"/>
        </w:rPr>
      </w:r>
    </w:p>
    <w:p>
      <w:pPr>
        <w:pStyle w:val="Normal"/>
        <w:spacing w:lineRule="auto" w:line="480"/>
        <w:rPr/>
      </w:pPr>
      <w:r>
        <w:rPr>
          <w:rFonts w:ascii="Arial" w:hAnsi="Arial"/>
          <w:sz w:val="24"/>
          <w:szCs w:val="24"/>
        </w:rPr>
        <w:t xml:space="preserve">[10]Hu, E. J., Shen, Y., Wallis, P., Allen-Zhu, Z., Li, Y., Wang, S., Wang, L., &amp; Chen, W. (2021). </w:t>
      </w:r>
      <w:r>
        <w:rPr>
          <w:rFonts w:ascii="Arial" w:hAnsi="Arial"/>
          <w:i/>
          <w:sz w:val="24"/>
          <w:szCs w:val="24"/>
        </w:rPr>
        <w:t>LoRA: Low-Rank Adaptation of Large Language Models</w:t>
      </w:r>
      <w:r>
        <w:rPr>
          <w:rFonts w:ascii="Arial" w:hAnsi="Arial"/>
          <w:sz w:val="24"/>
          <w:szCs w:val="24"/>
        </w:rPr>
        <w:t xml:space="preserve"> (arXiv:2106.09685). arXiv. </w:t>
      </w:r>
      <w:hyperlink r:id="rId12">
        <w:r>
          <w:rPr>
            <w:rStyle w:val="Hyperlink"/>
            <w:rFonts w:ascii="Arial" w:hAnsi="Arial"/>
            <w:sz w:val="24"/>
            <w:szCs w:val="24"/>
          </w:rPr>
          <w:t>https://doi.org/10.48550/arXiv.2106.09685</w:t>
        </w:r>
      </w:hyperlink>
    </w:p>
    <w:p>
      <w:pPr>
        <w:pStyle w:val="Normal"/>
        <w:spacing w:lineRule="auto" w:line="480"/>
        <w:rPr/>
      </w:pPr>
      <w:r>
        <w:rPr>
          <w:rFonts w:ascii="Arial" w:hAnsi="Arial"/>
          <w:sz w:val="24"/>
          <w:szCs w:val="24"/>
        </w:rPr>
        <w:t xml:space="preserve">[11]Li, X. L., &amp; Liang, P. (2021). </w:t>
      </w:r>
      <w:r>
        <w:rPr>
          <w:rFonts w:ascii="Arial" w:hAnsi="Arial"/>
          <w:i/>
          <w:sz w:val="24"/>
          <w:szCs w:val="24"/>
        </w:rPr>
        <w:t>Prefix-Tuning: Optimizing Continuous Prompts for Generation</w:t>
      </w:r>
      <w:r>
        <w:rPr>
          <w:rFonts w:ascii="Arial" w:hAnsi="Arial"/>
          <w:sz w:val="24"/>
          <w:szCs w:val="24"/>
        </w:rPr>
        <w:t xml:space="preserve"> (arXiv:2101.00190). arXiv. </w:t>
      </w:r>
      <w:hyperlink r:id="rId13">
        <w:r>
          <w:rPr>
            <w:rStyle w:val="Hyperlink"/>
            <w:rFonts w:ascii="Arial" w:hAnsi="Arial"/>
            <w:sz w:val="24"/>
            <w:szCs w:val="24"/>
          </w:rPr>
          <w:t>https://doi.org/10.48550/arXiv.2101.00190</w:t>
        </w:r>
      </w:hyperlink>
    </w:p>
    <w:p>
      <w:pPr>
        <w:pStyle w:val="Normal"/>
        <w:rPr/>
      </w:pPr>
      <w:r>
        <w:rPr>
          <w:rFonts w:eastAsia="Century Gothic" w:cs="Century Gothic" w:ascii="Arial" w:hAnsi="Arial"/>
          <w:position w:val="0"/>
          <w:sz w:val="24"/>
          <w:sz w:val="24"/>
          <w:szCs w:val="24"/>
          <w:vertAlign w:val="baseline"/>
        </w:rPr>
        <w:t xml:space="preserve">[12]Park, D. S., Chan, W., Zhang, Y., Chiu, C.-C., Zoph, B., Cubuk, E. D., &amp; Le, Q. V. (2019). SpecAugment: A Simple Data Augmentation Method for Automatic Speech Recognition. </w:t>
      </w:r>
      <w:r>
        <w:rPr>
          <w:rFonts w:eastAsia="Century Gothic" w:cs="Century Gothic" w:ascii="Arial" w:hAnsi="Arial"/>
          <w:i/>
          <w:position w:val="0"/>
          <w:sz w:val="24"/>
          <w:sz w:val="24"/>
          <w:szCs w:val="24"/>
          <w:vertAlign w:val="baseline"/>
        </w:rPr>
        <w:t>Interspeech 2019</w:t>
      </w:r>
      <w:r>
        <w:rPr>
          <w:rFonts w:eastAsia="Century Gothic" w:cs="Century Gothic" w:ascii="Arial" w:hAnsi="Arial"/>
          <w:position w:val="0"/>
          <w:sz w:val="24"/>
          <w:sz w:val="24"/>
          <w:szCs w:val="24"/>
          <w:vertAlign w:val="baseline"/>
        </w:rPr>
        <w:t xml:space="preserve">, 2613–2617. </w:t>
      </w:r>
      <w:hyperlink r:id="rId14">
        <w:r>
          <w:rPr>
            <w:rStyle w:val="Hyperlink"/>
            <w:rFonts w:eastAsia="Century Gothic" w:cs="Century Gothic" w:ascii="Arial" w:hAnsi="Arial"/>
            <w:position w:val="0"/>
            <w:sz w:val="24"/>
            <w:sz w:val="24"/>
            <w:szCs w:val="24"/>
            <w:vertAlign w:val="baseline"/>
          </w:rPr>
          <w:t>https://doi.org/10.21437/Interspeech.2019-2680</w:t>
        </w:r>
      </w:hyperlink>
    </w:p>
    <w:p>
      <w:pPr>
        <w:pStyle w:val="Normal"/>
        <w:rPr>
          <w:rFonts w:ascii="Arial" w:hAnsi="Arial" w:eastAsia="Century Gothic" w:cs="Century Gothic"/>
          <w:position w:val="0"/>
          <w:sz w:val="24"/>
          <w:sz w:val="24"/>
          <w:szCs w:val="24"/>
          <w:vertAlign w:val="baseline"/>
        </w:rPr>
      </w:pPr>
      <w:r>
        <w:rPr>
          <w:rFonts w:eastAsia="Century Gothic" w:cs="Century Gothic" w:ascii="Arial" w:hAnsi="Arial"/>
          <w:position w:val="0"/>
          <w:sz w:val="24"/>
          <w:sz w:val="24"/>
          <w:szCs w:val="24"/>
          <w:vertAlign w:val="baseline"/>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8" w:right="1418" w:gutter="0" w:header="709" w:top="1843" w:footer="709" w:bottom="1276"/>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0T20:45:21Z" w:initials="">
    <w:p>
      <w:pPr>
        <w:overflowPunct w:val="false"/>
        <w:rPr/>
      </w:pPr>
      <w:r>
        <w:rPr>
          <w:rFonts w:ascii="Liberation Serif" w:hAnsi="Liberation Serif" w:eastAsia="DejaVu Sans" w:cs="Noto Sans Arabic UI"/>
          <w:lang w:val="en-US" w:eastAsia="en-US" w:bidi="en-US"/>
        </w:rPr>
        <w:t>Esto medio me parece una tarea</w:t>
      </w:r>
    </w:p>
    <w:p>
      <w:pPr>
        <w:overflowPunct w:val="false"/>
        <w:rPr/>
      </w:pPr>
      <w:r>
        <w:rPr>
          <w:rFonts w:ascii="Liberation Serif" w:hAnsi="Liberation Serif" w:eastAsia="DejaVu Sans" w:cs="Noto Sans Arabic UI"/>
          <w:lang w:val="en-US" w:eastAsia="en-US" w:bidi="en-US"/>
        </w:rPr>
      </w:r>
    </w:p>
  </w:comment>
  <w:comment w:id="1" w:author="Unknown Author" w:date="2026-07-10T20:38:29Z" w:initials="">
    <w:p>
      <w:pPr>
        <w:overflowPunct w:val="false"/>
        <w:rPr/>
      </w:pPr>
      <w:r>
        <w:rPr>
          <w:rFonts w:ascii="Liberation Serif" w:hAnsi="Liberation Serif" w:eastAsia="DejaVu Sans" w:cs="Noto Sans Arabic UI"/>
          <w:lang w:val="en-US" w:eastAsia="en-US" w:bidi="en-US"/>
        </w:rPr>
        <w:t>Esto para justificar el primer parrafo de la introducción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rial">
    <w:charset w:val="01"/>
    <w:family w:val="swiss"/>
    <w:pitch w:val="variable"/>
  </w:font>
  <w:font w:name="Times New Roman">
    <w:charset w:val="01"/>
    <w:family w:val="swiss"/>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swiss"/>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5757545" cy="594360"/>
          <wp:effectExtent l="0" t="0" r="0" b="0"/>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1"/>
                  <a:stretch>
                    <a:fillRect/>
                  </a:stretch>
                </pic:blipFill>
                <pic:spPr bwMode="auto">
                  <a:xfrm>
                    <a:off x="0" y="0"/>
                    <a:ext cx="5757545" cy="594360"/>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5757545" cy="594360"/>
          <wp:effectExtent l="0" t="0" r="0" b="0"/>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1"/>
                  <a:stretch>
                    <a:fillRect/>
                  </a:stretch>
                </pic:blipFill>
                <pic:spPr bwMode="auto">
                  <a:xfrm>
                    <a:off x="0" y="0"/>
                    <a:ext cx="5757545" cy="59436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drawing>
        <wp:anchor behindDoc="1" distT="0" distB="0" distL="0" distR="0" simplePos="0" locked="0" layoutInCell="1" allowOverlap="1" relativeHeight="14">
          <wp:simplePos x="0" y="0"/>
          <wp:positionH relativeFrom="column">
            <wp:posOffset>-106680</wp:posOffset>
          </wp:positionH>
          <wp:positionV relativeFrom="paragraph">
            <wp:posOffset>-152400</wp:posOffset>
          </wp:positionV>
          <wp:extent cx="2665730" cy="803910"/>
          <wp:effectExtent l="0" t="0" r="0" b="0"/>
          <wp:wrapNone/>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1"/>
                  <a:srcRect l="-53" t="-177" r="-267" b="-177"/>
                  <a:stretch>
                    <a:fillRect/>
                  </a:stretch>
                </pic:blipFill>
                <pic:spPr bwMode="auto">
                  <a:xfrm>
                    <a:off x="0" y="0"/>
                    <a:ext cx="2665730" cy="803910"/>
                  </a:xfrm>
                  <a:prstGeom prst="rect">
                    <a:avLst/>
                  </a:prstGeom>
                </pic:spPr>
              </pic:pic>
            </a:graphicData>
          </a:graphic>
        </wp:anchor>
      </w:drawing>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drawing>
        <wp:anchor behindDoc="1" distT="0" distB="0" distL="0" distR="0" simplePos="0" locked="0" layoutInCell="1" allowOverlap="1" relativeHeight="14">
          <wp:simplePos x="0" y="0"/>
          <wp:positionH relativeFrom="column">
            <wp:posOffset>-106680</wp:posOffset>
          </wp:positionH>
          <wp:positionV relativeFrom="paragraph">
            <wp:posOffset>-152400</wp:posOffset>
          </wp:positionV>
          <wp:extent cx="2665730" cy="803910"/>
          <wp:effectExtent l="0" t="0" r="0" b="0"/>
          <wp:wrapNone/>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1"/>
                  <a:srcRect l="-53" t="-177" r="-267" b="-177"/>
                  <a:stretch>
                    <a:fillRect/>
                  </a:stretch>
                </pic:blipFill>
                <pic:spPr bwMode="auto">
                  <a:xfrm>
                    <a:off x="0" y="0"/>
                    <a:ext cx="2665730" cy="803910"/>
                  </a:xfrm>
                  <a:prstGeom prst="rect">
                    <a:avLst/>
                  </a:prstGeom>
                </pic:spPr>
              </pic:pic>
            </a:graphicData>
          </a:graphic>
        </wp:anchor>
      </w:drawing>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decimal"/>
      <w:lvlText w:val="%1."/>
      <w:lvlJc w:val="left"/>
      <w:pPr>
        <w:tabs>
          <w:tab w:val="num" w:pos="0"/>
        </w:tabs>
        <w:ind w:left="791" w:hanging="360"/>
      </w:pPr>
      <w:rPr>
        <w:vertAlign w:val="baseline"/>
        <w:position w:val="0"/>
        <w:sz w:val="24"/>
        <w:sz w:val="24"/>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embedTrueTypeFonts/>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4"/>
      <w:szCs w:val="24"/>
      <w:lang w:val="es-ES" w:eastAsia="zh-CN" w:bidi="hi-IN"/>
    </w:rPr>
  </w:style>
  <w:style w:type="paragraph" w:styleId="Heading1">
    <w:name w:val="Heading 1"/>
    <w:basedOn w:val="normal1"/>
    <w:next w:val="normal1"/>
    <w:qFormat/>
    <w:pPr>
      <w:keepNext w:val="true"/>
      <w:widowControl/>
      <w:spacing w:lineRule="auto" w:line="240" w:before="240" w:after="60"/>
      <w:ind w:hanging="432" w:left="432"/>
    </w:pPr>
    <w:rPr>
      <w:rFonts w:ascii="Arial" w:hAnsi="Arial" w:eastAsia="Arial" w:cs="Arial"/>
      <w:b/>
      <w:bCs/>
      <w:position w:val="0"/>
      <w:sz w:val="32"/>
      <w:sz w:val="32"/>
      <w:szCs w:val="32"/>
      <w:vertAlign w:val="baseline"/>
    </w:rPr>
  </w:style>
  <w:style w:type="paragraph" w:styleId="Heading2">
    <w:name w:val="Heading 2"/>
    <w:basedOn w:val="normal1"/>
    <w:next w:val="normal1"/>
    <w:qFormat/>
    <w:pPr>
      <w:keepNext w:val="true"/>
      <w:widowControl/>
      <w:spacing w:lineRule="auto" w:line="240" w:before="240" w:after="60"/>
      <w:ind w:hanging="576" w:left="4716"/>
    </w:pPr>
    <w:rPr>
      <w:rFonts w:ascii="Arial" w:hAnsi="Arial" w:eastAsia="Arial" w:cs="Arial"/>
      <w:b/>
      <w:bCs/>
      <w:i/>
      <w:iCs/>
      <w:position w:val="0"/>
      <w:sz w:val="28"/>
      <w:sz w:val="28"/>
      <w:szCs w:val="28"/>
      <w:vertAlign w:val="baseline"/>
    </w:rPr>
  </w:style>
  <w:style w:type="paragraph" w:styleId="Heading3">
    <w:name w:val="Heading 3"/>
    <w:basedOn w:val="normal1"/>
    <w:next w:val="normal1"/>
    <w:qFormat/>
    <w:pPr>
      <w:keepNext w:val="true"/>
      <w:widowControl/>
      <w:spacing w:lineRule="auto" w:line="240" w:before="240" w:after="60"/>
      <w:ind w:hanging="720" w:left="720"/>
    </w:pPr>
    <w:rPr>
      <w:rFonts w:ascii="Arial" w:hAnsi="Arial" w:eastAsia="Arial" w:cs="Arial"/>
      <w:b/>
      <w:bCs/>
      <w:position w:val="0"/>
      <w:sz w:val="26"/>
      <w:sz w:val="26"/>
      <w:szCs w:val="26"/>
      <w:vertAlign w:val="baseline"/>
    </w:rPr>
  </w:style>
  <w:style w:type="paragraph" w:styleId="Heading4">
    <w:name w:val="Heading 4"/>
    <w:basedOn w:val="normal1"/>
    <w:next w:val="normal1"/>
    <w:qFormat/>
    <w:pPr>
      <w:keepNext w:val="true"/>
      <w:widowControl/>
      <w:spacing w:lineRule="auto" w:line="240" w:before="240" w:after="60"/>
      <w:ind w:hanging="864" w:left="864"/>
    </w:pPr>
    <w:rPr>
      <w:rFonts w:ascii="Times New Roman" w:hAnsi="Times New Roman" w:eastAsia="Times New Roman" w:cs="Times New Roman"/>
      <w:b/>
      <w:bCs/>
      <w:position w:val="0"/>
      <w:sz w:val="28"/>
      <w:sz w:val="28"/>
      <w:szCs w:val="28"/>
      <w:vertAlign w:val="baseline"/>
    </w:rPr>
  </w:style>
  <w:style w:type="paragraph" w:styleId="Heading5">
    <w:name w:val="Heading 5"/>
    <w:basedOn w:val="normal1"/>
    <w:next w:val="normal1"/>
    <w:qFormat/>
    <w:pPr>
      <w:widowControl/>
      <w:spacing w:lineRule="auto" w:line="240" w:before="240" w:after="60"/>
      <w:ind w:hanging="1008" w:left="1008"/>
    </w:pPr>
    <w:rPr>
      <w:rFonts w:ascii="Times New Roman" w:hAnsi="Times New Roman" w:eastAsia="Times New Roman" w:cs="Times New Roman"/>
      <w:b/>
      <w:bCs/>
      <w:i/>
      <w:iCs/>
      <w:position w:val="0"/>
      <w:sz w:val="26"/>
      <w:sz w:val="26"/>
      <w:szCs w:val="26"/>
      <w:vertAlign w:val="baseline"/>
    </w:rPr>
  </w:style>
  <w:style w:type="paragraph" w:styleId="Heading6">
    <w:name w:val="Heading 6"/>
    <w:basedOn w:val="normal1"/>
    <w:next w:val="normal1"/>
    <w:qFormat/>
    <w:pPr>
      <w:widowControl/>
      <w:spacing w:lineRule="auto" w:line="240" w:before="240" w:after="60"/>
      <w:ind w:hanging="1152" w:left="1152"/>
    </w:pPr>
    <w:rPr>
      <w:rFonts w:ascii="Times New Roman" w:hAnsi="Times New Roman" w:eastAsia="Times New Roman" w:cs="Times New Roman"/>
      <w:b/>
      <w:bCs/>
      <w:position w:val="0"/>
      <w:sz w:val="22"/>
      <w:sz w:val="22"/>
      <w:szCs w:val="22"/>
      <w:vertAlign w:val="baseline"/>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Times New Roman" w:hAnsi="Times New Roman" w:eastAsia="Noto Serif CJK SC" w:cs="Noto Sans Devanagari"/>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BlockQuotation">
    <w:name w:val="Block Quotation"/>
    <w:basedOn w:val="Normal"/>
    <w:qFormat/>
    <w:pPr>
      <w:spacing w:before="0" w:after="283"/>
      <w:ind w:hanging="0" w:left="567" w:right="567"/>
    </w:pPr>
    <w:rPr/>
  </w:style>
  <w:style w:type="paragraph" w:styleId="Comment">
    <w:name w:val="Comment"/>
    <w:basedOn w:val="Normal"/>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who.int/publications/i/item/global-action-plan-on-the-public-health-response-to-dementia-2017---2025" TargetMode="External"/><Relationship Id="rId5" Type="http://schemas.openxmlformats.org/officeDocument/2006/relationships/hyperlink" Target="https://www.periodico.unal.edu.co/articulos/la-epidemia-de-demencia-avanza-silenciosa-con-el-envejecimiento-en-colombia" TargetMode="External"/><Relationship Id="rId6" Type="http://schemas.openxmlformats.org/officeDocument/2006/relationships/hyperlink" Target="https://doi.org/10.1186/s12889-025-22166-9" TargetMode="External"/><Relationship Id="rId7" Type="http://schemas.openxmlformats.org/officeDocument/2006/relationships/hyperlink" Target="https://doi.org/10.3390/bioengineering9010027" TargetMode="External"/><Relationship Id="rId8" Type="http://schemas.openxmlformats.org/officeDocument/2006/relationships/hyperlink" Target="https://doi.org/10.48550/arXiv.2006.11477" TargetMode="External"/><Relationship Id="rId9" Type="http://schemas.openxmlformats.org/officeDocument/2006/relationships/hyperlink" Target="https://doi.org/10.48550/arXiv.2004.06833" TargetMode="External"/><Relationship Id="rId10" Type="http://schemas.openxmlformats.org/officeDocument/2006/relationships/hyperlink" Target="https://doi.org/10.48550/arXiv.2104.09356" TargetMode="External"/><Relationship Id="rId11" Type="http://schemas.openxmlformats.org/officeDocument/2006/relationships/hyperlink" Target="https://doi.org/10.48550/arXiv.1902.00751" TargetMode="External"/><Relationship Id="rId12" Type="http://schemas.openxmlformats.org/officeDocument/2006/relationships/hyperlink" Target="https://doi.org/10.48550/arXiv.2106.09685" TargetMode="External"/><Relationship Id="rId13" Type="http://schemas.openxmlformats.org/officeDocument/2006/relationships/hyperlink" Target="https://doi.org/10.48550/arXiv.2101.00190" TargetMode="External"/><Relationship Id="rId14" Type="http://schemas.openxmlformats.org/officeDocument/2006/relationships/hyperlink" Target="https://doi.org/10.21437/Interspeech.2019-2680"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comments" Target="comments.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13</Pages>
  <Words>3693</Words>
  <Characters>21596</Characters>
  <CharactersWithSpaces>25248</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2026-07-10T20:46:25Z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id="AnYNH5sf"/&gt;&lt;style id="http://www.zotero.org/styles/apa" locale="en-US" hasBibliography="1" bibliographyStyleHasBeenSet="0"/&gt;&lt;prefs&gt;&lt;pref name="fieldType" value="ReferenceMark"/&gt;&lt;pref name="automat</vt:lpwstr>
  </property>
  <property fmtid="{D5CDD505-2E9C-101B-9397-08002B2CF9AE}" pid="3" name="ZOTERO_PREF_2">
    <vt:lpwstr>icJournalAbbreviations" value="true"/&gt;&lt;/prefs&gt;&lt;/data&gt;</vt:lpwstr>
  </property>
</Properties>
</file>