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Caso Harley-Davidson: arquitectura del proyecto SiL'K</w:t>
      </w:r>
    </w:p>
    <w:p>
      <w:pPr>
        <w:spacing w:after="40"/>
        <w:jc w:val="center"/>
      </w:pPr>
      <w:r>
        <w:rPr>
          <w:sz w:val="20"/>
        </w:rPr>
        <w:t>Análisis y Diseño de Sistemas II (785) · ECYS, USAC · MBA. MSc. Claudia Rojas de Morán</w:t>
      </w:r>
    </w:p>
    <w:p>
      <w:pPr>
        <w:spacing w:after="40"/>
        <w:jc w:val="center"/>
      </w:pPr>
      <w:r>
        <w:rPr>
          <w:sz w:val="20"/>
        </w:rPr>
        <w:t>Santiago Barrera · Carné: ____________________ · 13 de octubre de 2026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Índice y correspondencia con la rúbrica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812"/>
        <w:gridCol w:w="9475"/>
        <w:gridCol w:w="1083"/>
        <w:gridCol w:w="2166"/>
      </w:tblGrid>
      <w:tr>
        <w:trPr>
          <w:tblHeader w:val="true"/>
        </w:trPr>
        <w:tc>
          <w:tcPr>
            <w:tcW w:type="dxa" w:w="8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20"/>
              </w:rPr>
              <w:t>#</w:t>
            </w:r>
          </w:p>
        </w:tc>
        <w:tc>
          <w:tcPr>
            <w:tcW w:type="dxa" w:w="947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20"/>
              </w:rPr>
              <w:t>Criterio de la rúbrica</w:t>
            </w:r>
          </w:p>
        </w:tc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20"/>
              </w:rPr>
              <w:t>Pts</w:t>
            </w:r>
          </w:p>
        </w:tc>
        <w:tc>
          <w:tcPr>
            <w:tcW w:type="dxa" w:w="216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20"/>
              </w:rPr>
              <w:t>Sección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947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20"/>
              </w:rPr>
              <w:t>Caso de negocio: diagrama de contexto, CDU core y CDU primera descomposición</w:t>
            </w: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§1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947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20"/>
              </w:rPr>
              <w:t>Identificación de stakeholders</w:t>
            </w: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216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Drivers RF, de atributos de calidad y de restricción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Matrices de trazabilidad acopladas a los criterios 1, 2 y 3 (cuatro)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Estilos arquitectónicos, diagrama de bloques y diagrama de despliegue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§5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Drivers de calidad y de restricción en los pasos para definir la arquitectura, y modelo de calidad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§6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</w:p>
        </w:tc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/>
                <w:i w:val="0"/>
                <w:sz w:val="20"/>
              </w:rPr>
              <w:t>100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  <w:jc w:val="center"/>
            </w:pP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Declaraciones que condicionan todo el documento</w:t>
      </w:r>
    </w:p>
    <w:p>
      <w:pPr>
        <w:spacing w:after="60"/>
        <w:ind w:left="432"/>
      </w:pPr>
      <w:r>
        <w:rPr>
          <w:b/>
          <w:i w:val="0"/>
          <w:sz w:val="20"/>
        </w:rPr>
        <w:t>Frontera del negocio</w:t>
      </w:r>
    </w:p>
    <w:p>
      <w:pPr>
        <w:spacing w:after="60"/>
        <w:ind w:left="432"/>
      </w:pPr>
      <w:r>
        <w:rPr>
          <w:b/>
          <w:i w:val="0"/>
          <w:sz w:val="19"/>
        </w:rPr>
        <w:t>El negocio</w:t>
      </w:r>
      <w:r>
        <w:rPr>
          <w:b w:val="0"/>
          <w:i w:val="0"/>
          <w:sz w:val="19"/>
        </w:rPr>
        <w:t xml:space="preserve"> es la </w:t>
      </w:r>
      <w:r>
        <w:rPr>
          <w:b/>
          <w:i w:val="0"/>
          <w:sz w:val="19"/>
        </w:rPr>
        <w:t>gestión de suministros y compras de Harley-Davidson</w:t>
      </w:r>
      <w:r>
        <w:rPr>
          <w:b w:val="0"/>
          <w:i w:val="0"/>
          <w:sz w:val="19"/>
        </w:rPr>
        <w:t xml:space="preserve">: el ámbito que el propio caso dibuja en su anexo 6a. No es la empresa entera, y </w:t>
      </w:r>
      <w:r>
        <w:rPr>
          <w:b/>
          <w:i w:val="0"/>
          <w:sz w:val="19"/>
        </w:rPr>
        <w:t>no es el concurso de proveedores de software</w:t>
      </w:r>
      <w:r>
        <w:rPr>
          <w:b w:val="0"/>
          <w:i w:val="0"/>
          <w:sz w:val="19"/>
        </w:rPr>
        <w:t xml:space="preserve"> que da título al caso: ese relato es la fuente de los stakeholders, los requisitos y las restricciones.</w:t>
      </w:r>
    </w:p>
    <w:p>
      <w:pPr>
        <w:spacing w:after="60"/>
        <w:ind w:left="432"/>
      </w:pPr>
      <w:r>
        <w:rPr>
          <w:b/>
          <w:i w:val="0"/>
          <w:sz w:val="19"/>
        </w:rPr>
        <w:t>Consecuencia:</w:t>
      </w:r>
      <w:r>
        <w:rPr>
          <w:b w:val="0"/>
          <w:i w:val="0"/>
          <w:sz w:val="19"/>
        </w:rPr>
        <w:t xml:space="preserve"> quienes ejecutan las compras (compradores, dirección de compras, recepcionistas) son </w:t>
      </w:r>
      <w:r>
        <w:rPr>
          <w:b/>
          <w:i w:val="0"/>
          <w:sz w:val="19"/>
        </w:rPr>
        <w:t>trabajadores del negocio</w:t>
      </w:r>
      <w:r>
        <w:rPr>
          <w:b w:val="0"/>
          <w:i w:val="0"/>
          <w:sz w:val="19"/>
        </w:rPr>
        <w:t xml:space="preserve">. Son </w:t>
      </w:r>
      <w:r>
        <w:rPr>
          <w:b/>
          <w:i w:val="0"/>
          <w:sz w:val="19"/>
        </w:rPr>
        <w:t>actores</w:t>
      </w:r>
      <w:r>
        <w:rPr>
          <w:b w:val="0"/>
          <w:i w:val="0"/>
          <w:sz w:val="19"/>
        </w:rPr>
        <w:t xml:space="preserve"> las entidades de afuera: el proveedor y las </w:t>
      </w:r>
      <w:r>
        <w:rPr>
          <w:b/>
          <w:i w:val="0"/>
          <w:sz w:val="19"/>
        </w:rPr>
        <w:t>áreas</w:t>
      </w:r>
      <w:r>
        <w:rPr>
          <w:b w:val="0"/>
          <w:i w:val="0"/>
          <w:sz w:val="19"/>
        </w:rPr>
        <w:t xml:space="preserve"> que piden, reciben y pagan. Regla de clase aplicada: las áreas son actores, las personas son trabajadores.</w:t>
      </w:r>
    </w:p>
    <w:p>
      <w:pPr>
        <w:spacing w:after="200"/>
        <w:ind w:left="432"/>
      </w:pPr>
      <w:r>
        <w:rPr>
          <w:b/>
          <w:i w:val="0"/>
          <w:sz w:val="19"/>
        </w:rPr>
        <w:t>Cambio de lente:</w:t>
      </w:r>
      <w:r>
        <w:rPr>
          <w:b w:val="0"/>
          <w:i w:val="0"/>
          <w:sz w:val="19"/>
        </w:rPr>
        <w:t xml:space="preserve"> frente al </w:t>
      </w:r>
      <w:r>
        <w:rPr>
          <w:b/>
          <w:i w:val="0"/>
          <w:sz w:val="19"/>
        </w:rPr>
        <w:t>software</w:t>
      </w:r>
      <w:r>
        <w:rPr>
          <w:b w:val="0"/>
          <w:i w:val="0"/>
          <w:sz w:val="19"/>
        </w:rPr>
        <w:t xml:space="preserve"> SiL'K, esos mismos trabajadores pasan a ser entidades externas. Por eso el comprador no aparece en el core (§1.2) y sí en el diagrama de contexto (§1.1) y en los CDU expandidos (§3.1).</w:t>
      </w:r>
    </w:p>
    <w:p>
      <w:pPr>
        <w:spacing w:after="60"/>
        <w:ind w:left="432"/>
      </w:pPr>
      <w:r>
        <w:rPr>
          <w:b/>
          <w:i w:val="0"/>
          <w:sz w:val="20"/>
        </w:rPr>
        <w:t>Cómo se leyó la consigna</w:t>
      </w:r>
    </w:p>
    <w:p>
      <w:pPr>
        <w:spacing w:after="60"/>
        <w:ind w:left="432"/>
      </w:pPr>
      <w:r>
        <w:rPr>
          <w:b/>
          <w:i w:val="0"/>
          <w:sz w:val="19"/>
        </w:rPr>
        <w:t>«Traer el caso al presente»:</w:t>
      </w:r>
      <w:r>
        <w:rPr>
          <w:b w:val="0"/>
          <w:i w:val="0"/>
          <w:sz w:val="19"/>
        </w:rPr>
        <w:t xml:space="preserve"> se actualiza la </w:t>
      </w:r>
      <w:r>
        <w:rPr>
          <w:b/>
          <w:i w:val="0"/>
          <w:sz w:val="19"/>
        </w:rPr>
        <w:t>tecnología</w:t>
      </w:r>
      <w:r>
        <w:rPr>
          <w:b w:val="0"/>
          <w:i w:val="0"/>
          <w:sz w:val="19"/>
        </w:rPr>
        <w:t xml:space="preserve"> (la «red Internet de Suministros» de 1998 pasa a ser portal web, API y nube). Los </w:t>
      </w:r>
      <w:r>
        <w:rPr>
          <w:b/>
          <w:i w:val="0"/>
          <w:sz w:val="19"/>
        </w:rPr>
        <w:t>hechos</w:t>
      </w:r>
      <w:r>
        <w:rPr>
          <w:b w:val="0"/>
          <w:i w:val="0"/>
          <w:sz w:val="19"/>
        </w:rPr>
        <w:t xml:space="preserve"> del caso (organización, ámbito, fases, cifras) no se tocan. Lo que el caso no dice y hace falta va rotulado como </w:t>
      </w:r>
      <w:r>
        <w:rPr>
          <w:b/>
          <w:i w:val="0"/>
          <w:sz w:val="19"/>
        </w:rPr>
        <w:t>supuesto</w:t>
      </w:r>
      <w:r>
        <w:rPr>
          <w:b w:val="0"/>
          <w:i w:val="0"/>
          <w:sz w:val="19"/>
        </w:rPr>
        <w:t>.</w:t>
      </w:r>
    </w:p>
    <w:p>
      <w:pPr>
        <w:spacing w:after="60"/>
        <w:ind w:left="432"/>
      </w:pPr>
      <w:r>
        <w:rPr>
          <w:b/>
          <w:i w:val="0"/>
          <w:sz w:val="19"/>
        </w:rPr>
        <w:t>«Los pasos para definir la arquitectura»:</w:t>
      </w:r>
      <w:r>
        <w:rPr>
          <w:b w:val="0"/>
          <w:i w:val="0"/>
          <w:sz w:val="19"/>
        </w:rPr>
        <w:t xml:space="preserve"> los siete de la lámina de clase </w:t>
      </w:r>
      <w:r>
        <w:rPr>
          <w:b w:val="0"/>
          <w:i/>
          <w:sz w:val="19"/>
        </w:rPr>
        <w:t>Pasos para la definición de una Arquitectura de software</w:t>
      </w:r>
      <w:r>
        <w:rPr>
          <w:b w:val="0"/>
          <w:i w:val="0"/>
          <w:sz w:val="19"/>
        </w:rPr>
        <w:t xml:space="preserve"> (§6.1).</w:t>
      </w:r>
    </w:p>
    <w:p>
      <w:pPr>
        <w:spacing w:after="60"/>
        <w:ind w:left="432"/>
      </w:pPr>
      <w:r>
        <w:rPr>
          <w:b/>
          <w:i w:val="0"/>
          <w:sz w:val="19"/>
        </w:rPr>
        <w:t>«EaC»:</w:t>
      </w:r>
      <w:r>
        <w:rPr>
          <w:b w:val="0"/>
          <w:i w:val="0"/>
          <w:sz w:val="19"/>
        </w:rPr>
        <w:t xml:space="preserve"> los </w:t>
      </w:r>
      <w:r>
        <w:rPr>
          <w:b/>
          <w:i w:val="0"/>
          <w:sz w:val="19"/>
        </w:rPr>
        <w:t>escenarios de atributos de calidad</w:t>
      </w:r>
      <w:r>
        <w:rPr>
          <w:b w:val="0"/>
          <w:i w:val="0"/>
          <w:sz w:val="19"/>
        </w:rPr>
        <w:t>, con identificador EAC-nn, seis partes y prioridad en pares, tal como en el ejemplo de clase del Sistema de Transporte (§3.2).</w:t>
      </w:r>
    </w:p>
    <w:p>
      <w:pPr>
        <w:spacing w:after="60"/>
        <w:ind w:left="432"/>
      </w:pPr>
      <w:r>
        <w:rPr>
          <w:b/>
          <w:i w:val="0"/>
          <w:sz w:val="19"/>
        </w:rPr>
        <w:t>«Modelo de calidad»:</w:t>
      </w:r>
      <w:r>
        <w:rPr>
          <w:b w:val="0"/>
          <w:i w:val="0"/>
          <w:sz w:val="19"/>
        </w:rPr>
        <w:t xml:space="preserve"> según la indicación de la catedrática, el pensamiento ISO como </w:t>
      </w:r>
      <w:r>
        <w:rPr>
          <w:b/>
          <w:i w:val="0"/>
          <w:sz w:val="19"/>
        </w:rPr>
        <w:t>familia de normas</w:t>
      </w:r>
      <w:r>
        <w:rPr>
          <w:b w:val="0"/>
          <w:i w:val="0"/>
          <w:sz w:val="19"/>
        </w:rPr>
        <w:t>, con ISO/IEC 9126 y la serie ISO/IEC 25000 como normas concretas (§6.4).</w:t>
      </w:r>
    </w:p>
    <w:p>
      <w:pPr>
        <w:spacing w:after="60"/>
        <w:ind w:left="432"/>
      </w:pPr>
      <w:r>
        <w:rPr>
          <w:b/>
          <w:i w:val="0"/>
          <w:sz w:val="19"/>
        </w:rPr>
        <w:t>Identificadores:</w:t>
      </w:r>
      <w:r>
        <w:rPr>
          <w:b w:val="0"/>
          <w:i w:val="0"/>
          <w:sz w:val="19"/>
        </w:rPr>
        <w:t xml:space="preserve"> STK-nn stakeholder · CDU-nn proceso de negocio · CU-nn caso de uso del sistema · RF-nn driver funcional · EAC-nn escenario de atributo de calidad (driver de calidad) · RE-nn driver de restricción.</w:t>
      </w:r>
    </w:p>
    <w:p>
      <w:pPr>
        <w:spacing w:after="200"/>
        <w:ind w:left="432"/>
      </w:pPr>
      <w:r>
        <w:rPr>
          <w:b/>
          <w:i w:val="0"/>
          <w:sz w:val="19"/>
        </w:rPr>
        <w:t>Trabajo individual:</w:t>
      </w:r>
      <w:r>
        <w:rPr>
          <w:b w:val="0"/>
          <w:i w:val="0"/>
          <w:sz w:val="19"/>
        </w:rPr>
        <w:t xml:space="preserve"> el documento lo elaboró una sola persona. El nombre del archivo conserva el formato pedido.</w:t>
      </w:r>
    </w:p>
    <w:p>
      <w:pPr>
        <w:pStyle w:val="Heading1"/>
        <w:pageBreakBefore/>
      </w:pPr>
      <w:r>
        <w:rPr>
          <w:color w:val="000000"/>
        </w:rPr>
      </w:r>
      <w:r>
        <w:rPr>
          <w:b/>
          <w:i w:val="0"/>
          <w:color w:val="000000"/>
        </w:rPr>
        <w:t>1. Caso de negocio (criterio 1, 15 pts)</w:t>
      </w:r>
    </w:p>
    <w:p>
      <w:r>
        <w:rPr>
          <w:b w:val="0"/>
          <w:i w:val="0"/>
          <w:sz w:val="21"/>
        </w:rPr>
        <w:t xml:space="preserve">Es el </w:t>
      </w:r>
      <w:r>
        <w:rPr>
          <w:b/>
          <w:i w:val="0"/>
          <w:sz w:val="21"/>
        </w:rPr>
        <w:t>paso 0</w:t>
      </w:r>
      <w:r>
        <w:rPr>
          <w:b w:val="0"/>
          <w:i w:val="0"/>
          <w:sz w:val="21"/>
        </w:rPr>
        <w:t xml:space="preserve"> del método de clase: antes de diseñar, delimitar el negocio y lo que el producto intercambia con su entorno. Tres diagramas, de afuera hacia adentro.</w:t>
      </w:r>
    </w:p>
    <w:p>
      <w:r>
        <w:rPr>
          <w:b w:val="0"/>
          <w:i w:val="0"/>
          <w:sz w:val="21"/>
        </w:rPr>
        <w:t xml:space="preserve">La notación es la de clase: en el diagrama de contexto, la </w:t>
      </w:r>
      <w:r>
        <w:rPr>
          <w:b/>
          <w:i w:val="0"/>
          <w:sz w:val="21"/>
        </w:rPr>
        <w:t>elipse</w:t>
      </w:r>
      <w:r>
        <w:rPr>
          <w:b w:val="0"/>
          <w:i w:val="0"/>
          <w:sz w:val="21"/>
        </w:rPr>
        <w:t xml:space="preserve"> es El Producto, cada </w:t>
      </w:r>
      <w:r>
        <w:rPr>
          <w:b/>
          <w:i w:val="0"/>
          <w:sz w:val="21"/>
        </w:rPr>
        <w:t>rectángulo</w:t>
      </w:r>
      <w:r>
        <w:rPr>
          <w:b w:val="0"/>
          <w:i w:val="0"/>
          <w:sz w:val="21"/>
        </w:rPr>
        <w:t xml:space="preserve"> es una entidad o agente externo y cada </w:t>
      </w:r>
      <w:r>
        <w:rPr>
          <w:b/>
          <w:i w:val="0"/>
          <w:sz w:val="21"/>
        </w:rPr>
        <w:t>flecha</w:t>
      </w:r>
      <w:r>
        <w:rPr>
          <w:b w:val="0"/>
          <w:i w:val="0"/>
          <w:sz w:val="21"/>
        </w:rPr>
        <w:t xml:space="preserve"> es un flujo con nombre.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1.1 Diagrama de contexto</w:t>
      </w:r>
    </w:p>
    <w:p>
      <w:r>
        <w:rPr>
          <w:b/>
          <w:i w:val="0"/>
          <w:sz w:val="21"/>
        </w:rPr>
        <w:t>El Producto</w:t>
      </w:r>
      <w:r>
        <w:rPr>
          <w:b w:val="0"/>
          <w:i w:val="0"/>
          <w:sz w:val="21"/>
        </w:rPr>
        <w:t xml:space="preserve"> es el software SiL'K. Las entidades son todo lo que intercambia información con él: personas, áreas y sistemas. Cada flecha es un </w:t>
      </w:r>
      <w:r>
        <w:rPr>
          <w:b w:val="0"/>
          <w:i/>
          <w:sz w:val="21"/>
        </w:rPr>
        <w:t>streamline</w:t>
      </w:r>
      <w:r>
        <w:rPr>
          <w:b w:val="0"/>
          <w:i w:val="0"/>
          <w:sz w:val="21"/>
        </w:rPr>
        <w:t xml:space="preserve"> con nombre, en sustantivo: son </w:t>
      </w:r>
      <w:r>
        <w:rPr>
          <w:b/>
          <w:i w:val="0"/>
          <w:sz w:val="21"/>
        </w:rPr>
        <w:t>19</w:t>
      </w:r>
      <w:r>
        <w:rPr>
          <w:b w:val="0"/>
          <w:i w:val="0"/>
          <w:sz w:val="21"/>
        </w:rP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503920" cy="56787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o-h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5678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1. Diagrama de contexto de SiL'K: diez entidades y diecinueve flujos.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4873"/>
        <w:gridCol w:w="4332"/>
        <w:gridCol w:w="4332"/>
      </w:tblGrid>
      <w:tr>
        <w:trPr>
          <w:tblHeader w:val="true"/>
        </w:trPr>
        <w:tc>
          <w:tcPr>
            <w:tcW w:type="dxa" w:w="487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Entidad</w:t>
            </w:r>
          </w:p>
        </w:tc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Entrega a SiL'K</w:t>
            </w:r>
          </w:p>
        </w:tc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Recibe de SiL'K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Empleado solicitante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Solicitud de pedido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Estado de la solicitud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Responsable de área (aprobador)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Decisión de aprobación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Solicitud por aprobar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Dirección de Compras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Contratos y reglas de compra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Gasto consolidado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Pedido de compra y evaluación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Propuestas y alertas de plazo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Ingeniería (Centro de Desarrollo de Productos)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Plan y coste objetivo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Preparación de las piezas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Suministrador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Confirmación, envío y factura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Pedido, demanda y resultados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Recepción y Logística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Recepción de material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Entregas previstas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 MRP/DRP de planta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Requisitos de material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Pedidos en firme y fechas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 de Cuentas de Acreedores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Estado del pago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Factura conciliada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Sistemas de compras locales (en retiro)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Histórico de pedidos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Ninguno: solo emiten, se migran y se apagan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1.2 CDU de alto nivel (core)</w:t>
      </w:r>
    </w:p>
    <w:p>
      <w:r>
        <w:rPr>
          <w:b w:val="0"/>
          <w:i w:val="0"/>
          <w:sz w:val="21"/>
        </w:rPr>
        <w:t xml:space="preserve">Una sola elipse con el nombre del negocio completo y todos sus actores alrededor. Las asociaciones van </w:t>
      </w:r>
      <w:r>
        <w:rPr>
          <w:b/>
          <w:i w:val="0"/>
          <w:sz w:val="21"/>
        </w:rPr>
        <w:t>sin punta</w:t>
      </w:r>
      <w:r>
        <w:rPr>
          <w:b w:val="0"/>
          <w:i w:val="0"/>
          <w:sz w:val="21"/>
        </w:rPr>
        <w:t>: la comunicación se inicia en los dos sentidos.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7498079" cy="4544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core-h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98079" cy="454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2. CDU core: el negocio y sus seis actores.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249"/>
        <w:gridCol w:w="5956"/>
        <w:gridCol w:w="4332"/>
      </w:tblGrid>
      <w:tr>
        <w:trPr>
          <w:tblHeader w:val="true"/>
        </w:trPr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 del negocio</w:t>
            </w:r>
          </w:p>
        </w:tc>
        <w:tc>
          <w:tcPr>
            <w:tcW w:type="dxa" w:w="595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Por qué está afuera</w:t>
            </w:r>
          </w:p>
        </w:tc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Qué obtiene del negocio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Proveedor (suministrador)</w:t>
            </w:r>
          </w:p>
        </w:tc>
        <w:tc>
          <w:tcPr>
            <w:tcW w:type="dxa" w:w="595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Otra empresa. El caso lo llama «una extensión de nosotros mismos», pero no pertenece a Harley-Davidson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Pedidos, demanda prevista, sus resultados y el pago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Áreas solicitantes</w:t>
            </w:r>
          </w:p>
        </w:tc>
        <w:tc>
          <w:tcPr>
            <w:tcW w:type="dxa" w:w="595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Los más de 2.000 empleados que generan solicitudes no son de Compras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El material o servicio pedido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Fabricación (centros de producción)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Compras le sirve; su planificación (MRP/DRP) origina la demanda de piezas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Piezas a tiempo para no parar la línea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Desarrollo de Productos (Ingeniería)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Área distinta de Compras, con la que comparte los proyectos de nuevos modelos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Piezas y suministradores listos para el lanzamiento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Logística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Mueve el material del almacén del suministrador al de Harley-Davidson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Entregas previstas y recepciones registradas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Cuentas de Acreedores Comerciales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Área de Finanzas que paga; fue encuestada como parte implicada externa a Compras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Facturas conciliadas para pagar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Trabajadores del negocio</w:t>
      </w:r>
      <w:r>
        <w:rPr>
          <w:b w:val="0"/>
          <w:i w:val="0"/>
          <w:sz w:val="21"/>
        </w:rPr>
        <w:t xml:space="preserve"> (dentro de la frontera, no son actores): comprador, comprador de desarrollo, dirección de compras, planificación y control de compras, y recepcionista de almacén.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1.3 CDU primera descomposición</w:t>
      </w:r>
    </w:p>
    <w:p>
      <w:r>
        <w:rPr>
          <w:b w:val="0"/>
          <w:i w:val="0"/>
          <w:sz w:val="21"/>
        </w:rPr>
        <w:t xml:space="preserve">Un solo diagrama, con </w:t>
      </w:r>
      <w:r>
        <w:rPr>
          <w:b/>
          <w:i w:val="0"/>
          <w:sz w:val="21"/>
        </w:rPr>
        <w:t>cuatro procesos</w:t>
      </w:r>
      <w:r>
        <w:rPr>
          <w:b w:val="0"/>
          <w:i w:val="0"/>
          <w:sz w:val="21"/>
        </w:rPr>
        <w:t xml:space="preserve"> y el </w:t>
      </w:r>
      <w:r>
        <w:rPr>
          <w:b/>
          <w:i w:val="0"/>
          <w:sz w:val="21"/>
        </w:rPr>
        <w:t>mismo juego de actores</w:t>
      </w:r>
      <w:r>
        <w:rPr>
          <w:b w:val="0"/>
          <w:i w:val="0"/>
          <w:sz w:val="21"/>
        </w:rPr>
        <w:t xml:space="preserve"> que el core: ninguno desaparece. Los procesos salen de las tres fases del anexo 6b; la fase 1 se partió en dos porque sus actores son distintos (quien pide no es quien recibe ni quien paga).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949440" cy="50477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descomposicion-h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5047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3. Primera descomposición: cuatro procesos de negocio.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655"/>
        <w:gridCol w:w="3384"/>
        <w:gridCol w:w="2978"/>
        <w:gridCol w:w="3519"/>
      </w:tblGrid>
      <w:tr>
        <w:trPr>
          <w:tblHeader w:val="true"/>
        </w:trPr>
        <w:tc>
          <w:tcPr>
            <w:tcW w:type="dxa" w:w="365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Proceso</w:t>
            </w:r>
          </w:p>
        </w:tc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Origen en el caso</w:t>
            </w:r>
          </w:p>
        </w:tc>
        <w:tc>
          <w:tcPr>
            <w:tcW w:type="dxa" w:w="297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351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Resultado de valor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CDU-01</w:t>
            </w:r>
            <w:r>
              <w:rPr>
                <w:b w:val="0"/>
                <w:i w:val="0"/>
                <w:sz w:val="18"/>
              </w:rPr>
              <w:t xml:space="preserve"> Requisición y emisión del pedido de compra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anexo 6b, fase 1 a-b · anexo 6a: Requisitos, Realización de pedidos</w:t>
            </w:r>
          </w:p>
        </w:tc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Áreas solicitantes · Fabricación · Proveedor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 pedido en firme en manos del suministrador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CDU-02</w:t>
            </w:r>
            <w:r>
              <w:rPr>
                <w:b w:val="0"/>
                <w:i w:val="0"/>
                <w:sz w:val="18"/>
              </w:rPr>
              <w:t xml:space="preserve"> Recepción, seguimiento y pago al suministrador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anexo 6b, fase 1 c-d · anexo 6a: Logística de entrada, Recepción</w:t>
            </w:r>
          </w:p>
        </w:tc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Proveedor · Logística · Cuentas de Acreedores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Material recibido y factura pagada sin discrepancias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CDU-03</w:t>
            </w:r>
            <w:r>
              <w:rPr>
                <w:b w:val="0"/>
                <w:i w:val="0"/>
                <w:sz w:val="18"/>
              </w:rPr>
              <w:t xml:space="preserve"> Gestión de la información y la relación con suministradores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2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Proveedor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suministrador evaluado e informado, tratado como socio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CDU-04</w:t>
            </w:r>
            <w:r>
              <w:rPr>
                <w:b w:val="0"/>
                <w:i w:val="0"/>
                <w:sz w:val="18"/>
              </w:rPr>
              <w:t xml:space="preserve"> Seguimiento de compras en proyectos de nuevos productos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3 · anexo 6a: Desarrollo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Desarrollo de Productos · Proveedor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Piezas y suministradores listos en coste y plazo para el lanzamiento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Lo que quedó fuera del negocio, y por qué</w:t>
      </w:r>
    </w:p>
    <w:p>
      <w:pPr>
        <w:spacing w:after="200"/>
        <w:ind w:left="432"/>
      </w:pPr>
      <w:r>
        <w:rPr>
          <w:b w:val="0"/>
          <w:i w:val="0"/>
          <w:sz w:val="19"/>
        </w:rPr>
        <w:t xml:space="preserve">El anexo 6a marca tres actividades como «no entra dentro del ámbito del proyecto SiL'K»: </w:t>
      </w:r>
      <w:r>
        <w:rPr>
          <w:b/>
          <w:i w:val="0"/>
          <w:sz w:val="19"/>
        </w:rPr>
        <w:t>Pedido / Programación</w:t>
      </w:r>
      <w:r>
        <w:rPr>
          <w:b w:val="0"/>
          <w:i w:val="0"/>
          <w:sz w:val="19"/>
        </w:rPr>
        <w:t xml:space="preserve"> (pedidos de los clientes), </w:t>
      </w:r>
      <w:r>
        <w:rPr>
          <w:b/>
          <w:i w:val="0"/>
          <w:sz w:val="19"/>
        </w:rPr>
        <w:t>Movimiento interno de materiales</w:t>
      </w:r>
      <w:r>
        <w:rPr>
          <w:b w:val="0"/>
          <w:i w:val="0"/>
          <w:sz w:val="19"/>
        </w:rPr>
        <w:t xml:space="preserve"> y </w:t>
      </w:r>
      <w:r>
        <w:rPr>
          <w:b/>
          <w:i w:val="0"/>
          <w:sz w:val="19"/>
        </w:rPr>
        <w:t>Distribución</w:t>
      </w:r>
      <w:r>
        <w:rPr>
          <w:b w:val="0"/>
          <w:i w:val="0"/>
          <w:sz w:val="19"/>
        </w:rPr>
        <w:t xml:space="preserve"> (producto acabado al cliente). No se modelan. Por eso el </w:t>
      </w:r>
      <w:r>
        <w:rPr>
          <w:b/>
          <w:i w:val="0"/>
          <w:sz w:val="19"/>
        </w:rPr>
        <w:t>cliente</w:t>
      </w:r>
      <w:r>
        <w:rPr>
          <w:b w:val="0"/>
          <w:i w:val="0"/>
          <w:sz w:val="19"/>
        </w:rPr>
        <w:t xml:space="preserve"> y el </w:t>
      </w:r>
      <w:r>
        <w:rPr>
          <w:b/>
          <w:i w:val="0"/>
          <w:sz w:val="19"/>
        </w:rPr>
        <w:t>concesionario</w:t>
      </w:r>
      <w:r>
        <w:rPr>
          <w:b w:val="0"/>
          <w:i w:val="0"/>
          <w:sz w:val="19"/>
        </w:rPr>
        <w:t xml:space="preserve"> no son actores de este negocio.</w:t>
      </w:r>
    </w:p>
    <w:p>
      <w:pPr>
        <w:pStyle w:val="Heading1"/>
        <w:pageBreakBefore/>
      </w:pPr>
      <w:r>
        <w:rPr>
          <w:color w:val="000000"/>
        </w:rPr>
      </w:r>
      <w:r>
        <w:rPr>
          <w:b/>
          <w:i w:val="0"/>
          <w:color w:val="000000"/>
        </w:rPr>
        <w:t>2. Identificación de stakeholders (criterio 2, 10 pts)</w:t>
      </w:r>
    </w:p>
    <w:p>
      <w:r>
        <w:rPr>
          <w:b/>
          <w:i w:val="0"/>
          <w:sz w:val="21"/>
        </w:rPr>
        <w:t>Stakeholder</w:t>
      </w:r>
      <w:r>
        <w:rPr>
          <w:b w:val="0"/>
          <w:i w:val="0"/>
          <w:sz w:val="21"/>
        </w:rPr>
        <w:t xml:space="preserve"> es toda persona, grupo u organización con un interés en el sistema. Se identificaron con cuatro barridos sobre el caso: el anexo 4 (promotores, comité y equipo), los grupos de gobierno (págs. 3, 4 y 9), las partes encuestadas (pág. 8) y los externos. Entra a la lista quien aporta </w:t>
      </w:r>
      <w:r>
        <w:rPr>
          <w:b/>
          <w:i w:val="0"/>
          <w:sz w:val="21"/>
        </w:rPr>
        <w:t>un interés propio</w:t>
      </w:r>
      <w:r>
        <w:rPr>
          <w:b w:val="0"/>
          <w:i w:val="0"/>
          <w:sz w:val="21"/>
        </w:rPr>
        <w:t xml:space="preserve"> que ningún otro trae. El tipo de interés anticipa la clase de driver que aporta en el §3.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812"/>
        <w:gridCol w:w="3384"/>
        <w:gridCol w:w="1489"/>
        <w:gridCol w:w="1354"/>
        <w:gridCol w:w="5008"/>
        <w:gridCol w:w="1489"/>
      </w:tblGrid>
      <w:tr>
        <w:trPr>
          <w:tblHeader w:val="true"/>
        </w:trPr>
        <w:tc>
          <w:tcPr>
            <w:tcW w:type="dxa" w:w="8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Stakeholder</w:t>
            </w:r>
          </w:p>
        </w:tc>
        <w:tc>
          <w:tcPr>
            <w:tcW w:type="dxa" w:w="14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Interés</w:t>
            </w:r>
          </w:p>
        </w:tc>
        <w:tc>
          <w:tcPr>
            <w:tcW w:type="dxa" w:w="135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Posición</w:t>
            </w:r>
          </w:p>
        </w:tc>
        <w:tc>
          <w:tcPr>
            <w:tcW w:type="dxa" w:w="500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Interés propio (concern)</w:t>
            </w:r>
          </w:p>
        </w:tc>
        <w:tc>
          <w:tcPr>
            <w:tcW w:type="dxa" w:w="14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STK-01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Garry Berryman, vicepresidente de Gestión de Materiales (promotor)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paga · patrocina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Que la Estrategia de Gestión de Suministros se cumpla: el personal de compras al 70 % en gestión de proveedores y 34 M USD de ahorro en cinco años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págs. 4-7, anexo 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STK-02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Dave Storm, vicepresidente de Planificación y Servicios de Información (promotor)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paga · patrocina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Que SiL'K encaje en la estrategia de sistemas de toda la compañía y dé una visión consolidada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pág. 3, anexo 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Grupo de Unidad de Compras (PUG)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decide · usa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 proceso de compras común a los centros y divisiones, y los recursos que cede al proyecto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4, 7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Pat Davidson, directora de Planificación y Control de Compras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 · dueña del proceso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Planificar y controlar las compras de toda la empresa con datos únicos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1, anexo 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STK-05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Dave Cotteleer, director del proyecto SiL'K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dirige el proyecto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Una implantación sin riesgos, dentro del ámbito y en tres fases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9-11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STK-06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Compradores de los centros y divisiones (unas 200 personas: MRO, OE, P&amp;A, Artículos Varios)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interno, trabajador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Dejar de gastar el 85 % del tiempo en tareas no estratégicas: revisar existencias, acelerar pedidos, registrar datos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8, anexo 5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STK-07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Empleados solicitantes (más de 2.000 generan solicitudes de pedido)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 (ocasional)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Pedir lo que necesitan sin formación previa y saber en qué estado está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8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STK-08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Suministradores estratégicos, Consejo Asesor de Suministradores (16)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 (externo)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externo, actor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Acceso a sus datos de calidad, costes y plazos y a la demanda prevista; ser tratados como socios, no como vendedores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5, 10, anexo 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STK-09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Grupo de Integración de Arquitecturas, Karen Kaminski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regula (técnico)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Que la solución cumpla las normas de hardware y software y sea compatible con la arquitectura existente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9, 12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STK-10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Dirección de Sistemas del Grupo de Fabricación (Cory Mason, Tom Cullen) y su Círculo de Tecnologías de la Información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decide la inversión · opera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Aprobar la inversión y operar la solución sin afectar a la producción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3, 6, 12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STK-11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Gestión del Cambio, Julie Anding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acompaña la adopción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Que las 800 personas del público objetivo adopten el nuevo proceso: formación y comunicación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10, 14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STK-12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Innovación de Procesos, Chuck Braunschweig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diseña el proceso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 flujo de proceso común, construido sobre las similitudes entre centros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8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Cuentas de Acreedores Comerciales (Finanzas)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 · paga a proveedores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externo, actor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Pagar solo facturas conciliadas con pedido y recepción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8, anexo 6b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Logística y recepción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externo, actor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Saber qué llega y cuándo, y registrar la recepción en el muelle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8, anexo 6a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STK-15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Fabricación, centros de producción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 · depende del resultado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externo, actor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Que las líneas de producción no dejen de funcionar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6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STK-16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Ingeniería, Centro de Desarrollo de Productos y equipos de plataforma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externo, actor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Integrar a Compras y a los suministradores en el desarrollo de nuevos productos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4-5, anexo 6b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STK-17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Proveedor del software (el finalista elegido)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construye · da soporte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Implantar su paquete sin personalizaciones que no pueda mantener; relación a largo plazo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11-14, anexo 10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Dos poblaciones con la misma palabra</w:t>
      </w:r>
    </w:p>
    <w:p>
      <w:pPr>
        <w:spacing w:after="200"/>
        <w:ind w:left="432"/>
      </w:pPr>
      <w:r>
        <w:rPr>
          <w:b w:val="0"/>
          <w:i w:val="0"/>
          <w:sz w:val="19"/>
        </w:rPr>
        <w:t xml:space="preserve">La traducción del caso llama «suministrador» tanto a los </w:t>
      </w:r>
      <w:r>
        <w:rPr>
          <w:b/>
          <w:i w:val="0"/>
          <w:sz w:val="19"/>
        </w:rPr>
        <w:t>proveedores de piezas</w:t>
      </w:r>
      <w:r>
        <w:rPr>
          <w:b w:val="0"/>
          <w:i w:val="0"/>
          <w:sz w:val="19"/>
        </w:rPr>
        <w:t xml:space="preserve"> de Harley-Davidson (STK-08, actor del negocio) como a los </w:t>
      </w:r>
      <w:r>
        <w:rPr>
          <w:b/>
          <w:i w:val="0"/>
          <w:sz w:val="19"/>
        </w:rPr>
        <w:t>proveedores de software</w:t>
      </w:r>
      <w:r>
        <w:rPr>
          <w:b w:val="0"/>
          <w:i w:val="0"/>
          <w:sz w:val="19"/>
        </w:rPr>
        <w:t xml:space="preserve"> que concursan (STK-17, que no es actor: no participa en la operación de las compras). En este documento «suministrador» es siempre el primero.</w:t>
      </w:r>
    </w:p>
    <w:p>
      <w:pPr>
        <w:spacing w:after="60"/>
        <w:ind w:left="432"/>
      </w:pPr>
      <w:r>
        <w:rPr>
          <w:b/>
          <w:i w:val="0"/>
          <w:sz w:val="20"/>
        </w:rPr>
        <w:t>Lo que quedó fuera, y por qué</w:t>
      </w:r>
    </w:p>
    <w:p>
      <w:pPr>
        <w:spacing w:after="200"/>
        <w:ind w:left="432"/>
      </w:pPr>
      <w:r>
        <w:rPr>
          <w:b/>
          <w:i w:val="0"/>
          <w:sz w:val="19"/>
        </w:rPr>
        <w:t>Recursos Humanos</w:t>
      </w:r>
      <w:r>
        <w:rPr>
          <w:b w:val="0"/>
          <w:i w:val="0"/>
          <w:sz w:val="19"/>
        </w:rPr>
        <w:t xml:space="preserve"> fue encuestado (pág. 8), pero su interés (la formación) ya lo trae Gestión del Cambio: entra como restricción RE-10. Los </w:t>
      </w:r>
      <w:r>
        <w:rPr>
          <w:b/>
          <w:i w:val="0"/>
          <w:sz w:val="19"/>
        </w:rPr>
        <w:t>proveedores de software no elegidos</w:t>
      </w:r>
      <w:r>
        <w:rPr>
          <w:b w:val="0"/>
          <w:i w:val="0"/>
          <w:sz w:val="19"/>
        </w:rPr>
        <w:t xml:space="preserve"> y la </w:t>
      </w:r>
      <w:r>
        <w:rPr>
          <w:b/>
          <w:i w:val="0"/>
          <w:sz w:val="19"/>
        </w:rPr>
        <w:t>empresa de estudios del sector</w:t>
      </w:r>
      <w:r>
        <w:rPr>
          <w:b w:val="0"/>
          <w:i w:val="0"/>
          <w:sz w:val="19"/>
        </w:rPr>
        <w:t xml:space="preserve"> intervienen solo en la selección, no en el sistema. Los miembros del equipo con nombre propio (Carter, Jarosz, Christianson, Doman, Peissig, Pues, Sarder, Walker) se agrupan en STK-06: representan a su centro o división, con el mismo interés.</w:t>
      </w: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3. Drivers arquitectónicos (criterio 3, 20 pts)</w:t>
      </w:r>
    </w:p>
    <w:p>
      <w:r>
        <w:rPr>
          <w:b w:val="0"/>
          <w:i w:val="0"/>
          <w:sz w:val="21"/>
        </w:rPr>
        <w:t xml:space="preserve">Los </w:t>
      </w:r>
      <w:r>
        <w:rPr>
          <w:b/>
          <w:i w:val="0"/>
          <w:sz w:val="21"/>
        </w:rPr>
        <w:t>drivers arquitectónicos</w:t>
      </w:r>
      <w:r>
        <w:rPr>
          <w:b w:val="0"/>
          <w:i w:val="0"/>
          <w:sz w:val="21"/>
        </w:rPr>
        <w:t xml:space="preserve"> son los factores críticos que guían el diseño; hay tres tipos. Los </w:t>
      </w:r>
      <w:r>
        <w:rPr>
          <w:b/>
          <w:i w:val="0"/>
          <w:sz w:val="21"/>
        </w:rPr>
        <w:t>RF</w:t>
      </w:r>
      <w:r>
        <w:rPr>
          <w:b w:val="0"/>
          <w:i w:val="0"/>
          <w:sz w:val="21"/>
        </w:rPr>
        <w:t xml:space="preserve"> moldean la estructura y se entregan como casos de uso expandidos. Los </w:t>
      </w:r>
      <w:r>
        <w:rPr>
          <w:b/>
          <w:i w:val="0"/>
          <w:sz w:val="21"/>
        </w:rPr>
        <w:t>de calidad</w:t>
      </w:r>
      <w:r>
        <w:rPr>
          <w:b w:val="0"/>
          <w:i w:val="0"/>
          <w:sz w:val="21"/>
        </w:rPr>
        <w:t xml:space="preserve"> definen cómo debe comportarse el sistema y se entregan como escenarios con número. Los </w:t>
      </w:r>
      <w:r>
        <w:rPr>
          <w:b/>
          <w:i w:val="0"/>
          <w:sz w:val="21"/>
        </w:rPr>
        <w:t>de restricción</w:t>
      </w:r>
      <w:r>
        <w:rPr>
          <w:b w:val="0"/>
          <w:i w:val="0"/>
          <w:sz w:val="21"/>
        </w:rPr>
        <w:t xml:space="preserve"> son condiciones impuestas desde afuera y se entregan como listado por categoría.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3.1 Drivers de requerimientos funcionales</w:t>
      </w:r>
    </w:p>
    <w:p>
      <w:r>
        <w:rPr>
          <w:b w:val="0"/>
          <w:i w:val="0"/>
          <w:sz w:val="21"/>
        </w:rPr>
        <w:t>Salen de las doce actividades de las tres fases (anexo 6b), de los diez criterios funcionales de la especificación (anexo 10) y de los beneficios esperados (anexo 3).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218"/>
        <w:gridCol w:w="7445"/>
        <w:gridCol w:w="1489"/>
        <w:gridCol w:w="3384"/>
      </w:tblGrid>
      <w:tr>
        <w:trPr>
          <w:tblHeader w:val="true"/>
        </w:trPr>
        <w:tc>
          <w:tcPr>
            <w:tcW w:type="dxa" w:w="121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El sistema debe…</w:t>
            </w:r>
          </w:p>
        </w:tc>
        <w:tc>
          <w:tcPr>
            <w:tcW w:type="dxa" w:w="14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Proceso</w:t>
            </w:r>
          </w:p>
        </w:tc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Fuente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RF-01</w:t>
            </w:r>
          </w:p>
        </w:tc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Registrar una solicitud de pedido por cualquier empleado autorizado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anexo 6b, fase 1a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RF-02</w:t>
            </w:r>
          </w:p>
        </w:tc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Importar los requisitos de material planificados (MRP/DRP) de cada centro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anexo 6a «Requisitos»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RF-03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Aprobar la solicitud según las reglas de autorización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1a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RF-04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Crear el pedido de compra y enviarlo al suministrador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1b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RF-05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Agrupar la demanda de centros y divisiones contra los contratos vigentes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RF-06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Registrar la recepción de material contra el pedido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1c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RF-07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Seguir el estado y los plazos de cada pedido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1c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RF-08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Conciliar factura, pedido y recepción, y resolver discrepancias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1d · anexo 5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RF-09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Enviar la factura conciliada a Cuentas de Acreedores para su pago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1d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RF-10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Mantener un registro único de suministradores y sus contactos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2c · anexo 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RF-11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Publicar al suministrador sus resultados y la demanda prevista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RF-12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Evaluar los resultados del suministrador en calidad, costes y plazos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2a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RF-13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Intercambiar documentos de compra con el suministrador por Internet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2b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RF-14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Consolidar los datos de compras de toda la empresa para decidir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RF-15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Planificar la participación de Compras y de suministradores en cada proyecto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3b-c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RF-16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Gestionar el coste objetivo de las piezas compradas de un proyecto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3d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RF-17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Controlar la preparación para la creación y el lanzamiento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3e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RF-18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Intercambiar datos con los sistemas existentes de Harley-Davidson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todos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10, criterio 8 · pág. 12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Alcance por fases.</w:t>
      </w:r>
      <w:r>
        <w:rPr>
          <w:b w:val="0"/>
          <w:i w:val="0"/>
          <w:sz w:val="21"/>
        </w:rPr>
        <w:t xml:space="preserve"> Como en el ejemplo de clase, el alcance se reparte en entregas; aquí son las tres fases del anexo 6b.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1354"/>
        <w:gridCol w:w="6091"/>
        <w:gridCol w:w="6091"/>
      </w:tblGrid>
      <w:tr>
        <w:trPr>
          <w:tblHeader w:val="true"/>
        </w:trPr>
        <w:tc>
          <w:tcPr>
            <w:tcW w:type="dxa" w:w="135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Fase</w:t>
            </w:r>
          </w:p>
        </w:tc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Tema principal</w:t>
            </w:r>
          </w:p>
        </w:tc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Requerimientos que incluye</w:t>
            </w:r>
          </w:p>
        </w:tc>
      </w:tr>
      <w:tr>
        <w:trPr>
          <w:cantSplit/>
        </w:trPr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Procesos y sistemas de transacciones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RF-01 a RF-09, RF-18</w:t>
            </w:r>
          </w:p>
        </w:tc>
      </w:tr>
      <w:tr>
        <w:trPr>
          <w:cantSplit/>
        </w:trPr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Información sobre suministradores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RF-10 a RF-14</w:t>
            </w:r>
          </w:p>
        </w:tc>
      </w:tr>
      <w:tr>
        <w:trPr>
          <w:cantSplit/>
        </w:trPr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Seguimiento de proyectos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RF-15 a RF-17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Casos de uso del sistema.</w:t>
      </w:r>
      <w:r>
        <w:rPr>
          <w:b w:val="0"/>
          <w:i w:val="0"/>
          <w:sz w:val="21"/>
        </w:rPr>
        <w:t xml:space="preserve"> Cada uno nombra una meta completa del actor; ninguno es un «crear / editar / consultar».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218"/>
        <w:gridCol w:w="6091"/>
        <w:gridCol w:w="1489"/>
        <w:gridCol w:w="4738"/>
      </w:tblGrid>
      <w:tr>
        <w:trPr>
          <w:tblHeader w:val="true"/>
        </w:trPr>
        <w:tc>
          <w:tcPr>
            <w:tcW w:type="dxa" w:w="121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Caso de uso</w:t>
            </w:r>
          </w:p>
        </w:tc>
        <w:tc>
          <w:tcPr>
            <w:tcW w:type="dxa" w:w="14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Proceso</w:t>
            </w:r>
          </w:p>
        </w:tc>
        <w:tc>
          <w:tcPr>
            <w:tcW w:type="dxa" w:w="473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CU-01</w:t>
            </w:r>
          </w:p>
        </w:tc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Solicitar material o servicio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473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Empleado solicitante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CU-02</w:t>
            </w:r>
          </w:p>
        </w:tc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Emitir pedido de compra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473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Comprador · Suministrador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CU-03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Generar propuestas de pedido desde MRP/DRP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 MRP/DRP de planta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CU-04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Aprobar solicitud de pedido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Responsable de área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CU-05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Recibir material contra pedido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Recepcionista de almacén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CU-06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Seguir el estado del pedido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CU-07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Conciliar factura, pedido y recepción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Suministrador · Sistema de Cuentas de Acreedores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CU-08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Incorporar suministrador a la base de aprovisionamiento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CU-09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Consultar desempeño y demanda prevista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Suministrador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CU-10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Evaluar resultados del suministrador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CU-11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Analizar el gasto consolidado de la empresa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Director de Compras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CU-12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Planificar la participación de Compras en el proyecto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 de desarrollo · Ingeniero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CU-13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Acordar el coste objetivo de una pieza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 de desarrollo · Ingeniero · Suministrador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CU-14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Controlar la preparación para el lanzamiento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 de desarrollo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218"/>
        <w:gridCol w:w="5008"/>
        <w:gridCol w:w="3790"/>
        <w:gridCol w:w="3519"/>
      </w:tblGrid>
      <w:tr>
        <w:trPr>
          <w:tblHeader w:val="true"/>
        </w:trPr>
        <w:tc>
          <w:tcPr>
            <w:tcW w:type="dxa" w:w="121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500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Caso de uso de apoyo</w:t>
            </w:r>
          </w:p>
        </w:tc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Relación</w:t>
            </w:r>
          </w:p>
        </w:tc>
        <w:tc>
          <w:tcPr>
            <w:tcW w:type="dxa" w:w="351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Cuándo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CU-15</w:t>
            </w:r>
          </w:p>
        </w:tc>
        <w:tc>
          <w:tcPr>
            <w:tcW w:type="dxa" w:w="500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Agrupar demanda contra contrato vigente</w:t>
            </w:r>
          </w:p>
        </w:tc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«include» de CU-02 y CU-03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reutilizar: dos casos base lo comparten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CU-16</w:t>
            </w:r>
          </w:p>
        </w:tc>
        <w:tc>
          <w:tcPr>
            <w:tcW w:type="dxa" w:w="500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Solicitar cotización a suministradores</w:t>
            </w:r>
          </w:p>
        </w:tc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«extend» de CU-02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[no hay contrato vigente]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CU-17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Resolver discrepancia de factura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«extend» de CU-07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[factura, pedido y recepción no coinciden]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CU-18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Reclamar retraso al suministrador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«extend» de CU-06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[plazo de entrega vencido]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CU-19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Calcular indicadores de calidad, coste y plazo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«include» de CU-09, CU-10 y CU-11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reutilizar: tres casos base lo comparten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CU-20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Escalar riesgo de lanzamiento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«extend» de CU-14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[hito de preparación incumplido]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Cómo leer las relaciones</w:t>
      </w:r>
    </w:p>
    <w:p>
      <w:pPr>
        <w:spacing w:after="60"/>
        <w:ind w:left="432"/>
      </w:pPr>
      <w:r>
        <w:rPr>
          <w:b/>
          <w:i w:val="0"/>
          <w:sz w:val="19"/>
        </w:rPr>
        <w:t>«include»</w:t>
      </w:r>
      <w:r>
        <w:rPr>
          <w:b w:val="0"/>
          <w:i w:val="0"/>
          <w:sz w:val="19"/>
        </w:rPr>
        <w:t xml:space="preserve">: el caso base lo ejecuta </w:t>
      </w:r>
      <w:r>
        <w:rPr>
          <w:b/>
          <w:i w:val="0"/>
          <w:sz w:val="19"/>
        </w:rPr>
        <w:t>siempre</w:t>
      </w:r>
      <w:r>
        <w:rPr>
          <w:b w:val="0"/>
          <w:i w:val="0"/>
          <w:sz w:val="19"/>
        </w:rPr>
        <w:t xml:space="preserve">; la flecha va del base al incluido. Aquí se usa para </w:t>
      </w:r>
      <w:r>
        <w:rPr>
          <w:b/>
          <w:i w:val="0"/>
          <w:sz w:val="19"/>
        </w:rPr>
        <w:t>reutilizar</w:t>
      </w:r>
      <w:r>
        <w:rPr>
          <w:b w:val="0"/>
          <w:i w:val="0"/>
          <w:sz w:val="19"/>
        </w:rPr>
        <w:t>: dos o tres casos base comparten el incluido.</w:t>
      </w:r>
    </w:p>
    <w:p>
      <w:pPr>
        <w:spacing w:after="60"/>
        <w:ind w:left="432"/>
      </w:pPr>
      <w:r>
        <w:rPr>
          <w:b/>
          <w:i w:val="0"/>
          <w:sz w:val="19"/>
        </w:rPr>
        <w:t>«extend»</w:t>
      </w:r>
      <w:r>
        <w:rPr>
          <w:b w:val="0"/>
          <w:i w:val="0"/>
          <w:sz w:val="19"/>
        </w:rPr>
        <w:t xml:space="preserve">: ocurre </w:t>
      </w:r>
      <w:r>
        <w:rPr>
          <w:b/>
          <w:i w:val="0"/>
          <w:sz w:val="19"/>
        </w:rPr>
        <w:t>a veces</w:t>
      </w:r>
      <w:r>
        <w:rPr>
          <w:b w:val="0"/>
          <w:i w:val="0"/>
          <w:sz w:val="19"/>
        </w:rPr>
        <w:t>, bajo la condición entre corchetes; la flecha va de la extensión al base.</w:t>
      </w:r>
    </w:p>
    <w:p>
      <w:pPr>
        <w:spacing w:after="200"/>
        <w:ind w:left="432"/>
      </w:pPr>
      <w:r>
        <w:rPr>
          <w:b w:val="0"/>
          <w:i w:val="0"/>
          <w:sz w:val="19"/>
        </w:rPr>
        <w:t xml:space="preserve">Los cuatro diagramas están en el </w:t>
      </w:r>
      <w:r>
        <w:rPr>
          <w:b/>
          <w:i w:val="0"/>
          <w:sz w:val="19"/>
        </w:rPr>
        <w:t>plano del sistema</w:t>
      </w:r>
      <w:r>
        <w:rPr>
          <w:b w:val="0"/>
          <w:i w:val="0"/>
          <w:sz w:val="19"/>
        </w:rPr>
        <w:t>: actores y casos de uso sin la barra de negocio.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47960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expandido-hd-01-requisic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796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4. CDU-01 expandido.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45780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expandido-hd-02-recep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578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5. CDU-02 expandido.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45780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expandido-hd-03-suministrad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578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6. CDU-03 expandido.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45780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expandido-hd-04-proyect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578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7. CDU-04 expandido.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Descripción textual del caso de uso CU-02, Emitir pedido de compra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166"/>
        <w:gridCol w:w="11370"/>
      </w:tblGrid>
      <w:tr>
        <w:trPr>
          <w:tblHeader w:val="true"/>
        </w:trPr>
        <w:tc>
          <w:tcPr>
            <w:tcW w:type="dxa" w:w="216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1137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Nombre</w:t>
            </w:r>
          </w:p>
        </w:tc>
        <w:tc>
          <w:tcPr>
            <w:tcW w:type="dxa" w:w="1137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CU-02 Emitir pedido de compra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1137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Comprador (inicia) · Suministrador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1137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Convertir la demanda aprobada en un pedido en firme con el suministrador asignado, al precio del contrato.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1137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El caso de uso se inicia cuando el Comprador toma solicitudes aprobadas o propuestas generadas desde MRP/DRP. El sistema agrupa la demanda contra el contrato vigente y emite el pedido. Finaliza cuando el Suministrador lo recibe y confirma.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6091"/>
        <w:gridCol w:w="7445"/>
      </w:tblGrid>
      <w:tr>
        <w:trPr>
          <w:tblHeader w:val="true"/>
        </w:trPr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Comprador selecciona las solicitudes aprobadas y las propuestas pendientes.</w:t>
            </w:r>
          </w:p>
        </w:tc>
        <w:tc>
          <w:tcPr>
            <w:tcW w:type="dxa" w:w="7445"/>
          </w:tcPr>
          <w:p>
            <w:pPr>
              <w:keepNext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/>
              <w:spacing w:after="20"/>
            </w:pPr>
          </w:p>
        </w:tc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agrupa la demanda por suministrador y contrato vigente (incluye CU-15). </w:t>
            </w:r>
            <w:r>
              <w:rPr>
                <w:b w:val="0"/>
                <w:i/>
                <w:sz w:val="18"/>
              </w:rPr>
              <w:t>Si no hay contrato vigente, ver curso alterno de la línea 2.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Comprador revisa cantidades, fechas de entrega y centro de destino, y confirma.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4.</w:t>
            </w:r>
            <w:r>
              <w:rPr>
                <w:b w:val="0"/>
                <w:i w:val="0"/>
                <w:sz w:val="18"/>
              </w:rPr>
              <w:t xml:space="preserve"> El sistema registra el pedido de compra con su número único y lo envía al Suministrador.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5.</w:t>
            </w:r>
            <w:r>
              <w:rPr>
                <w:b w:val="0"/>
                <w:i w:val="0"/>
                <w:sz w:val="18"/>
              </w:rPr>
              <w:t xml:space="preserve"> El Suministrador recibe el pedido y confirma fecha y cantidad.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6.</w:t>
            </w:r>
            <w:r>
              <w:rPr>
                <w:b w:val="0"/>
                <w:i w:val="0"/>
                <w:sz w:val="18"/>
              </w:rPr>
              <w:t xml:space="preserve"> El sistema deja el pedido en firme y devuelve la fecha confirmada al sistema MRP/DRP del centro.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no hay contrato vigente para el artículo. El Comprador solicita cotización a los suministradores (CU-16) y, con la oferta elegida, se continúa en la línea 3.</w:t>
      </w:r>
    </w:p>
    <w:p>
      <w:pPr>
        <w:pStyle w:val="ListBullet"/>
        <w:spacing w:after="40"/>
      </w:pPr>
      <w:r>
        <w:rPr>
          <w:b/>
          <w:i w:val="0"/>
          <w:sz w:val="19"/>
        </w:rPr>
        <w:t>En la línea 5:</w:t>
      </w:r>
      <w:r>
        <w:rPr>
          <w:b w:val="0"/>
          <w:i w:val="0"/>
          <w:sz w:val="19"/>
        </w:rPr>
        <w:t xml:space="preserve"> el Suministrador propone otra fecha. El sistema avisa al Comprador, que acepta o renegocia; con la fecha acordada se continúa en la línea 6.</w:t>
      </w:r>
    </w:p>
    <w:p>
      <w:pPr>
        <w:pStyle w:val="ListBullet"/>
        <w:spacing w:after="40"/>
      </w:pPr>
      <w:r>
        <w:rPr>
          <w:b/>
          <w:i w:val="0"/>
          <w:sz w:val="19"/>
        </w:rPr>
        <w:t>Prioridad:</w:t>
      </w:r>
      <w:r>
        <w:rPr>
          <w:b w:val="0"/>
          <w:i w:val="0"/>
          <w:sz w:val="19"/>
        </w:rPr>
        <w:t xml:space="preserve"> alta, es el caso que más RF concentra (RF-04, RF-05, RF-13).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3.2 Drivers de atributos de calidad</w:t>
      </w:r>
    </w:p>
    <w:p>
      <w:pPr>
        <w:spacing w:after="60"/>
        <w:ind w:left="432"/>
      </w:pPr>
      <w:r>
        <w:rPr>
          <w:b/>
          <w:i w:val="0"/>
          <w:sz w:val="20"/>
        </w:rPr>
        <w:t>Qué taxonomía se usa</w:t>
      </w:r>
    </w:p>
    <w:p>
      <w:pPr>
        <w:spacing w:after="60"/>
        <w:ind w:left="432"/>
      </w:pPr>
      <w:r>
        <w:rPr>
          <w:b w:val="0"/>
          <w:i w:val="0"/>
          <w:sz w:val="19"/>
        </w:rPr>
        <w:t xml:space="preserve">Las categorías siguen el ejemplo de clase (desempeño, disponibilidad, seguridad, usabilidad, modificabilidad) y la lista de drivers de calidad de clase (escalabilidad, fiabilidad). Se agregan </w:t>
      </w:r>
      <w:r>
        <w:rPr>
          <w:b/>
          <w:i w:val="0"/>
          <w:sz w:val="19"/>
        </w:rPr>
        <w:t>compatibilidad</w:t>
      </w:r>
      <w:r>
        <w:rPr>
          <w:b w:val="0"/>
          <w:i w:val="0"/>
          <w:sz w:val="19"/>
        </w:rPr>
        <w:t xml:space="preserve"> y </w:t>
      </w:r>
      <w:r>
        <w:rPr>
          <w:b/>
          <w:i w:val="0"/>
          <w:sz w:val="19"/>
        </w:rPr>
        <w:t>portabilidad</w:t>
      </w:r>
      <w:r>
        <w:rPr>
          <w:b w:val="0"/>
          <w:i w:val="0"/>
          <w:sz w:val="19"/>
        </w:rPr>
        <w:t xml:space="preserve"> porque el caso las evalúa por su nombre (anexo 10). La tabla ubica cada una en el modelo ISO/IEC 25010 que se determina en el §6.4.</w:t>
      </w:r>
    </w:p>
    <w:p>
      <w:pPr>
        <w:spacing w:after="60"/>
        <w:ind w:left="432"/>
      </w:pPr>
      <w:r>
        <w:rPr>
          <w:b/>
          <w:i w:val="0"/>
          <w:sz w:val="19"/>
        </w:rPr>
        <w:t>Prioridad:</w:t>
      </w:r>
      <w:r>
        <w:rPr>
          <w:b w:val="0"/>
          <w:i w:val="0"/>
          <w:sz w:val="19"/>
        </w:rPr>
        <w:t xml:space="preserve"> el par (importancia para el negocio, dificultad técnica), cada uno en A alta, M media o B baja, como en el ejemplo de clase.</w:t>
      </w:r>
    </w:p>
    <w:p>
      <w:pPr>
        <w:spacing w:after="200"/>
        <w:ind w:left="432"/>
      </w:pPr>
      <w:r>
        <w:rPr>
          <w:b/>
          <w:i w:val="0"/>
          <w:sz w:val="19"/>
        </w:rPr>
        <w:t>De dónde salen los números:</w:t>
      </w:r>
      <w:r>
        <w:rPr>
          <w:b w:val="0"/>
          <w:i w:val="0"/>
          <w:sz w:val="19"/>
        </w:rPr>
        <w:t xml:space="preserve"> el caso da cifras de </w:t>
      </w:r>
      <w:r>
        <w:rPr>
          <w:b/>
          <w:i w:val="0"/>
          <w:sz w:val="19"/>
        </w:rPr>
        <w:t>negocio</w:t>
      </w:r>
      <w:r>
        <w:rPr>
          <w:b w:val="0"/>
          <w:i w:val="0"/>
          <w:sz w:val="19"/>
        </w:rPr>
        <w:t xml:space="preserve"> (34 M USD, 70 %, 85 %), no de comportamiento del sistema. Las medidas son </w:t>
      </w:r>
      <w:r>
        <w:rPr>
          <w:b/>
          <w:i w:val="0"/>
          <w:sz w:val="19"/>
        </w:rPr>
        <w:t>supuestos de diseño</w:t>
      </w:r>
      <w:r>
        <w:rPr>
          <w:b w:val="0"/>
          <w:i w:val="0"/>
          <w:sz w:val="19"/>
        </w:rPr>
        <w:t>, derivados de los volúmenes del caso (200 compradores, 800 usuarios objetivo, más de 2.000 solicitantes).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812"/>
        <w:gridCol w:w="1354"/>
        <w:gridCol w:w="2030"/>
        <w:gridCol w:w="2436"/>
        <w:gridCol w:w="3655"/>
        <w:gridCol w:w="948"/>
        <w:gridCol w:w="1218"/>
        <w:gridCol w:w="1083"/>
      </w:tblGrid>
      <w:tr>
        <w:trPr>
          <w:tblHeader w:val="true"/>
        </w:trPr>
        <w:tc>
          <w:tcPr>
            <w:tcW w:type="dxa" w:w="8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Id</w:t>
            </w:r>
          </w:p>
        </w:tc>
        <w:tc>
          <w:tcPr>
            <w:tcW w:type="dxa" w:w="135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Categoría</w:t>
            </w:r>
          </w:p>
        </w:tc>
        <w:tc>
          <w:tcPr>
            <w:tcW w:type="dxa" w:w="203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Característica ISO/IEC 25010</w:t>
            </w:r>
          </w:p>
        </w:tc>
        <w:tc>
          <w:tcPr>
            <w:tcW w:type="dxa" w:w="243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Motivo en el caso</w:t>
            </w:r>
          </w:p>
        </w:tc>
        <w:tc>
          <w:tcPr>
            <w:tcW w:type="dxa" w:w="365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Medida de la respuesta</w:t>
            </w:r>
          </w:p>
        </w:tc>
        <w:tc>
          <w:tcPr>
            <w:tcW w:type="dxa" w:w="9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Prioridad</w:t>
            </w:r>
          </w:p>
        </w:tc>
        <w:tc>
          <w:tcPr>
            <w:tcW w:type="dxa" w:w="121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Stakeholders</w:t>
            </w:r>
          </w:p>
        </w:tc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Fuente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EAC-01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Disponibilidad</w:t>
            </w:r>
          </w:p>
        </w:tc>
        <w:tc>
          <w:tcPr>
            <w:tcW w:type="dxa" w:w="203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Fiabilidad › disponibilidad</w:t>
            </w:r>
          </w:p>
        </w:tc>
        <w:tc>
          <w:tcPr>
            <w:tcW w:type="dxa" w:w="243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La compra no puede parar la producción</w:t>
            </w:r>
          </w:p>
        </w:tc>
        <w:tc>
          <w:tcPr>
            <w:tcW w:type="dxa" w:w="365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99,9 % mensual; conmutación en ≤ 15 min; la recepción sigue sin conexión y sincroniza sin pérdida</w:t>
            </w:r>
          </w:p>
        </w:tc>
        <w:tc>
          <w:tcPr>
            <w:tcW w:type="dxa" w:w="9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(A, A)</w:t>
            </w:r>
          </w:p>
        </w:tc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STK-15, STK-10, STK-14</w:t>
            </w:r>
          </w:p>
        </w:tc>
        <w:tc>
          <w:tcPr>
            <w:tcW w:type="dxa" w:w="108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pág. 6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EAC-02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Desempeño</w:t>
            </w:r>
          </w:p>
        </w:tc>
        <w:tc>
          <w:tcPr>
            <w:tcW w:type="dxa" w:w="203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Eficiencia de desempeño › comportamiento temporal</w:t>
            </w:r>
          </w:p>
        </w:tc>
        <w:tc>
          <w:tcPr>
            <w:tcW w:type="dxa" w:w="243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Operación interactiva del comprador y del solicitante</w:t>
            </w:r>
          </w:p>
        </w:tc>
        <w:tc>
          <w:tcPr>
            <w:tcW w:type="dxa" w:w="365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≤ 2 s en el percentil 95 con 800 usuarios concurrentes</w:t>
            </w:r>
          </w:p>
        </w:tc>
        <w:tc>
          <w:tcPr>
            <w:tcW w:type="dxa" w:w="9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(A, M)</w:t>
            </w:r>
          </w:p>
        </w:tc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STK-06, STK-07</w:t>
            </w:r>
          </w:p>
        </w:tc>
        <w:tc>
          <w:tcPr>
            <w:tcW w:type="dxa" w:w="108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pág. 10 (800 usuarios)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EAC-03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Escalabilidad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Eficiencia de desempeño › capacidad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De 200 compradores a toda la empresa y sus suministradores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De 800 a 3.000 usuarios agregando nodos, con 0 cambios de código y sin salir de EAC-02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(M, M)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STK-02, STK-10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pág. 8 · Plan 2003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EAC-04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Seguridad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Seguridad › confidencialidad, autenticidad, responsabilidad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Suministradores externos entran por Internet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100 % de accesos externos con doble factor; TLS 1.3; AES-256 en reposo; 0 lecturas de datos de otro suministrador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(A, A)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STK-08, STK-09, STK-13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anexo 6b, fase 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EAC-05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Usabilidad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Usabilidad › capacidad de aprendizaje, operabilidad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2.000 solicitantes ocasionales; el caso evalúa «facilidad de uso»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Primera solicitud sin formación en ≤ 3 min y ≤ 5 pasos, lograda por el 90 % de los solicitantes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(A, M)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STK-07, STK-11, STK-06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anexo 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EAC-06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Compatibilidad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Compatibilidad › interoperabilidad, coexistencia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Un proveedor fue eliminado por «incompatibilidad arquitectónica»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100 % de las interfaces por API o mensajería estándar; un sistema de planta más se integra en ≤ 10 días-persona sin tocar los servicios de negocio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(A, A)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STK-09, STK-10, STK-05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págs. 9, 12 · anexo 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EAC-07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Modificabilidad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Mantenibilidad › modularidad, capacidad de ser modificado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«Reducción del mantenimiento del sistema y de los costes de obsolescencia»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Un cambio de regla de aprobación llega a producción en ≤ 1 día hábil tocando 1 servicio; ≥ 80 % de cobertura de pruebas en los adaptadores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(M, M)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STK-10, STK-17, STK-02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anexo 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EAC-08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Portabilidad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Portabilidad › adaptabilidad, capacidad de ser instalado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El caso califica la «portabilidad de plataformas»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El mismo paquete de despliegue se levanta en otra nube o centro de datos en ≤ 5 días hábiles con 0 cambios de código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(B, M)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STK-09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anexo 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EAC-09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Fiabilidad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Fiabilidad › tolerancia a fallos · Seguridad › integridad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«Eliminación de registros duplicados» y «corrección de errores»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0 pedidos o facturas duplicados ante reintentos; 100 % de las facturas conciliadas a tres bandas antes del pago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(A, M)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STK-13, STK-06, STK-12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anexo 3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Escenarios de atributos de calidad (EaC).</w:t>
      </w:r>
      <w:r>
        <w:rPr>
          <w:b w:val="0"/>
          <w:i w:val="0"/>
          <w:sz w:val="21"/>
        </w:rPr>
        <w:t xml:space="preserve"> Cada driver se especifica en seis partes: quién o qué lo provoca (fuente de estímulo), qué ocurre (estímulo), sobre qué parte (artefacto), en qué condiciones (entorno), qué hace el sistema (respuesta) y cómo se comprueba (medida de la respuesta). Sin medida no es un driver. El formato de seis partes es el de Bass, Clements y Kazman (2021) y el del ejemplo visto en clase.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083"/>
        <w:gridCol w:w="1895"/>
        <w:gridCol w:w="9204"/>
        <w:gridCol w:w="1354"/>
      </w:tblGrid>
      <w:tr>
        <w:trPr>
          <w:tblHeader w:val="true"/>
        </w:trPr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Categoría</w:t>
            </w:r>
          </w:p>
        </w:tc>
        <w:tc>
          <w:tcPr>
            <w:tcW w:type="dxa" w:w="920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Escenario</w:t>
            </w:r>
          </w:p>
        </w:tc>
        <w:tc>
          <w:tcPr>
            <w:tcW w:type="dxa" w:w="135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Prioridad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EAC-01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Disponibilidad</w:t>
            </w:r>
          </w:p>
        </w:tc>
        <w:tc>
          <w:tcPr>
            <w:tcW w:type="dxa" w:w="9204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La infraestructura de la plataforma.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Falla un nodo de aplicación o la base de datos primaria.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Clúster de contenedores y servidor de base de datos.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Operación normal, turno de planta con recepciones en curso.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El tráfico pasa a los nodos sanos y la base en espera toma el relevo; la tableta de recepción sigue registrando en su cola local.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99,9 % mensual · relevo en ≤ 15 min · 0 recepciones perdidas.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(A, A)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EAC-02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Desempeño</w:t>
            </w:r>
          </w:p>
        </w:tc>
        <w:tc>
          <w:tcPr>
            <w:tcW w:type="dxa" w:w="9204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Comprador.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Emite un pedido de compra con 20 líneas.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Requisición y Pedido.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Carga pico: 800 usuarios concurrentes.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El pedido queda registrado y enviado al suministrador.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2 s en el percentil 95.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EAC-03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Escalabilidad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Dirección de Sistemas.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Se incorporan los 2.000 solicitantes y los suministradores de la fase 2.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Plataforma completa.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Crecimiento planificado entre fases.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Se agregan nodos al clúster; los servicios no cambian.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De 800 a 3.000 usuarios · 0 cambios de código · EAC-02 se mantiene.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(M, M)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EAC-04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Seguridad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Usuario de un suministrador, autenticado.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Intenta consultar pedidos de otro suministrador.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API Gateway y Servicio Suministradores.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Acceso por Internet.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La petición se rechaza y queda en la bitácora de auditoría.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0 lecturas cruzadas · rechazo y registro en ≤ 1 s · 100 % de accesos externos con doble factor.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A)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EAC-05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Empleado solicitante sin formación.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Necesita pedir un artículo por primera vez.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Aplicación web SiL'K.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Uso ocasional, desde su PC de oficina.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Completa la solicitud guiado por el catálogo y ve a quién le toca aprobarla.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3 min · ≤ 5 pasos · 90 % lo logra al primer intento.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EAC-06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Compatibilidad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Equipo de Sistemas.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Hay que conectar el MRP/DRP de un centro más.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de Integración (adaptadores).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Mantenimiento, con la solución en producción.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Se agrega un adaptador; los servicios de negocio no se modifican.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10 días-persona · 0 servicios de negocio modificados.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A)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EAC-07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Modificabilidad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Dirección de Compras.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Cambia el límite de aprobación de un tipo de compra.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Requisición y Pedido.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Mantenimiento.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La regla se cambia por configuración, se prueba y se despliega.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1 día hábil · 1 servicio tocado.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(M, M)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EAC-08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Portabilidad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Grupo de Integración de Arquitecturas.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Cambia la norma de infraestructura y hay que mover la plataforma.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Paquete de despliegue.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Cambio planificado.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La misma definición de infraestructura levanta la solución en el nuevo entorno.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5 días hábiles · 0 cambios de código.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(B, M)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EAC-09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Sistema del suministrador.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Reenvía la misma factura tras un corte de red.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Recepción y Facturas y cola de reintentos.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Red inestable.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El segundo envío se reconoce como repetido y no genera otro registro.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0 duplicados · 100 % de facturas conciliadas antes del pago.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Prioridad</w:t>
      </w:r>
    </w:p>
    <w:p>
      <w:pPr>
        <w:spacing w:after="200"/>
        <w:ind w:left="432"/>
      </w:pPr>
      <w:r>
        <w:rPr>
          <w:b w:val="0"/>
          <w:i w:val="0"/>
          <w:sz w:val="19"/>
        </w:rPr>
        <w:t xml:space="preserve">Con los dos ejes (importancia para el negocio y dificultad técnica) los que más pesan en el diseño son </w:t>
      </w:r>
      <w:r>
        <w:rPr>
          <w:b/>
          <w:i w:val="0"/>
          <w:sz w:val="19"/>
        </w:rPr>
        <w:t>EAC-01, EAC-04 y EAC-06</w:t>
      </w:r>
      <w:r>
        <w:rPr>
          <w:b w:val="0"/>
          <w:i w:val="0"/>
          <w:sz w:val="19"/>
        </w:rPr>
        <w:t>, los tres (A, A),  seguidos de EAC-02, EAC-05 y EAC-09, que son (A, M). Las restricciones no se priorizan: todas son obligatorias.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3.3 Drivers de restricción</w:t>
      </w:r>
    </w:p>
    <w:p>
      <w:r>
        <w:rPr>
          <w:b w:val="0"/>
          <w:i w:val="0"/>
          <w:sz w:val="21"/>
        </w:rPr>
        <w:t xml:space="preserve">Por las seis categorías de clase. El caso no cita ninguna norma legal: las dos regulatorias son </w:t>
      </w:r>
      <w:r>
        <w:rPr>
          <w:b/>
          <w:i w:val="0"/>
          <w:sz w:val="21"/>
        </w:rPr>
        <w:t>supuestos</w:t>
      </w:r>
      <w:r>
        <w:rPr>
          <w:b w:val="0"/>
          <w:i w:val="0"/>
          <w:sz w:val="21"/>
        </w:rPr>
        <w:t xml:space="preserve"> de traer el caso al presente, y van rotuladas.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812"/>
        <w:gridCol w:w="1760"/>
        <w:gridCol w:w="6768"/>
        <w:gridCol w:w="2572"/>
        <w:gridCol w:w="1624"/>
      </w:tblGrid>
      <w:tr>
        <w:trPr>
          <w:tblHeader w:val="true"/>
        </w:trPr>
        <w:tc>
          <w:tcPr>
            <w:tcW w:type="dxa" w:w="8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176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Categoría</w:t>
            </w:r>
          </w:p>
        </w:tc>
        <w:tc>
          <w:tcPr>
            <w:tcW w:type="dxa" w:w="676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Restricción</w:t>
            </w:r>
          </w:p>
        </w:tc>
        <w:tc>
          <w:tcPr>
            <w:tcW w:type="dxa" w:w="25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</w:t>
            </w:r>
          </w:p>
        </w:tc>
        <w:tc>
          <w:tcPr>
            <w:tcW w:type="dxa" w:w="162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Stakeholders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RE-01</w:t>
            </w:r>
          </w:p>
        </w:tc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Tecnológica</w:t>
            </w:r>
          </w:p>
        </w:tc>
        <w:tc>
          <w:tcPr>
            <w:tcW w:type="dxa" w:w="676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Compatible con la arquitectura de sistemas existente y con las normas de hardware y software del grupo de Integración de Arquitecturas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pág. 9, nota 12 · pág. 12</w:t>
            </w:r>
          </w:p>
        </w:tc>
        <w:tc>
          <w:tcPr>
            <w:tcW w:type="dxa" w:w="162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STK-09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RE-02</w:t>
            </w:r>
          </w:p>
        </w:tc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Tecnológica</w:t>
            </w:r>
          </w:p>
        </w:tc>
        <w:tc>
          <w:tcPr>
            <w:tcW w:type="dxa" w:w="676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La solución parte de un paquete de mercado: el proyecto selecciona software, no lo desarrolla desde cero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págs. 1, 10</w:t>
            </w:r>
          </w:p>
        </w:tc>
        <w:tc>
          <w:tcPr>
            <w:tcW w:type="dxa" w:w="162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STK-05, STK-17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RE-03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Tecnológica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Los suministradores acceden por Internet (la «red Internet de Suministros»)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anexo 6b, fase 2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STK-08, STK-01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RE-04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negocio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No es un ERP completo: el ámbito está delimitado y no se aceptan funcionalidades adicionales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11 · anexo 6a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STK-05, STK-03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RE-05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negocio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Implantación en tres fases: transacciones, información sobre suministradores, seguimiento de proyectos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anexo 6b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STK-05, STK-03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RE-06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negocio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El coste total tiene que caber en la propuesta de valor de 34 M USD en cinco años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7 · anexo 10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STK-01, STK-03, STK-10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RE-07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negocio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El proveedor debe poder dar soporte a largo plazo (uno fue eliminado por su pequeño tamaño)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12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STK-17, STK-01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RE-08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Organizacional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 único proceso común para todos los centros y las cuatro divisiones de compras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4, 8 · anexo 3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STK-12, STK-04, STK-03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RE-09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Organizacional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 inversión la aprueba el Círculo de Tecnologías de la Información del Grupo de Fabricación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3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STK-10, STK-05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RE-10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Organizacional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 formación y la gestión del cambio son parte de la implantación (800 personas; el cambio lo dirigen las personas en un 50-75 % y la tecnología solo en un 5-10 %)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10 · anexo 9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STK-11, STK-04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RE-11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Ambiental / física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Usuarios repartidos en siete centros de tres estados y filiales en cinco países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2 · anexo 2a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STK-06, STK-02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RE-12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Ambiental / física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 implantación no puede interrumpir las líneas de producción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6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STK-15, STK-10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RE-13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integración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Interconexión con los sistemas en funcionamiento (MRP/DRP de planta, cuentas de acreedores, ingeniería) y con las iniciativas de tecnología en marcha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12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STK-09, STK-10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RE-14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integración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Coexistencia con los sistemas de compras locales de cada centro mientras dura la migración por fases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4 · anexo 6b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STK-06, STK-15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RE-15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Regulatoria (supuesto)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Control interno financiero de una empresa cotizada: segregación de funciones y rastro de auditoría en aprobaciones y pagos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supuesto «al presente», pág. 2 (cotiza desde 1986)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STK-13, STK-02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RE-16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Regulatoria (supuesto)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Protección de los datos personales de los contactos de suministradores en las filiales europeas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supuesto «al presente», pág. 2 (filiales en Europa)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STK-08, STK-02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4. Matrices de trazabilidad (criterio 4, 15 pts)</w:t>
      </w:r>
    </w:p>
    <w:p>
      <w:r>
        <w:rPr>
          <w:b w:val="0"/>
          <w:i w:val="0"/>
          <w:sz w:val="21"/>
        </w:rPr>
        <w:t xml:space="preserve">Las cuatro matrices cruzan los artefactos de los criterios 1, 2 y 3. Están </w:t>
      </w:r>
      <w:r>
        <w:rPr>
          <w:b/>
          <w:i w:val="0"/>
          <w:sz w:val="21"/>
        </w:rPr>
        <w:t>acopladas</w:t>
      </w:r>
      <w:r>
        <w:rPr>
          <w:b w:val="0"/>
          <w:i w:val="0"/>
          <w:sz w:val="21"/>
        </w:rPr>
        <w:t xml:space="preserve">: la matriz 3 no se llenó a mano, se </w:t>
      </w:r>
      <w:r>
        <w:rPr>
          <w:b/>
          <w:i w:val="0"/>
          <w:sz w:val="21"/>
        </w:rPr>
        <w:t>derivó</w:t>
      </w:r>
      <w:r>
        <w:rPr>
          <w:b w:val="0"/>
          <w:i w:val="0"/>
          <w:sz w:val="21"/>
        </w:rPr>
        <w:t xml:space="preserve"> de la 1 y la 2 (un stakeholder se relaciona con un caso de uso si le interesa algún requisito que ese caso realiza). Así no pueden contradecirse.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4.1 Matriz 1: Stakeholders vs. Requerimientos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790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</w:tblGrid>
      <w:tr>
        <w:trPr>
          <w:tblHeader w:val="true"/>
        </w:trPr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Stakeholder \ RF-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01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02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03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04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05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06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07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08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09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10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11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12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13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14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15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16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17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STK-01 VP Gestión de Materiales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STK-02 VP Servicios de Información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STK-03 Grupo de Unidad de Compras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STK-04 Dir. Planif. y Control de Compras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STK-05 Director del proyecto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STK-06 Compradores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STK-07 Empleados solicitantes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STK-08 Suministradores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STK-09 Integración de Arquitecturas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STK-10 Sistemas del Grupo de Fabricación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STK-11 Gestión del Cambio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STK-12 Innovación de Procesos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STK-13 Cuentas de Acreedores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STK-14 Logística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STK-15 Fabricación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STK-16 Ingeniería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STK-17 Proveedor del software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9"/>
        </w:rPr>
        <w:t>Los requerimientos de calidad y de restricción también tienen dueño: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384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</w:tblGrid>
      <w:tr>
        <w:trPr>
          <w:tblHeader w:val="true"/>
        </w:trPr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Stakeholder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E01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E02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E03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E04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E05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E06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E07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E08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E09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R01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R02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R03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R04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R05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R06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R07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R08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R09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R10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R11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R12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R13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R14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R15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R16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STK-01 VP Gestión de Materiales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STK-02 VP Servicios de Información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STK-03 Grupo de Unidad de Compras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STK-04 Dir. Planif. y Control de Compras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STK-05 Director del proyecto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STK-06 Compradores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STK-07 Empleados solicitantes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STK-08 Suministradores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STK-09 Integración de Arquitecturas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STK-10 Sistemas del Grupo de Fabricación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STK-11 Gestión del Cambio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STK-12 Innovación de Procesos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STK-13 Cuentas de Acreedores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STK-14 Logística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STK-15 Fabricación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STK-16 Ingeniería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STK-17 Proveedor del software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</w:tbl>
    <w:p>
      <w:pPr>
        <w:spacing w:after="40"/>
      </w:pPr>
    </w:p>
    <w:p>
      <w:r>
        <w:rPr>
          <w:b w:val="0"/>
          <w:i w:val="0"/>
          <w:sz w:val="19"/>
        </w:rPr>
        <w:t xml:space="preserve">E01-E09 son los escenarios de calidad EAC-01 a EAC-09; R01-R16, las restricciones RE-01 a RE-16. </w:t>
      </w:r>
      <w:r>
        <w:rPr>
          <w:b/>
          <w:i w:val="0"/>
          <w:sz w:val="19"/>
        </w:rPr>
        <w:t>Lectura:</w:t>
      </w:r>
      <w:r>
        <w:rPr>
          <w:b w:val="0"/>
          <w:i w:val="0"/>
          <w:sz w:val="19"/>
        </w:rPr>
        <w:t xml:space="preserve"> ningún requerimiento queda sin stakeholder y ningún stakeholder queda sin requerimiento. STK-11 (Gestión del Cambio) no pide funciones: su fila en RF está vacía y su interés aparece en EAC-05 y RE-10.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4.2 Matriz 2: Requerimientos vs. Casos de Uso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4061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</w:tblGrid>
      <w:tr>
        <w:trPr>
          <w:tblHeader w:val="true"/>
        </w:trPr>
        <w:tc>
          <w:tcPr>
            <w:tcW w:type="dxa" w:w="406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Requerimiento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CU-01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CU-02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CU-03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CU-04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CU-05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CU-06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CU-07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CU-08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CU-09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CU-10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CU-11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CU-12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CU-13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CU-14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RF-01 Solicitud de pedido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RF-02 Requisitos MRP/DRP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RF-03 Aprobación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RF-04 Pedido de compra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RF-05 Agrupar demanda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RF-06 Recepción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RF-07 Seguimiento de plazos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RF-08 Conciliar factura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RF-09 Envío a pago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RF-10 Registro de suministradores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RF-11 Publicar resultados y demanda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RF-12 Evaluar suministrador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RF-13 Documentos por Internet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RF-14 Consolidar datos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RF-15 Planificar proyecto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RF-16 Coste objetivo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RF-17 Preparación de lanzamiento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RF-18 Integración con existentes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</w:tbl>
    <w:p>
      <w:pPr>
        <w:spacing w:after="40"/>
      </w:pPr>
    </w:p>
    <w:p>
      <w:r>
        <w:rPr>
          <w:b/>
          <w:i w:val="0"/>
          <w:sz w:val="19"/>
        </w:rPr>
        <w:t>Lectura:</w:t>
      </w:r>
      <w:r>
        <w:rPr>
          <w:b w:val="0"/>
          <w:i w:val="0"/>
          <w:sz w:val="19"/>
        </w:rPr>
        <w:t xml:space="preserve"> todo requerimiento lo realiza al menos un caso de uso (ninguna fila vacía) y todo caso de uso responde a algún requerimiento (ninguna columna vacía). RF-13 y RF-18 cruzan cuatro casos cada uno: el intercambio con el suministrador y la integración con lo existente son </w:t>
      </w:r>
      <w:r>
        <w:rPr>
          <w:b/>
          <w:i w:val="0"/>
          <w:sz w:val="19"/>
        </w:rPr>
        <w:t>transversales</w:t>
      </w:r>
      <w:r>
        <w:rPr>
          <w:b w:val="0"/>
          <w:i w:val="0"/>
          <w:sz w:val="19"/>
        </w:rPr>
        <w:t>, y eso es lo que justifica en el §5 un Servicio de Integración y un API Gateway propios. Los casos de apoyo CU-15 a CU-20 heredan la traza de su caso base.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4.3 Matriz 3: Stakeholders vs. Casos de Uso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4061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</w:tblGrid>
      <w:tr>
        <w:trPr>
          <w:tblHeader w:val="true"/>
        </w:trPr>
        <w:tc>
          <w:tcPr>
            <w:tcW w:type="dxa" w:w="406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Stakeholder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CU-01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CU-02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CU-03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CU-04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CU-05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CU-06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CU-07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CU-08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CU-09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CU-10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CU-11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CU-12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CU-13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CU-14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STK-01 VP Gestión de Materiales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STK-02 VP Servicios de Información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STK-03 Grupo de Unidad de Compras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STK-04 Dir. Planif. y Control de Compras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STK-05 Director del proyecto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STK-06 Compradores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STK-07 Empleados solicitantes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STK-08 Suministradores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STK-09 Integración de Arquitecturas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STK-10 Sistemas del Grupo de Fabricación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STK-11 Gestión del Cambio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STK-12 Innovación de Procesos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STK-13 Cuentas de Acreedores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STK-14 Logística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STK-15 Fabricación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STK-16 Ingeniería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STK-17 Proveedor del software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</w:tbl>
    <w:p>
      <w:pPr>
        <w:spacing w:after="40"/>
      </w:pPr>
    </w:p>
    <w:p>
      <w:r>
        <w:rPr>
          <w:b/>
          <w:i w:val="0"/>
          <w:sz w:val="19"/>
        </w:rPr>
        <w:t>Lectura:</w:t>
      </w:r>
      <w:r>
        <w:rPr>
          <w:b w:val="0"/>
          <w:i w:val="0"/>
          <w:sz w:val="19"/>
        </w:rPr>
        <w:t xml:space="preserve"> derivada de las matrices 1 y 2. La fila de STK-06 (compradores) es la más densa: son los usuarios principales. La de STK-11 queda vacía por la razón ya dicha. Las columnas CU-02, CU-06 y CU-07 concentran más interesados: son los casos de la fase 1, y por eso la fase 1 va primero.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4.4 Matriz 4: Requerimientos vs. Requerimientos</w:t>
      </w:r>
    </w:p>
    <w:p>
      <w:r>
        <w:rPr>
          <w:b w:val="0"/>
          <w:i w:val="0"/>
          <w:sz w:val="19"/>
        </w:rPr>
        <w:t xml:space="preserve">Matriz cuadrada de </w:t>
      </w:r>
      <w:r>
        <w:rPr>
          <w:b/>
          <w:i w:val="0"/>
          <w:sz w:val="19"/>
        </w:rPr>
        <w:t>dependencia</w:t>
      </w:r>
      <w:r>
        <w:rPr>
          <w:b w:val="0"/>
          <w:i w:val="0"/>
          <w:sz w:val="19"/>
        </w:rPr>
        <w:t xml:space="preserve">, con la plantilla de la nota técnica de trazabilidad: las columnas originan la dependencia y las filas dependen. Se lee </w:t>
      </w:r>
      <w:r>
        <w:rPr>
          <w:b/>
          <w:i w:val="0"/>
          <w:sz w:val="19"/>
        </w:rPr>
        <w:t>«la fila depende de la columna»</w:t>
      </w:r>
      <w:r>
        <w:rPr>
          <w:b w:val="0"/>
          <w:i w:val="0"/>
          <w:sz w:val="19"/>
        </w:rPr>
        <w:t>. La diagonal no aplica.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790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</w:tblGrid>
      <w:tr>
        <w:trPr>
          <w:tblHeader w:val="true"/>
        </w:trPr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Depende ↓ / de →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01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02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03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04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05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06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07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08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09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10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11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12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13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14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15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16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17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RF-01 Solicitud de pedido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RF-02 Requisitos MRP/DRP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RF-03 Aprobación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RF-04 Pedido de compra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RF-05 Agrupar demanda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RF-06 Recepción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RF-07 Seguimiento de plazos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RF-08 Conciliar factura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RF-09 Envío a pago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RF-10 Registro de suministradores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RF-11 Publicar resultados y demanda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RF-12 Evaluar suministrador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RF-13 Documentos por Internet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RF-14 Consolidar datos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RF-15 Planificar proyecto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RF-16 Coste objetivo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RF-17 Preparación de lanzamiento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RF-18 Integración con existentes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</w:tr>
    </w:tbl>
    <w:p>
      <w:pPr>
        <w:spacing w:after="40"/>
      </w:pPr>
    </w:p>
    <w:p>
      <w:r>
        <w:rPr>
          <w:b/>
          <w:i w:val="0"/>
          <w:sz w:val="19"/>
        </w:rPr>
        <w:t>Lectura:</w:t>
      </w:r>
      <w:r>
        <w:rPr>
          <w:b w:val="0"/>
          <w:i w:val="0"/>
          <w:sz w:val="19"/>
        </w:rPr>
        <w:t xml:space="preserve"> las columnas más marcadas son </w:t>
      </w:r>
      <w:r>
        <w:rPr>
          <w:b/>
          <w:i w:val="0"/>
          <w:sz w:val="19"/>
        </w:rPr>
        <w:t>RF-10</w:t>
      </w:r>
      <w:r>
        <w:rPr>
          <w:b w:val="0"/>
          <w:i w:val="0"/>
          <w:sz w:val="19"/>
        </w:rPr>
        <w:t xml:space="preserve"> (registro único de suministradores, seis dependientes), </w:t>
      </w:r>
      <w:r>
        <w:rPr>
          <w:b/>
          <w:i w:val="0"/>
          <w:sz w:val="19"/>
        </w:rPr>
        <w:t>RF-04</w:t>
      </w:r>
      <w:r>
        <w:rPr>
          <w:b w:val="0"/>
          <w:i w:val="0"/>
          <w:sz w:val="19"/>
        </w:rPr>
        <w:t xml:space="preserve"> (pedido de compra, cuatro) y </w:t>
      </w:r>
      <w:r>
        <w:rPr>
          <w:b/>
          <w:i w:val="0"/>
          <w:sz w:val="19"/>
        </w:rPr>
        <w:t>RF-18</w:t>
      </w:r>
      <w:r>
        <w:rPr>
          <w:b w:val="0"/>
          <w:i w:val="0"/>
          <w:sz w:val="19"/>
        </w:rPr>
        <w:t xml:space="preserve"> (integración, tres). Son la base de todo lo demás, y confirman el orden de las fases: primero las transacciones, y el registro de suministradores antes que su evaluación. RF-01, RF-10 y RF-18 no dependen de nadie: por ahí se empieza a construir.</w:t>
      </w: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5. Estilos arquitectónicos y diagrama de despliegue (criterio 5, 20 pts)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5.1 La decisión</w:t>
      </w:r>
    </w:p>
    <w:p>
      <w:r>
        <w:rPr>
          <w:b/>
          <w:i w:val="0"/>
          <w:sz w:val="21"/>
        </w:rPr>
        <w:t>Estilo principal: arquitectura orientada a servicios (SOA), con un servicio por proceso de negocio</w:t>
      </w:r>
      <w:r>
        <w:rPr>
          <w:b w:val="0"/>
          <w:i w:val="0"/>
          <w:sz w:val="21"/>
        </w:rPr>
        <w:t xml:space="preserve"> (CDU-01 a CDU-04), más un servicio de integración; </w:t>
      </w:r>
      <w:r>
        <w:rPr>
          <w:b/>
          <w:i w:val="0"/>
          <w:sz w:val="21"/>
        </w:rPr>
        <w:t>en capas</w:t>
      </w:r>
      <w:r>
        <w:rPr>
          <w:b w:val="0"/>
          <w:i w:val="0"/>
          <w:sz w:val="21"/>
        </w:rPr>
        <w:t xml:space="preserve"> por dentro y </w:t>
      </w:r>
      <w:r>
        <w:rPr>
          <w:b/>
          <w:i w:val="0"/>
          <w:sz w:val="21"/>
        </w:rPr>
        <w:t>basada en eventos</w:t>
      </w:r>
      <w:r>
        <w:rPr>
          <w:b w:val="0"/>
          <w:i w:val="0"/>
          <w:sz w:val="21"/>
        </w:rPr>
        <w:t xml:space="preserve"> entre servicios. Es la misma combinación del ejemplo de clase (perspectiva lógica capas/SOA y bloques basados en eventos). Un </w:t>
      </w:r>
      <w:r>
        <w:rPr>
          <w:b/>
          <w:i w:val="0"/>
          <w:sz w:val="21"/>
        </w:rPr>
        <w:t>estilo arquitectónico</w:t>
      </w:r>
      <w:r>
        <w:rPr>
          <w:b w:val="0"/>
          <w:i w:val="0"/>
          <w:sz w:val="21"/>
        </w:rPr>
        <w:t xml:space="preserve"> establece las restricciones sobre la arquitectura de una familia de diseños; se elige en función de los drivers, no por preferencia.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5.2 Por qué SOA, en función de los criterios anteriores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4332"/>
        <w:gridCol w:w="5956"/>
        <w:gridCol w:w="3249"/>
      </w:tblGrid>
      <w:tr>
        <w:trPr>
          <w:tblHeader w:val="true"/>
        </w:trPr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Escalón de la lámina «Funcionamiento de la Arquitectura (SOA)»</w:t>
            </w:r>
          </w:p>
        </w:tc>
        <w:tc>
          <w:tcPr>
            <w:tcW w:type="dxa" w:w="595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Cómo se cumple en SiL'K</w:t>
            </w:r>
          </w:p>
        </w:tc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Criterio que lo respalda</w:t>
            </w:r>
          </w:p>
        </w:tc>
      </w:tr>
      <w:tr>
        <w:trPr>
          <w:cantSplit/>
        </w:trPr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/>
                <w:sz w:val="18"/>
              </w:rPr>
              <w:t>«Define las necesidades del negocio»</w:t>
            </w:r>
          </w:p>
        </w:tc>
        <w:tc>
          <w:tcPr>
            <w:tcW w:type="dxa" w:w="595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La Estrategia de Gestión de Suministros y el negocio delimitado</w:t>
            </w:r>
          </w:p>
        </w:tc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§1, caso de negocio</w:t>
            </w:r>
          </w:p>
        </w:tc>
      </w:tr>
      <w:tr>
        <w:trPr>
          <w:cantSplit/>
        </w:trPr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/>
                <w:sz w:val="18"/>
              </w:rPr>
              <w:t>«Desarrolla procesos de negocio como Servicios»</w:t>
            </w:r>
          </w:p>
        </w:tc>
        <w:tc>
          <w:tcPr>
            <w:tcW w:type="dxa" w:w="595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Los cuatro procesos de la primera descomposición son los cuatro servicios: la granularidad ya viene decidida</w:t>
            </w:r>
          </w:p>
        </w:tc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§1.3 · matriz 2</w:t>
            </w:r>
          </w:p>
        </w:tc>
      </w:tr>
      <w:tr>
        <w:trPr>
          <w:cantSplit/>
        </w:trPr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/>
                <w:sz w:val="18"/>
              </w:rPr>
              <w:t>«Permite que cada Servicio evolucione independientemente»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Las tres fases de implantación se entregan servicio por servicio, sin detener lo ya entregado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RE-05 · RE-12 · EAC-07</w:t>
            </w:r>
          </w:p>
        </w:tc>
      </w:tr>
      <w:tr>
        <w:trPr>
          <w:cantSplit/>
        </w:trPr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/>
                <w:sz w:val="18"/>
              </w:rPr>
              <w:t>«Plantea aplicaciones distribuidas, multi-nivel»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Siete centros, cinco filiales y suministradores externos acceden a la misma plataforma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RE-11 · RE-03 · EAC-03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 xml:space="preserve">La razón de fondo es de </w:t>
      </w:r>
      <w:r>
        <w:rPr>
          <w:b/>
          <w:i w:val="0"/>
          <w:sz w:val="21"/>
        </w:rPr>
        <w:t>integración</w:t>
      </w:r>
      <w:r>
        <w:rPr>
          <w:b w:val="0"/>
          <w:i w:val="0"/>
          <w:sz w:val="21"/>
        </w:rPr>
        <w:t>: el problema que el caso describe son sistemas de compras distintos en cada centro (pág. 4) y la obligación de convivir con lo existente (RE-01, RE-13, RE-14). SOA expone cada proceso con un contrato estable, detrás del cual puede haber el paquete comprado (RE-02) o un sistema de planta.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5.3 Estilos complementarios, cada uno con su driver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249"/>
        <w:gridCol w:w="7580"/>
        <w:gridCol w:w="2707"/>
      </w:tblGrid>
      <w:tr>
        <w:trPr>
          <w:tblHeader w:val="true"/>
        </w:trPr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Estilo</w:t>
            </w:r>
          </w:p>
        </w:tc>
        <w:tc>
          <w:tcPr>
            <w:tcW w:type="dxa" w:w="758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Dónde se aplica</w:t>
            </w:r>
          </w:p>
        </w:tc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Driver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 capas</w:t>
            </w:r>
          </w:p>
        </w:tc>
        <w:tc>
          <w:tcPr>
            <w:tcW w:type="dxa" w:w="758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Dentro de cada servicio: presentación, lógica de negocio y datos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EAC-07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Cliente-servidor (N niveles)</w:t>
            </w:r>
          </w:p>
        </w:tc>
        <w:tc>
          <w:tcPr>
            <w:tcW w:type="dxa" w:w="758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Navegador, portal y tableta como clientes; servicios y base de datos como niveles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EAC-03 · RE-11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Llamada y retorno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Operaciones interactivas: emitir un pedido, aprobar, consultar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EAC-02 · EAC-05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Basado en eventos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Entre servicios y hacia los centros: «pedido emitido», «material recibido», «factura conciliada»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EAC-01 · EAC-09 · RE-12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Tuberías y filtros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Carga del almacén analítico: extraer, depurar duplicados, consolidar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RF-14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5.4 Estilos descartados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519"/>
        <w:gridCol w:w="10017"/>
      </w:tblGrid>
      <w:tr>
        <w:trPr>
          <w:tblHeader w:val="true"/>
        </w:trPr>
        <w:tc>
          <w:tcPr>
            <w:tcW w:type="dxa" w:w="351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Estilo</w:t>
            </w:r>
          </w:p>
        </w:tc>
        <w:tc>
          <w:tcPr>
            <w:tcW w:type="dxa" w:w="1001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Por qué no</w:t>
            </w:r>
          </w:p>
        </w:tc>
      </w:tr>
      <w:tr>
        <w:trPr>
          <w:cantSplit/>
        </w:trPr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Monolítico</w:t>
            </w:r>
            <w:r>
              <w:rPr>
                <w:b w:val="0"/>
                <w:i w:val="0"/>
                <w:sz w:val="18"/>
              </w:rPr>
              <w:t xml:space="preserve"> (un ERP completo)</w:t>
            </w:r>
          </w:p>
        </w:tc>
        <w:tc>
          <w:tcPr>
            <w:tcW w:type="dxa" w:w="100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 xml:space="preserve">Lo prohíbe el caso: </w:t>
            </w:r>
            <w:r>
              <w:rPr>
                <w:b w:val="0"/>
                <w:i/>
                <w:sz w:val="18"/>
              </w:rPr>
              <w:t>«no estaba buscando una solución completa de planificación de recursos empresariales»</w:t>
            </w:r>
            <w:r>
              <w:rPr>
                <w:b w:val="0"/>
                <w:i w:val="0"/>
                <w:sz w:val="18"/>
              </w:rPr>
              <w:t xml:space="preserve"> (RE-04). Además obligaría a implantar todo de una vez, contra RE-05</w:t>
            </w:r>
          </w:p>
        </w:tc>
      </w:tr>
      <w:tr>
        <w:trPr>
          <w:cantSplit/>
        </w:trPr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Microservicios</w:t>
            </w:r>
          </w:p>
        </w:tc>
        <w:tc>
          <w:tcPr>
            <w:tcW w:type="dxa" w:w="100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granularidad por proceso ya basta; partir más fino multiplica la operación sin un driver que lo pida, y el núcleo es un paquete de mercado (RE-02)</w:t>
            </w:r>
          </w:p>
        </w:tc>
      </w:tr>
      <w:tr>
        <w:trPr>
          <w:cantSplit/>
        </w:trPr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Par a par</w:t>
            </w:r>
          </w:p>
        </w:tc>
        <w:tc>
          <w:tcPr>
            <w:tcW w:type="dxa" w:w="100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Hay un dueño claro de los datos (Compras): no hay pares equivalentes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5.5 Patrones arquitectónicos usados</w:t>
      </w:r>
    </w:p>
    <w:p>
      <w:r>
        <w:rPr>
          <w:b w:val="0"/>
          <w:i w:val="0"/>
          <w:sz w:val="21"/>
        </w:rPr>
        <w:t xml:space="preserve">De la lista de clase, de menor alcance que el estilo y con una regla cada uno: </w:t>
      </w:r>
      <w:r>
        <w:rPr>
          <w:b/>
          <w:i w:val="0"/>
          <w:sz w:val="21"/>
        </w:rPr>
        <w:t>API Gateway</w:t>
      </w:r>
      <w:r>
        <w:rPr>
          <w:b w:val="0"/>
          <w:i w:val="0"/>
          <w:sz w:val="21"/>
        </w:rPr>
        <w:t xml:space="preserve"> (una sola puerta de entrada para suministradores y clientes web), </w:t>
      </w:r>
      <w:r>
        <w:rPr>
          <w:b/>
          <w:i w:val="0"/>
          <w:sz w:val="21"/>
        </w:rPr>
        <w:t>Single Sign-On</w:t>
      </w:r>
      <w:r>
        <w:rPr>
          <w:b w:val="0"/>
          <w:i w:val="0"/>
          <w:sz w:val="21"/>
        </w:rPr>
        <w:t xml:space="preserve"> y </w:t>
      </w:r>
      <w:r>
        <w:rPr>
          <w:b/>
          <w:i w:val="0"/>
          <w:sz w:val="21"/>
        </w:rPr>
        <w:t>Access Token</w:t>
      </w:r>
      <w:r>
        <w:rPr>
          <w:b w:val="0"/>
          <w:i w:val="0"/>
          <w:sz w:val="21"/>
        </w:rPr>
        <w:t xml:space="preserve"> (identidad corporativa y de suministradores), </w:t>
      </w:r>
      <w:r>
        <w:rPr>
          <w:b/>
          <w:i w:val="0"/>
          <w:sz w:val="21"/>
        </w:rPr>
        <w:t>Load Balance</w:t>
      </w:r>
      <w:r>
        <w:rPr>
          <w:b w:val="0"/>
          <w:i w:val="0"/>
          <w:sz w:val="21"/>
        </w:rPr>
        <w:t xml:space="preserve"> (reparto entre nodos), </w:t>
      </w:r>
      <w:r>
        <w:rPr>
          <w:b/>
          <w:i w:val="0"/>
          <w:sz w:val="21"/>
        </w:rPr>
        <w:t>Circuit Breaker</w:t>
      </w:r>
      <w:r>
        <w:rPr>
          <w:b w:val="0"/>
          <w:i w:val="0"/>
          <w:sz w:val="21"/>
        </w:rPr>
        <w:t xml:space="preserve"> (un sistema de planta caído no arrastra a los servicios), </w:t>
      </w:r>
      <w:r>
        <w:rPr>
          <w:b/>
          <w:i w:val="0"/>
          <w:sz w:val="21"/>
        </w:rPr>
        <w:t>Store and forward</w:t>
      </w:r>
      <w:r>
        <w:rPr>
          <w:b w:val="0"/>
          <w:i w:val="0"/>
          <w:sz w:val="21"/>
        </w:rPr>
        <w:t xml:space="preserve"> (el agente de planta y la tableta guardan y reenvían), </w:t>
      </w:r>
      <w:r>
        <w:rPr>
          <w:b/>
          <w:i w:val="0"/>
          <w:sz w:val="21"/>
        </w:rPr>
        <w:t>Webhook</w:t>
      </w:r>
      <w:r>
        <w:rPr>
          <w:b w:val="0"/>
          <w:i w:val="0"/>
          <w:sz w:val="21"/>
        </w:rPr>
        <w:t xml:space="preserve"> (aviso al sistema del suministrador) y </w:t>
      </w:r>
      <w:r>
        <w:rPr>
          <w:b/>
          <w:i w:val="0"/>
          <w:sz w:val="21"/>
        </w:rPr>
        <w:t>Log aggregation</w:t>
      </w:r>
      <w:r>
        <w:rPr>
          <w:b w:val="0"/>
          <w:i w:val="0"/>
          <w:sz w:val="21"/>
        </w:rPr>
        <w:t xml:space="preserve"> (bitácora única).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5.6 Lo que cambia al traer el caso al presente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5144"/>
        <w:gridCol w:w="5685"/>
        <w:gridCol w:w="2707"/>
      </w:tblGrid>
      <w:tr>
        <w:trPr>
          <w:tblHeader w:val="true"/>
        </w:trPr>
        <w:tc>
          <w:tcPr>
            <w:tcW w:type="dxa" w:w="514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 el caso (1998-1999)</w:t>
            </w:r>
          </w:p>
        </w:tc>
        <w:tc>
          <w:tcPr>
            <w:tcW w:type="dxa" w:w="568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Hoy</w:t>
            </w:r>
          </w:p>
        </w:tc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Driver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«Red Internet de Suministros»; intercambio electrónico de documentos</w:t>
            </w:r>
          </w:p>
        </w:tc>
        <w:tc>
          <w:tcPr>
            <w:tcW w:type="dxa" w:w="568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Portal web del suministrador y API sobre HTTPS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RE-03 · EAC-04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 sistema de compras por centro, modificado localmente</w:t>
            </w:r>
          </w:p>
        </w:tc>
        <w:tc>
          <w:tcPr>
            <w:tcW w:type="dxa" w:w="568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Una plataforma única en la nube, configurada y no personalizada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RE-08 · EAC-07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Servidores propios por planta</w:t>
            </w:r>
          </w:p>
        </w:tc>
        <w:tc>
          <w:tcPr>
            <w:tcW w:type="dxa" w:w="5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Contenedores e infraestructura definida como código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EAC-03 · EAC-08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Usuario y contraseña por sistema</w:t>
            </w:r>
          </w:p>
        </w:tc>
        <w:tc>
          <w:tcPr>
            <w:tcW w:type="dxa" w:w="5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Inicio de sesión único con doble factor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EAC-04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Lista de control de funcionalidades y demostraciones</w:t>
            </w:r>
          </w:p>
        </w:tc>
        <w:tc>
          <w:tcPr>
            <w:tcW w:type="dxa" w:w="5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Además, escenarios de atributos de calidad medibles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§3.2 · §6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ISO/IEC 9126</w:t>
            </w:r>
          </w:p>
        </w:tc>
        <w:tc>
          <w:tcPr>
            <w:tcW w:type="dxa" w:w="5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Familia ISO/IEC 25000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§6.4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5.7 Perspectiva lógica: capas dentro de cada servicio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790"/>
        <w:gridCol w:w="9746"/>
      </w:tblGrid>
      <w:tr>
        <w:trPr>
          <w:tblHeader w:val="true"/>
        </w:trPr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Elemento</w:t>
            </w:r>
          </w:p>
        </w:tc>
        <w:tc>
          <w:tcPr>
            <w:tcW w:type="dxa" w:w="974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Responsabilidad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Capa de presentación</w:t>
            </w:r>
          </w:p>
        </w:tc>
        <w:tc>
          <w:tcPr>
            <w:tcW w:type="dxa" w:w="974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Recibe la interacción del usuario y le muestra resultados: aplicación web, portal del suministrador y app de recepción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Capa de servicios web</w:t>
            </w:r>
          </w:p>
        </w:tc>
        <w:tc>
          <w:tcPr>
            <w:tcW w:type="dxa" w:w="974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Expone los servicios para integrar sistemas externos: API Gateway y contratos de cada servicio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Capa de negocio</w:t>
            </w:r>
          </w:p>
        </w:tc>
        <w:tc>
          <w:tcPr>
            <w:tcW w:type="dxa" w:w="974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Coordina la ejecución de los casos de uso: los cuatro servicios, uno por proceso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Capa de datos</w:t>
            </w:r>
          </w:p>
        </w:tc>
        <w:tc>
          <w:tcPr>
            <w:tcW w:type="dxa" w:w="974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Almacena los objetos y oculta al resto que es una base relacional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Capa de integración</w:t>
            </w:r>
          </w:p>
        </w:tc>
        <w:tc>
          <w:tcPr>
            <w:tcW w:type="dxa" w:w="974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Conecta con los sistemas existentes: MRP/DRP de planta, Cuentas de Acreedores, ingeniería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5.8 Diagrama de bloques: arquitectura basada en eventos</w:t>
      </w:r>
    </w:p>
    <w:p>
      <w:r>
        <w:rPr>
          <w:b w:val="0"/>
          <w:i w:val="0"/>
          <w:sz w:val="21"/>
        </w:rPr>
        <w:t xml:space="preserve">El </w:t>
      </w:r>
      <w:r>
        <w:rPr>
          <w:b/>
          <w:i w:val="0"/>
          <w:sz w:val="21"/>
        </w:rPr>
        <w:t>diagrama de bloques de alto nivel</w:t>
      </w:r>
      <w:r>
        <w:rPr>
          <w:b w:val="0"/>
          <w:i w:val="0"/>
          <w:sz w:val="21"/>
        </w:rPr>
        <w:t xml:space="preserve"> es el primer paso antes del detalle: quién produce, quién enruta y quién consume. Toda flecha lleva el nombre del evento que transporta.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52187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ques-h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218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8. Diagrama de bloques de SiL'K: productores, enrutador y consumidores de eventos.</w:t>
      </w:r>
    </w:p>
    <w:p>
      <w:r>
        <w:rPr>
          <w:b/>
          <w:i w:val="0"/>
          <w:sz w:val="21"/>
        </w:rPr>
        <w:t>Cómo se integra el bus de eventos.</w:t>
      </w:r>
      <w:r>
        <w:rPr>
          <w:b w:val="0"/>
          <w:i w:val="0"/>
          <w:sz w:val="21"/>
        </w:rPr>
        <w:t xml:space="preserve"> Es un componente central con una interfaz para publicar y suscribirse; los publicadores no conocen a los suscriptores.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301"/>
        <w:gridCol w:w="3384"/>
        <w:gridCol w:w="4332"/>
        <w:gridCol w:w="3519"/>
      </w:tblGrid>
      <w:tr>
        <w:trPr>
          <w:tblHeader w:val="true"/>
        </w:trPr>
        <w:tc>
          <w:tcPr>
            <w:tcW w:type="dxa" w:w="230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Evento</w:t>
            </w:r>
          </w:p>
        </w:tc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Publicador</w:t>
            </w:r>
          </w:p>
        </w:tc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Suscriptores</w:t>
            </w:r>
          </w:p>
        </w:tc>
        <w:tc>
          <w:tcPr>
            <w:tcW w:type="dxa" w:w="351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Para qué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Solicitud aprobada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Servicio Requisición y Pedido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El mismo servicio (bandeja del comprador)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Que el comprador la convierta en pedido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Pedido emitido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Servicio Requisición y Pedido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Suministradores · Recepción y Facturas · MRP/DRP de planta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Avisar al suministrador y esperar la entrega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Requisitos publicados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Agente de integración de la planta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Servicio Requisición y Pedido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Generar propuestas de pedido (CU-03)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Material recibido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App de recepción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Recepción y Facturas · Suministradores · MRP/DRP de planta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Conciliar y medir el plazo real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Factura conciliada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Servicio Recepción y Facturas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 de Cuentas de Acreedores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Pagar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Retraso detectado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Servicio Recepción y Facturas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Suministradores · comprador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Reclamar y evaluar (CU-18, CU-10)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Beneficios para SiL'K</w:t>
      </w:r>
      <w:r>
        <w:rPr>
          <w:b w:val="0"/>
          <w:i w:val="0"/>
          <w:sz w:val="21"/>
        </w:rPr>
        <w:t>, los cuatro de clase: comunicación desacoplada (una planta caída no detiene a las demás, RE-12), flexibilidad (cada fase agrega suscriptores sin tocar lo entregado, RE-05), escalabilidad (EAC-03) y reutilización de los eventos (el almacén analítico los recibe todos, RF-14).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5.9 Diagrama de despliegue</w:t>
      </w:r>
    </w:p>
    <w:p>
      <w:r>
        <w:rPr>
          <w:b w:val="0"/>
          <w:i w:val="0"/>
          <w:sz w:val="21"/>
        </w:rPr>
        <w:t xml:space="preserve">El </w:t>
      </w:r>
      <w:r>
        <w:rPr>
          <w:b/>
          <w:i w:val="0"/>
          <w:sz w:val="21"/>
        </w:rPr>
        <w:t>diagrama de despliegue</w:t>
      </w:r>
      <w:r>
        <w:rPr>
          <w:b w:val="0"/>
          <w:i w:val="0"/>
          <w:sz w:val="21"/>
        </w:rPr>
        <w:t xml:space="preserve"> (o de distribución) muestra los nodos físicos y qué componentes ejecuta cada uno. Notación de clase: nodo como cubo; «device» para el hardware y «executionEnvironment» para el software que aloja componentes; componentes </w:t>
      </w:r>
      <w:r>
        <w:rPr>
          <w:b/>
          <w:i w:val="0"/>
          <w:sz w:val="21"/>
        </w:rPr>
        <w:t>dentro</w:t>
      </w:r>
      <w:r>
        <w:rPr>
          <w:b w:val="0"/>
          <w:i w:val="0"/>
          <w:sz w:val="21"/>
        </w:rPr>
        <w:t xml:space="preserve"> del nodo; conexión de línea llena con el protocolo; zonas FrontEnd y BackEnd.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595360" cy="50884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-h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5088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9. Diagrama de despliegue de SiL'K.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249"/>
        <w:gridCol w:w="4873"/>
        <w:gridCol w:w="5414"/>
      </w:tblGrid>
      <w:tr>
        <w:trPr>
          <w:tblHeader w:val="true"/>
        </w:trPr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Nodo</w:t>
            </w:r>
          </w:p>
        </w:tc>
        <w:tc>
          <w:tcPr>
            <w:tcW w:type="dxa" w:w="487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Componentes</w:t>
            </w:r>
          </w:p>
        </w:tc>
        <w:tc>
          <w:tcPr>
            <w:tcW w:type="dxa" w:w="541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Por qué está ahí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PC de oficina</w:t>
            </w:r>
          </w:p>
        </w:tc>
        <w:tc>
          <w:tcPr>
            <w:tcW w:type="dxa" w:w="487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Aplicación web SiL'K</w:t>
            </w:r>
          </w:p>
        </w:tc>
        <w:tc>
          <w:tcPr>
            <w:tcW w:type="dxa" w:w="541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Compradores, solicitantes y dirección: sin instalación (EAC-05)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Tableta del muelle</w:t>
            </w:r>
          </w:p>
        </w:tc>
        <w:tc>
          <w:tcPr>
            <w:tcW w:type="dxa" w:w="487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App de recepción con cola local</w:t>
            </w:r>
          </w:p>
        </w:tc>
        <w:tc>
          <w:tcPr>
            <w:tcW w:type="dxa" w:w="541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Recibir aunque no haya red (EAC-01)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Equipo y servidor del suministrador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Portal del suministrador · cliente de API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Dos formas de acceso: una persona o su sistema (RE-03)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Borde de red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API Gateway · proveedor de identidad · pasarela VPN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Única entrada, autenticada y limitada (EAC-04)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Clúster de contenedores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Cuatro servicios de negocio · portal · Servicio de Integración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servicio por proceso (§5.1); escala por nodos (EAC-03)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Clúster de mensajería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Bus de eventos · cola de reintentos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Desacopla servicios y centros (EAC-01, EAC-09)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Servidor de base de datos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BD transaccional · bitácora de auditoría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registro único (RF-10) y rastro de auditoría (RE-15)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Almacén analítico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Almacén de datos · tablero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El gasto consolidado no compite con la operación (EAC-02, RF-14)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Región secundaria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Réplica y clúster en espera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Recuperación ante desastre (EAC-01)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Servidor de planta (uno por centro)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MRP/DRP · agente de integración · sistema local en retiro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Los sistemas existentes no se mueven (RE-13, RE-14)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Servidores corporativos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Cuentas de Acreedores · directorio · sistemas de ingeniería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Sistemas existentes de la sede (RE-13)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Supuestos de dimensionamiento</w:t>
      </w:r>
    </w:p>
    <w:p>
      <w:pPr>
        <w:spacing w:after="200"/>
        <w:ind w:left="432"/>
      </w:pPr>
      <w:r>
        <w:rPr>
          <w:b w:val="0"/>
          <w:i w:val="0"/>
          <w:sz w:val="19"/>
        </w:rPr>
        <w:t>El caso no trae ningún dato de hardware. Para 800 usuarios concurrentes (EAC-02) con crecimiento a 3.000 (EAC-03) se supone: clúster de 3 nodos de 8 vCPU y 32 GB (24 vCPU y 96 GB en total, con capacidad para perder un nodo), base de datos primaria y en espera en zonas distintas, y mensajería de 3 nodos. Son valores de partida para la prueba de carga del paso 5 (§6.1), no un compromiso.</w:t>
      </w:r>
    </w:p>
    <w:p>
      <w:pPr>
        <w:pStyle w:val="Heading1"/>
        <w:pageBreakBefore/>
      </w:pPr>
      <w:r>
        <w:rPr>
          <w:color w:val="000000"/>
        </w:rPr>
      </w:r>
      <w:r>
        <w:rPr>
          <w:b/>
          <w:i w:val="0"/>
          <w:color w:val="000000"/>
        </w:rPr>
        <w:t>6. Drivers de calidad y de restricción en los pasos, y modelo de calidad (criterio 6, 20 pts)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6.1 Los pasos para definir la arquitectura, con sus drivers</w:t>
      </w:r>
    </w:p>
    <w:p>
      <w:r>
        <w:rPr>
          <w:b w:val="0"/>
          <w:i w:val="0"/>
          <w:sz w:val="21"/>
        </w:rPr>
        <w:t xml:space="preserve">Los siete pasos de la lámina </w:t>
      </w:r>
      <w:r>
        <w:rPr>
          <w:b w:val="0"/>
          <w:i/>
          <w:sz w:val="21"/>
        </w:rPr>
        <w:t>Pasos para la definición de una Arquitectura de software</w:t>
      </w:r>
      <w:r>
        <w:rPr>
          <w:b w:val="0"/>
          <w:i w:val="0"/>
          <w:sz w:val="21"/>
        </w:rPr>
        <w:t>. En cada uno se indica qué drivers de calidad y de restricción lo condicionan.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541"/>
        <w:gridCol w:w="2572"/>
        <w:gridCol w:w="4196"/>
        <w:gridCol w:w="3113"/>
        <w:gridCol w:w="3113"/>
      </w:tblGrid>
      <w:tr>
        <w:trPr>
          <w:tblHeader w:val="true"/>
        </w:trPr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#</w:t>
            </w:r>
          </w:p>
        </w:tc>
        <w:tc>
          <w:tcPr>
            <w:tcW w:type="dxa" w:w="25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Paso</w:t>
            </w:r>
          </w:p>
        </w:tc>
        <w:tc>
          <w:tcPr>
            <w:tcW w:type="dxa" w:w="419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Qué se hizo para SiL'K</w:t>
            </w:r>
          </w:p>
        </w:tc>
        <w:tc>
          <w:tcPr>
            <w:tcW w:type="dxa" w:w="311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Drivers de calidad</w:t>
            </w:r>
          </w:p>
        </w:tc>
        <w:tc>
          <w:tcPr>
            <w:tcW w:type="dxa" w:w="311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Drivers de restricción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 xml:space="preserve">Creación del </w:t>
            </w:r>
            <w:r>
              <w:rPr>
                <w:b/>
                <w:i w:val="0"/>
                <w:sz w:val="17"/>
              </w:rPr>
              <w:t>caso de negocio</w:t>
            </w:r>
          </w:p>
        </w:tc>
        <w:tc>
          <w:tcPr>
            <w:tcW w:type="dxa" w:w="419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Negocio delimitado, contexto, core y descomposición (§1)</w:t>
            </w:r>
          </w:p>
        </w:tc>
        <w:tc>
          <w:tcPr>
            <w:tcW w:type="dxa" w:w="311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-</w:t>
            </w:r>
          </w:p>
        </w:tc>
        <w:tc>
          <w:tcPr>
            <w:tcW w:type="dxa" w:w="311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RE-04 ámbito · RE-06 valor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Entendimiento de los requisitos</w:t>
            </w:r>
          </w:p>
        </w:tc>
        <w:tc>
          <w:tcPr>
            <w:tcW w:type="dxa" w:w="419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Stakeholders, RF, escenarios de calidad y restricciones; matrices (§2-§4)</w:t>
            </w:r>
          </w:p>
        </w:tc>
        <w:tc>
          <w:tcPr>
            <w:tcW w:type="dxa" w:w="311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EAC-01 a EAC-09, escritos como EaC</w:t>
            </w:r>
          </w:p>
        </w:tc>
        <w:tc>
          <w:tcPr>
            <w:tcW w:type="dxa" w:w="311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RE-01 a RE-16, por categoría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Creación y selección</w:t>
            </w:r>
            <w:r>
              <w:rPr>
                <w:b w:val="0"/>
                <w:i w:val="0"/>
                <w:sz w:val="17"/>
              </w:rPr>
              <w:t xml:space="preserve"> de la arquitectura</w:t>
            </w:r>
          </w:p>
        </w:tc>
        <w:tc>
          <w:tcPr>
            <w:tcW w:type="dxa" w:w="419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SOA con un servicio por proceso y estilos complementarios (§5)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EAC-06 y EAC-07 deciden SOA; EAC-01 y EAC-09 piden eventos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RE-01, RE-02, RE-13 (integrar) · RE-04 (no monolítico)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Documentación y comunicación</w:t>
            </w:r>
          </w:p>
        </w:tc>
        <w:tc>
          <w:tcPr>
            <w:tcW w:type="dxa" w:w="419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Este documento: vista de escenarios (CDU) y vista física (despliegue)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Cada EaC ubicado en un nodo (§6.2)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RE-10: comunicar a 800 personas, como los boletines del caso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Análisis o evaluación</w:t>
            </w:r>
          </w:p>
        </w:tc>
        <w:tc>
          <w:tcPr>
            <w:tcW w:type="dxa" w:w="419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Recorrer los EaC sobre el despliegue y medir con el modelo de calidad (§6.4)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Las nueve medidas son el criterio de aprobación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RE-01: revisión del grupo de Integración de Arquitecturas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Implementación</w:t>
            </w:r>
            <w:r>
              <w:rPr>
                <w:b w:val="0"/>
                <w:i w:val="0"/>
                <w:sz w:val="17"/>
              </w:rPr>
              <w:t xml:space="preserve"> basada en la arquitectura</w:t>
            </w:r>
          </w:p>
        </w:tc>
        <w:tc>
          <w:tcPr>
            <w:tcW w:type="dxa" w:w="419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Tres fases; cada fase entrega servicios completos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EAC-03: crecer de 800 a 3.000 entre fases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RE-05 fases · RE-12 no parar la línea · RE-14 coexistencia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Aseguramiento</w:t>
            </w:r>
            <w:r>
              <w:rPr>
                <w:b w:val="0"/>
                <w:i w:val="0"/>
                <w:sz w:val="17"/>
              </w:rPr>
              <w:t xml:space="preserve"> de que la implementación esté acorde</w:t>
            </w:r>
          </w:p>
        </w:tc>
        <w:tc>
          <w:tcPr>
            <w:tcW w:type="dxa" w:w="419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En cada fase se vuelven a medir los EaC y se revisa la conformidad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Las medidas del §3.2 como pruebas de aceptación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RE-15: rastro de auditoría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El caso ya hacía una parte del paso 5</w:t>
      </w:r>
    </w:p>
    <w:p>
      <w:pPr>
        <w:spacing w:after="200"/>
        <w:ind w:left="432"/>
      </w:pPr>
      <w:r>
        <w:rPr>
          <w:b w:val="0"/>
          <w:i w:val="0"/>
          <w:sz w:val="19"/>
        </w:rPr>
        <w:t xml:space="preserve">El equipo de SiL'K evaluó a los finalistas con </w:t>
      </w:r>
      <w:r>
        <w:rPr>
          <w:b w:val="0"/>
          <w:i/>
          <w:sz w:val="19"/>
        </w:rPr>
        <w:t>«diez escenarios posibles, basados en los requisitos tecnológicos y del proceso»</w:t>
      </w:r>
      <w:r>
        <w:rPr>
          <w:b w:val="0"/>
          <w:i w:val="0"/>
          <w:sz w:val="19"/>
        </w:rPr>
        <w:t xml:space="preserve"> (pág. 12) y con una lista de control con umbral del 90 % (pág. 11). Lo que se agrega al traerlo al presente es que los escenarios sean de </w:t>
      </w:r>
      <w:r>
        <w:rPr>
          <w:b/>
          <w:i w:val="0"/>
          <w:sz w:val="19"/>
        </w:rPr>
        <w:t>atributos de calidad</w:t>
      </w:r>
      <w:r>
        <w:rPr>
          <w:b w:val="0"/>
          <w:i w:val="0"/>
          <w:sz w:val="19"/>
        </w:rPr>
        <w:t xml:space="preserve"> y tengan </w:t>
      </w:r>
      <w:r>
        <w:rPr>
          <w:b/>
          <w:i w:val="0"/>
          <w:sz w:val="19"/>
        </w:rPr>
        <w:t>medida</w:t>
      </w:r>
      <w:r>
        <w:rPr>
          <w:b w:val="0"/>
          <w:i w:val="0"/>
          <w:sz w:val="19"/>
        </w:rPr>
        <w:t>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6.2 Los escenarios de calidad incorporados a la solución</w:t>
      </w:r>
    </w:p>
    <w:p>
      <w:r>
        <w:rPr>
          <w:b w:val="0"/>
          <w:i w:val="0"/>
          <w:sz w:val="21"/>
        </w:rPr>
        <w:t>Cada escenario del §3.2 se convierte en una decisión de arquitectura y queda ubicado en el despliegue del §5.9. Es la respuesta al numeral 4 de la tarea.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301"/>
        <w:gridCol w:w="5144"/>
        <w:gridCol w:w="2572"/>
        <w:gridCol w:w="3519"/>
      </w:tblGrid>
      <w:tr>
        <w:trPr>
          <w:tblHeader w:val="true"/>
        </w:trPr>
        <w:tc>
          <w:tcPr>
            <w:tcW w:type="dxa" w:w="230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EaC</w:t>
            </w:r>
          </w:p>
        </w:tc>
        <w:tc>
          <w:tcPr>
            <w:tcW w:type="dxa" w:w="514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Decisión de arquitectura (táctica)</w:t>
            </w:r>
          </w:p>
        </w:tc>
        <w:tc>
          <w:tcPr>
            <w:tcW w:type="dxa" w:w="25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Patrón</w:t>
            </w:r>
          </w:p>
        </w:tc>
        <w:tc>
          <w:tcPr>
            <w:tcW w:type="dxa" w:w="351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Dónde queda en el despliegue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EAC-01 Disponibilidad</w:t>
            </w:r>
          </w:p>
        </w:tc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Redundancia en dos zonas, base en espera activa, región secundaria; la recepción trabaja sin conexión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Circuit Breaker · Store and forward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Borde · clúster · BD · región secundaria · tableta · agente de planta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EAC-02 Desempeño</w:t>
            </w:r>
          </w:p>
        </w:tc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Reparto de carga; las consultas analíticas salen de la base transaccional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Load Balance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Borde · almacén analítico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EAC-03 Escalabilidad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Servicios sin estado en contenedores; se agregan nodos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Load Balance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Clúster de contenedores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EAC-04 Seguridad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Entrada única, doble factor, autorización por suministrador, cifrado en tránsito y en reposo, bitácora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API Gateway · SSO · Access Token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Borde · BD (bitácora)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EAC-05 Usabilidad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Una sola aplicación web con catálogo guiado; la interfaz separada de la lógica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-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PC de oficina · portal web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EAC-06 Compatibilidad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Adaptadores por sistema, contratos de servicio estables, VPN a los centros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Store and forward · Webhook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Servicio de Integración · agente de planta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EAC-07 Modificabilidad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 servicio por proceso, capas dentro de cada uno, reglas por configuración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Log aggregation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Clúster de contenedores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EAC-08 Portabilidad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Contenedores e infraestructura como código; base de datos relacional estándar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-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Clúster · BD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EAC-09 Fiabilidad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Mensajes idempotentes, reintentos, transacciones y conciliación a tres bandas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Store and forward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Clúster de mensajería · BD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6.3 Las restricciones incorporadas a la solución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5144"/>
        <w:gridCol w:w="8392"/>
      </w:tblGrid>
      <w:tr>
        <w:trPr>
          <w:tblHeader w:val="true"/>
        </w:trPr>
        <w:tc>
          <w:tcPr>
            <w:tcW w:type="dxa" w:w="514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Restricción</w:t>
            </w:r>
          </w:p>
        </w:tc>
        <w:tc>
          <w:tcPr>
            <w:tcW w:type="dxa" w:w="839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Decisión que impone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RE-01 · RE-13 · RE-14 (compatibilidad e integración)</w:t>
            </w:r>
          </w:p>
        </w:tc>
        <w:tc>
          <w:tcPr>
            <w:tcW w:type="dxa" w:w="839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Servicio de Integración y agente en cada planta; los sistemas existentes no se modifican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RE-02 (paquete de mercado)</w:t>
            </w:r>
          </w:p>
        </w:tc>
        <w:tc>
          <w:tcPr>
            <w:tcW w:type="dxa" w:w="839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El paquete queda detrás de los contratos de servicio: se configura, no se personaliza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RE-03 (acceso por Internet)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Portal y API públicos detrás del API Gateway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RE-04 (no es un ERP)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Solo los cuatro servicios del ámbito; lo demás se integra, no se reemplaza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RE-05 · RE-12 (fases, sin parar la línea)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servicio por fase, desplegado sin interrupción; los eventos aíslan a la planta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RE-06 · RE-07 (coste y soporte)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Infraestructura que crece por demanda; un proveedor con hoja de ruta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RE-08 (proceso común)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solo servicio por proceso para todos los centros, con reglas configurables por división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RE-10 (cambio y formación)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Una interfaz única y guiada; entornos de formación por fase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RE-11 (centros y filiales)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Acceso web desde cualquier centro; región secundaria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RE-15 · RE-16 (control interno y datos personales)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Bitácora de solo inserción, segregación de funciones y cifrado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6.4 Determinación del modelo de calidad</w:t>
      </w:r>
    </w:p>
    <w:p>
      <w:r>
        <w:rPr>
          <w:b w:val="0"/>
          <w:i w:val="0"/>
          <w:sz w:val="21"/>
        </w:rPr>
        <w:t xml:space="preserve">Un </w:t>
      </w:r>
      <w:r>
        <w:rPr>
          <w:b/>
          <w:i w:val="0"/>
          <w:sz w:val="21"/>
        </w:rPr>
        <w:t>modelo de calidad</w:t>
      </w:r>
      <w:r>
        <w:rPr>
          <w:b w:val="0"/>
          <w:i w:val="0"/>
          <w:sz w:val="21"/>
        </w:rPr>
        <w:t xml:space="preserve"> descompone la calidad del producto en características y subcaracterísticas que se pueden medir. El pensamiento ISO no es una norma suelta, es una </w:t>
      </w:r>
      <w:r>
        <w:rPr>
          <w:b/>
          <w:i w:val="0"/>
          <w:sz w:val="21"/>
        </w:rPr>
        <w:t>familia</w:t>
      </w:r>
      <w:r>
        <w:rPr>
          <w:b w:val="0"/>
          <w:i w:val="0"/>
          <w:sz w:val="21"/>
        </w:rPr>
        <w:t>: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978"/>
        <w:gridCol w:w="6768"/>
        <w:gridCol w:w="3790"/>
      </w:tblGrid>
      <w:tr>
        <w:trPr>
          <w:tblHeader w:val="true"/>
        </w:trPr>
        <w:tc>
          <w:tcPr>
            <w:tcW w:type="dxa" w:w="297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Norma</w:t>
            </w:r>
          </w:p>
        </w:tc>
        <w:tc>
          <w:tcPr>
            <w:tcW w:type="dxa" w:w="676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Qué aporta</w:t>
            </w:r>
          </w:p>
        </w:tc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Uso en SiL'K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ISO/IEC 9126</w:t>
            </w:r>
            <w:r>
              <w:rPr>
                <w:b w:val="0"/>
                <w:i w:val="0"/>
                <w:sz w:val="18"/>
              </w:rPr>
              <w:t xml:space="preserve"> (2001)</w:t>
            </w:r>
          </w:p>
        </w:tc>
        <w:tc>
          <w:tcPr>
            <w:tcW w:type="dxa" w:w="676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El modelo clásico: seis características (funcionalidad, fiabilidad, usabilidad, eficiencia, mantenibilidad, portabilidad) y métricas internas, externas y en uso</w:t>
            </w:r>
          </w:p>
        </w:tc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Es el modelo del programa del curso; sirve de referencia y de puente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ISO/IEC 25000</w:t>
            </w:r>
            <w:r>
              <w:rPr>
                <w:b w:val="0"/>
                <w:i w:val="0"/>
                <w:sz w:val="18"/>
              </w:rPr>
              <w:t xml:space="preserve"> (SQuaRE)</w:t>
            </w:r>
          </w:p>
        </w:tc>
        <w:tc>
          <w:tcPr>
            <w:tcW w:type="dxa" w:w="676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La familia que la sucede, en cinco divisiones: 2500n gestión, 2501n modelo, 2502n medición, 2503n requisitos, 2504n evaluación</w:t>
            </w:r>
          </w:p>
        </w:tc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Marco general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ISO/IEC 25010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El modelo de calidad del producto: ocho características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Modelo adoptado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ISO/IEC 25023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Medidas para cada característica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Origen de las métricas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ISO/IEC 25040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El proceso de evaluación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Cómo se aplica en los pasos 5 y 7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Por qué 25010 y no 9126</w:t>
      </w:r>
    </w:p>
    <w:p>
      <w:pPr>
        <w:spacing w:after="200"/>
        <w:ind w:left="432"/>
      </w:pPr>
      <w:r>
        <w:rPr>
          <w:b w:val="0"/>
          <w:i w:val="0"/>
          <w:sz w:val="19"/>
        </w:rPr>
        <w:t>La consigna pide métodos actuales, y la 25010 sustituye a la 9126. Además, lo que más pesa en este caso (</w:t>
      </w:r>
      <w:r>
        <w:rPr>
          <w:b/>
          <w:i w:val="0"/>
          <w:sz w:val="19"/>
        </w:rPr>
        <w:t>seguridad</w:t>
      </w:r>
      <w:r>
        <w:rPr>
          <w:b w:val="0"/>
          <w:i w:val="0"/>
          <w:sz w:val="19"/>
        </w:rPr>
        <w:t xml:space="preserve"> y </w:t>
      </w:r>
      <w:r>
        <w:rPr>
          <w:b/>
          <w:i w:val="0"/>
          <w:sz w:val="19"/>
        </w:rPr>
        <w:t>compatibilidad</w:t>
      </w:r>
      <w:r>
        <w:rPr>
          <w:b w:val="0"/>
          <w:i w:val="0"/>
          <w:sz w:val="19"/>
        </w:rPr>
        <w:t xml:space="preserve">) en la 9126 eran subcaracterísticas de </w:t>
      </w:r>
      <w:r>
        <w:rPr>
          <w:b w:val="0"/>
          <w:i/>
          <w:sz w:val="19"/>
        </w:rPr>
        <w:t>funcionalidad</w:t>
      </w:r>
      <w:r>
        <w:rPr>
          <w:b w:val="0"/>
          <w:i w:val="0"/>
          <w:sz w:val="19"/>
        </w:rPr>
        <w:t>; en la 25010 son características de primer nivel. El caso mismo eliminó a un proveedor por compatibilidad.</w:t>
      </w:r>
    </w:p>
    <w:p>
      <w:r>
        <w:rPr>
          <w:b/>
          <w:i w:val="0"/>
          <w:sz w:val="21"/>
        </w:rPr>
        <w:t>El modelo determinado para SiL'K.</w:t>
      </w:r>
      <w:r>
        <w:rPr>
          <w:b w:val="0"/>
          <w:i w:val="0"/>
          <w:sz w:val="21"/>
        </w:rPr>
        <w:t xml:space="preserve"> Cada característica se concreta en una subcaracterística, una métrica y un umbral, y se traza al driver del §3. Es el árbol que se mide en los pasos 5 y 7.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030"/>
        <w:gridCol w:w="2301"/>
        <w:gridCol w:w="2301"/>
        <w:gridCol w:w="1760"/>
        <w:gridCol w:w="3249"/>
        <w:gridCol w:w="1895"/>
      </w:tblGrid>
      <w:tr>
        <w:trPr>
          <w:tblHeader w:val="true"/>
        </w:trPr>
        <w:tc>
          <w:tcPr>
            <w:tcW w:type="dxa" w:w="203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Característica ISO/IEC 25010</w:t>
            </w:r>
          </w:p>
        </w:tc>
        <w:tc>
          <w:tcPr>
            <w:tcW w:type="dxa" w:w="230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Subcaracterística</w:t>
            </w:r>
          </w:p>
        </w:tc>
        <w:tc>
          <w:tcPr>
            <w:tcW w:type="dxa" w:w="230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Equivalente en ISO/IEC 9126</w:t>
            </w:r>
          </w:p>
        </w:tc>
        <w:tc>
          <w:tcPr>
            <w:tcW w:type="dxa" w:w="176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Driver</w:t>
            </w:r>
          </w:p>
        </w:tc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Métrica</w:t>
            </w:r>
          </w:p>
        </w:tc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Umbral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Adecuación funcional</w:t>
            </w:r>
          </w:p>
        </w:tc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Completitud funcional</w:t>
            </w:r>
          </w:p>
        </w:tc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Funcionalidad › adecuación</w:t>
            </w:r>
          </w:p>
        </w:tc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RF-01 a RF-18</w:t>
            </w:r>
          </w:p>
        </w:tc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% de los criterios de la especificación funcional cubiertos sin personalizar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≥ 95 % (el caso exigía 90 %)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Eficiencia de desempeño</w:t>
            </w:r>
          </w:p>
        </w:tc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Comportamiento temporal</w:t>
            </w:r>
          </w:p>
        </w:tc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Eficiencia › comportamiento temporal</w:t>
            </w:r>
          </w:p>
        </w:tc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EAC-02</w:t>
            </w:r>
          </w:p>
        </w:tc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Tiempo de respuesta, percentil 95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≤ 2 s con 800 usuarios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Eficiencia de desempeño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Capacidad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Eficiencia › utilización de recursos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EAC-03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Usuarios soportados sin cambio de código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3.000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Compatibilidad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Interoperabilidad · coexistencia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Funcionalidad › interoperabilidad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EAC-06 · RE-13 · RE-14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% de interfaces estándar; esfuerzo de integrar un sistema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100 % · ≤ 10 días-persona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Capacidad de aprendizaje · operabilidad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Usabilidad › facilidad de aprendizaje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EAC-05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Tiempo y pasos de la primera solicitud; % de éxito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≤ 3 min · ≤ 5 pasos · 90 %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Disponibilidad · recuperabilidad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 › recuperabilidad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EAC-01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% de disponibilidad mensual; tiempo de relevo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99,9 % · ≤ 15 min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Tolerancia a fallos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 › tolerancia a fallos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EAC-09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Registros duplicados ante reintentos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Seguridad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Confidencialidad · autenticidad · responsabilidad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Funcionalidad › seguridad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EAC-04 · RE-15 · RE-16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Lecturas cruzadas; % de accesos con doble factor; % de operaciones en bitácora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0 · 100 % · 100 %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Mantenibilidad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Modularidad · capacidad de ser modificado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Mantenibilidad › facilidad de cambio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EAC-07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Tiempo de un cambio de regla; servicios tocados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≤ 1 día hábil · 1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Portabilidad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Adaptabilidad · capacidad de ser instalado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Portabilidad › adaptabilidad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EAC-08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Tiempo de levantar la solución en otro entorno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≤ 5 días hábiles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Cómo se usa.</w:t>
      </w:r>
      <w:r>
        <w:rPr>
          <w:b w:val="0"/>
          <w:i w:val="0"/>
          <w:sz w:val="21"/>
        </w:rPr>
        <w:t xml:space="preserve"> En el paso 5 se evalúa la arquitectura contra los diez umbrales antes de construir; en el paso 7 se vuelve a medir al cerrar cada una de las tres fases. Una característica por debajo de su umbral bloquea el paso a la fase siguiente. Las ocho características de la norma están cubiertas; las tres con más peso para este caso son </w:t>
      </w:r>
      <w:r>
        <w:rPr>
          <w:b/>
          <w:i w:val="0"/>
          <w:sz w:val="21"/>
        </w:rPr>
        <w:t>compatibilidad, seguridad y fiabilidad</w:t>
      </w:r>
      <w:r>
        <w:rPr>
          <w:b w:val="0"/>
          <w:i w:val="0"/>
          <w:sz w:val="21"/>
        </w:rPr>
        <w:t>, las mismas que la prioridad del §3.2.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7. Supuestos y límites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Las medidas de calidad, las dos restricciones regulatorias y el dimensionamiento son </w:t>
      </w:r>
      <w:r>
        <w:rPr>
          <w:b/>
          <w:i w:val="0"/>
          <w:sz w:val="19"/>
        </w:rPr>
        <w:t>supuestos de diseño</w:t>
      </w:r>
      <w:r>
        <w:rPr>
          <w:b w:val="0"/>
          <w:i w:val="0"/>
          <w:sz w:val="19"/>
        </w:rPr>
        <w:t>; el caso no trae esos datos.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No se elige proveedor de software: el caso termina sin decidirlo y la rúbrica no lo pide. La arquitectura vale para cualquiera de los tres finalistas, porque el paquete queda detrás de los contratos de servicio.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No se incluye un diagrama de componentes aparte: los componentes van dentro de sus nodos en el despliegue.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Se entrega la descripción textual de un caso de uso (CU-02) como muestra de la plantilla; los otros trece quedan especificados por su diagrama y su traza.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8. Referencias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Austin, R. D., Sole, D. y Cotteleer, M. J. (2003). </w:t>
      </w:r>
      <w:r>
        <w:rPr>
          <w:b w:val="0"/>
          <w:i/>
          <w:sz w:val="19"/>
        </w:rPr>
        <w:t>La selección de software empresarial de Harley Davidson Motor Company</w:t>
      </w:r>
      <w:r>
        <w:rPr>
          <w:b w:val="0"/>
          <w:i w:val="0"/>
          <w:sz w:val="19"/>
        </w:rPr>
        <w:t xml:space="preserve"> (caso 606-S14). Harvard Business School.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Bass, L., Clements, P. y Kazman, R. (2021). </w:t>
      </w:r>
      <w:r>
        <w:rPr>
          <w:b w:val="0"/>
          <w:i/>
          <w:sz w:val="19"/>
        </w:rPr>
        <w:t>Software Architecture in Practice</w:t>
      </w:r>
      <w:r>
        <w:rPr>
          <w:b w:val="0"/>
          <w:i w:val="0"/>
          <w:sz w:val="19"/>
        </w:rPr>
        <w:t xml:space="preserve"> (4.ª ed.). Addison-Wesley.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ISO/IEC 9126-1:2001. </w:t>
      </w:r>
      <w:r>
        <w:rPr>
          <w:b w:val="0"/>
          <w:i/>
          <w:sz w:val="19"/>
        </w:rPr>
        <w:t>Software engineering. Product quality. Part 1: Quality model</w:t>
      </w:r>
      <w:r>
        <w:rPr>
          <w:b w:val="0"/>
          <w:i w:val="0"/>
          <w:sz w:val="19"/>
        </w:rPr>
        <w:t>. International Organization for Standardization.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ISO/IEC 25010:2011. </w:t>
      </w:r>
      <w:r>
        <w:rPr>
          <w:b w:val="0"/>
          <w:i/>
          <w:sz w:val="19"/>
        </w:rPr>
        <w:t>Systems and software engineering. Systems and software Quality Requirements and Evaluation (SQuaRE). System and software quality models</w:t>
      </w:r>
      <w:r>
        <w:rPr>
          <w:b w:val="0"/>
          <w:i w:val="0"/>
          <w:sz w:val="19"/>
        </w:rPr>
        <w:t>. International Organization for Standardization.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Montoya-Suárez, Monsalve-Gómez y Sepúlveda-Castaño (2015). Un caso de estudio para la adopción de un modelo de trazabilidad de requisitos en el sector energético. </w:t>
      </w:r>
      <w:r>
        <w:rPr>
          <w:b w:val="0"/>
          <w:i/>
          <w:sz w:val="19"/>
        </w:rPr>
        <w:t>Lámpsakos</w:t>
      </w:r>
      <w:r>
        <w:rPr>
          <w:b w:val="0"/>
          <w:i w:val="0"/>
          <w:sz w:val="19"/>
        </w:rPr>
        <w:t>, (13), 88-100. Nota técnica del curso.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Rojas de Morán, C. (2026). Presentaciones del curso Análisis y Diseño de Sistemas II: </w:t>
      </w:r>
      <w:r>
        <w:rPr>
          <w:b w:val="0"/>
          <w:i/>
          <w:sz w:val="19"/>
        </w:rPr>
        <w:t>Arquitectura de Software</w:t>
      </w:r>
      <w:r>
        <w:rPr>
          <w:b w:val="0"/>
          <w:i w:val="0"/>
          <w:sz w:val="19"/>
        </w:rPr>
        <w:t xml:space="preserve">, </w:t>
      </w:r>
      <w:r>
        <w:rPr>
          <w:b w:val="0"/>
          <w:i/>
          <w:sz w:val="19"/>
        </w:rPr>
        <w:t>CDU Negocio: modelado de drivers RF</w:t>
      </w:r>
      <w:r>
        <w:rPr>
          <w:b w:val="0"/>
          <w:i w:val="0"/>
          <w:sz w:val="19"/>
        </w:rPr>
        <w:t xml:space="preserve"> y </w:t>
      </w:r>
      <w:r>
        <w:rPr>
          <w:b w:val="0"/>
          <w:i/>
          <w:sz w:val="19"/>
        </w:rPr>
        <w:t>Calidad del Software</w:t>
      </w:r>
      <w:r>
        <w:rPr>
          <w:b w:val="0"/>
          <w:i w:val="0"/>
          <w:sz w:val="19"/>
        </w:rPr>
        <w:t>. ECYS, Universidad de San Carlos de Guatemala.</w:t>
      </w:r>
    </w:p>
    <w:sectPr w:rsidR="00FC693F" w:rsidRPr="0006063C" w:rsidSect="00034616">
      <w:footerReference w:type="default" r:id="rId9"/>
      <w:pgSz w:w="15840" w:h="12240" w:orient="landscape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6"/>
      </w:rPr>
      <w:t xml:space="preserve">Caso Harley-Davidson, proyecto SiL'K · Santiago Barrera   · 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Harley-Davidson: arquitectura del proyecto SiL'K</dc:title>
  <dc:subject>Análisis y Diseño de Sistemas II</dc:subject>
  <dc:creator>Santiago Barrera</dc:creator>
  <cp:keywords/>
  <dc:description/>
  <cp:lastModifiedBy>Santiago Barrera</cp:lastModifiedBy>
  <cp:revision>1</cp:revision>
  <dcterms:created xsi:type="dcterms:W3CDTF">2013-12-23T23:15:00Z</dcterms:created>
  <dcterms:modified xsi:type="dcterms:W3CDTF">2013-12-23T23:15:00Z</dcterms:modified>
  <cp:category/>
</cp:coreProperties>
</file>