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Caso Harley-Davidson: arquitectura del proyecto SiL'K</w:t>
      </w:r>
    </w:p>
    <w:p>
      <w:pPr>
        <w:spacing w:after="40"/>
        <w:jc w:val="center"/>
      </w:pPr>
      <w:r>
        <w:rPr>
          <w:sz w:val="20"/>
        </w:rPr>
        <w:t>Análisis y Diseño de Sistemas II (785) · ECYS, USAC · MBA. MSc. Claudia Rojas de Morán</w:t>
      </w:r>
    </w:p>
    <w:p>
      <w:pPr>
        <w:spacing w:after="40"/>
        <w:jc w:val="center"/>
      </w:pPr>
      <w:r>
        <w:rPr>
          <w:sz w:val="20"/>
        </w:rPr>
        <w:t>Grupo 2 · 13 de octubre de 2026</w:t>
      </w:r>
    </w:p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9475"/>
        <w:gridCol w:w="4061"/>
      </w:tblGrid>
      <w:tr>
        <w:trPr>
          <w:tblHeader w:val="true"/>
        </w:trPr>
        <w:tc>
          <w:tcPr>
            <w:tcW w:type="dxa" w:w="947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20"/>
              </w:rPr>
              <w:t>Integrante</w:t>
            </w:r>
          </w:p>
        </w:tc>
        <w:tc>
          <w:tcPr>
            <w:tcW w:type="dxa" w:w="406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20"/>
              </w:rPr>
              <w:t>Carné</w:t>
            </w:r>
          </w:p>
        </w:tc>
      </w:tr>
      <w:tr>
        <w:trPr>
          <w:cantSplit/>
        </w:trPr>
        <w:tc>
          <w:tcPr>
            <w:tcW w:type="dxa" w:w="947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20"/>
              </w:rPr>
              <w:t>Santiago Julián Barrera Reyes</w:t>
            </w:r>
          </w:p>
        </w:tc>
        <w:tc>
          <w:tcPr>
            <w:tcW w:type="dxa" w:w="406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201905884</w:t>
            </w:r>
          </w:p>
        </w:tc>
      </w:tr>
      <w:tr>
        <w:trPr>
          <w:cantSplit/>
        </w:trPr>
        <w:tc>
          <w:tcPr>
            <w:tcW w:type="dxa" w:w="947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20"/>
              </w:rPr>
              <w:t>Jemima Solmaira Chavajay Quiejú</w:t>
            </w:r>
          </w:p>
        </w:tc>
        <w:tc>
          <w:tcPr>
            <w:tcW w:type="dxa" w:w="406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201801521</w:t>
            </w:r>
          </w:p>
        </w:tc>
      </w:tr>
      <w:tr>
        <w:trPr>
          <w:cantSplit/>
        </w:trPr>
        <w:tc>
          <w:tcPr>
            <w:tcW w:type="dxa" w:w="947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Elías Abraham Vasquez Soto</w:t>
            </w:r>
          </w:p>
        </w:tc>
        <w:tc>
          <w:tcPr>
            <w:tcW w:type="dxa" w:w="406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201900131</w:t>
            </w:r>
          </w:p>
        </w:tc>
      </w:tr>
      <w:tr>
        <w:trPr>
          <w:cantSplit/>
        </w:trPr>
        <w:tc>
          <w:tcPr>
            <w:tcW w:type="dxa" w:w="947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Byron Josué Par Rancho</w:t>
            </w:r>
          </w:p>
        </w:tc>
        <w:tc>
          <w:tcPr>
            <w:tcW w:type="dxa" w:w="406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201701078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Índice y correspondencia con la rúbrica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812"/>
        <w:gridCol w:w="9475"/>
        <w:gridCol w:w="1083"/>
        <w:gridCol w:w="2166"/>
      </w:tblGrid>
      <w:tr>
        <w:trPr>
          <w:tblHeader w:val="true"/>
        </w:trPr>
        <w:tc>
          <w:tcPr>
            <w:tcW w:type="dxa" w:w="8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947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20"/>
              </w:rPr>
              <w:t>Criterio de la rúbrica</w:t>
            </w:r>
          </w:p>
        </w:tc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20"/>
              </w:rPr>
              <w:t>Pts</w:t>
            </w:r>
          </w:p>
        </w:tc>
        <w:tc>
          <w:tcPr>
            <w:tcW w:type="dxa" w:w="2166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20"/>
              </w:rPr>
              <w:t>Sección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947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20"/>
              </w:rPr>
              <w:t>Caso de negocio: diagrama de contexto, CDU core y CDU primera descomposición</w:t>
            </w: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2166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§1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947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20"/>
              </w:rPr>
              <w:t>Identificación de stakeholders</w:t>
            </w: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2166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§2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947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Drivers RF, de atributos de calidad y de restricción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2166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§3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947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Matrices de trazabilidad acopladas a los criterios 1, 2 y 3 (cuatro)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2166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§4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947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Estilos arquitectónicos, diagrama de bloques y diagrama de despliegue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2166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§5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947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Drivers de calidad y de restricción en los pasos para definir la arquitectura, y modelo de calidad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2166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§6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</w:p>
        </w:tc>
        <w:tc>
          <w:tcPr>
            <w:tcW w:type="dxa" w:w="947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20"/>
              </w:rPr>
              <w:t>Total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/>
                <w:i w:val="0"/>
                <w:sz w:val="20"/>
              </w:rPr>
              <w:t>100</w:t>
            </w:r>
          </w:p>
        </w:tc>
        <w:tc>
          <w:tcPr>
            <w:tcW w:type="dxa" w:w="2166"/>
          </w:tcPr>
          <w:p>
            <w:pPr>
              <w:keepNext w:val="0"/>
              <w:spacing w:after="20"/>
              <w:jc w:val="center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Declaraciones que condicionan todo el documento</w:t>
      </w:r>
    </w:p>
    <w:p>
      <w:pPr>
        <w:spacing w:after="60"/>
        <w:ind w:left="432"/>
      </w:pPr>
      <w:r>
        <w:rPr>
          <w:b/>
          <w:i w:val="0"/>
          <w:sz w:val="20"/>
        </w:rPr>
        <w:t>Frontera del negocio</w:t>
      </w:r>
    </w:p>
    <w:p>
      <w:pPr>
        <w:spacing w:after="60"/>
        <w:ind w:left="432"/>
      </w:pPr>
      <w:r>
        <w:rPr>
          <w:b/>
          <w:i w:val="0"/>
          <w:sz w:val="19"/>
        </w:rPr>
        <w:t>El negocio</w:t>
      </w:r>
      <w:r>
        <w:rPr>
          <w:b w:val="0"/>
          <w:i w:val="0"/>
          <w:sz w:val="19"/>
        </w:rPr>
        <w:t xml:space="preserve"> es la </w:t>
      </w:r>
      <w:r>
        <w:rPr>
          <w:b/>
          <w:i w:val="0"/>
          <w:sz w:val="19"/>
        </w:rPr>
        <w:t>gestión de suministros y compras de Harley-Davidson</w:t>
      </w:r>
      <w:r>
        <w:rPr>
          <w:b w:val="0"/>
          <w:i w:val="0"/>
          <w:sz w:val="19"/>
        </w:rPr>
        <w:t xml:space="preserve">: el ámbito que el propio caso dibuja en su anexo 6a. No es la empresa entera, y </w:t>
      </w:r>
      <w:r>
        <w:rPr>
          <w:b/>
          <w:i w:val="0"/>
          <w:sz w:val="19"/>
        </w:rPr>
        <w:t>no es el concurso de proveedores de software</w:t>
      </w:r>
      <w:r>
        <w:rPr>
          <w:b w:val="0"/>
          <w:i w:val="0"/>
          <w:sz w:val="19"/>
        </w:rPr>
        <w:t xml:space="preserve"> que da título al caso: ese relato es la fuente de los stakeholders, los requisitos y las restricciones.</w:t>
      </w:r>
    </w:p>
    <w:p>
      <w:pPr>
        <w:spacing w:after="60"/>
        <w:ind w:left="432"/>
      </w:pPr>
      <w:r>
        <w:rPr>
          <w:b/>
          <w:i w:val="0"/>
          <w:sz w:val="19"/>
        </w:rPr>
        <w:t>Consecuencia:</w:t>
      </w:r>
      <w:r>
        <w:rPr>
          <w:b w:val="0"/>
          <w:i w:val="0"/>
          <w:sz w:val="19"/>
        </w:rPr>
        <w:t xml:space="preserve"> quienes ejecutan las compras (compradores, dirección de compras, recepcionistas) son </w:t>
      </w:r>
      <w:r>
        <w:rPr>
          <w:b/>
          <w:i w:val="0"/>
          <w:sz w:val="19"/>
        </w:rPr>
        <w:t>trabajadores del negocio</w:t>
      </w:r>
      <w:r>
        <w:rPr>
          <w:b w:val="0"/>
          <w:i w:val="0"/>
          <w:sz w:val="19"/>
        </w:rPr>
        <w:t xml:space="preserve">. Son </w:t>
      </w:r>
      <w:r>
        <w:rPr>
          <w:b/>
          <w:i w:val="0"/>
          <w:sz w:val="19"/>
        </w:rPr>
        <w:t>actores</w:t>
      </w:r>
      <w:r>
        <w:rPr>
          <w:b w:val="0"/>
          <w:i w:val="0"/>
          <w:sz w:val="19"/>
        </w:rPr>
        <w:t xml:space="preserve"> las entidades de afuera: el proveedor y las </w:t>
      </w:r>
      <w:r>
        <w:rPr>
          <w:b/>
          <w:i w:val="0"/>
          <w:sz w:val="19"/>
        </w:rPr>
        <w:t>áreas</w:t>
      </w:r>
      <w:r>
        <w:rPr>
          <w:b w:val="0"/>
          <w:i w:val="0"/>
          <w:sz w:val="19"/>
        </w:rPr>
        <w:t xml:space="preserve"> que piden, reciben y pagan. Regla de clase aplicada: las áreas son actores, las personas son trabajadores.</w:t>
      </w:r>
    </w:p>
    <w:p>
      <w:pPr>
        <w:spacing w:after="200"/>
        <w:ind w:left="432"/>
      </w:pPr>
      <w:r>
        <w:rPr>
          <w:b/>
          <w:i w:val="0"/>
          <w:sz w:val="19"/>
        </w:rPr>
        <w:t>Cambio de lente:</w:t>
      </w:r>
      <w:r>
        <w:rPr>
          <w:b w:val="0"/>
          <w:i w:val="0"/>
          <w:sz w:val="19"/>
        </w:rPr>
        <w:t xml:space="preserve"> frente al </w:t>
      </w:r>
      <w:r>
        <w:rPr>
          <w:b/>
          <w:i w:val="0"/>
          <w:sz w:val="19"/>
        </w:rPr>
        <w:t>software</w:t>
      </w:r>
      <w:r>
        <w:rPr>
          <w:b w:val="0"/>
          <w:i w:val="0"/>
          <w:sz w:val="19"/>
        </w:rPr>
        <w:t xml:space="preserve"> SiL'K, esos mismos trabajadores pasan a ser entidades externas. Por eso el comprador no aparece en el core (§1.2) y sí en el diagrama de contexto (§1.1) y en los CDU expandidos (§3.1).</w:t>
      </w:r>
    </w:p>
    <w:p>
      <w:pPr>
        <w:spacing w:after="60"/>
        <w:ind w:left="432"/>
      </w:pPr>
      <w:r>
        <w:rPr>
          <w:b/>
          <w:i w:val="0"/>
          <w:sz w:val="20"/>
        </w:rPr>
        <w:t>Cómo se leyó la consigna</w:t>
      </w:r>
    </w:p>
    <w:p>
      <w:pPr>
        <w:spacing w:after="60"/>
        <w:ind w:left="432"/>
      </w:pPr>
      <w:r>
        <w:rPr>
          <w:b/>
          <w:i w:val="0"/>
          <w:sz w:val="19"/>
        </w:rPr>
        <w:t>«Traer el caso al presente»:</w:t>
      </w:r>
      <w:r>
        <w:rPr>
          <w:b w:val="0"/>
          <w:i w:val="0"/>
          <w:sz w:val="19"/>
        </w:rPr>
        <w:t xml:space="preserve"> se actualiza la </w:t>
      </w:r>
      <w:r>
        <w:rPr>
          <w:b/>
          <w:i w:val="0"/>
          <w:sz w:val="19"/>
        </w:rPr>
        <w:t>tecnología</w:t>
      </w:r>
      <w:r>
        <w:rPr>
          <w:b w:val="0"/>
          <w:i w:val="0"/>
          <w:sz w:val="19"/>
        </w:rPr>
        <w:t xml:space="preserve"> (la «red Internet de Suministros» de 1998 pasa a ser portal web, API y nube). Los </w:t>
      </w:r>
      <w:r>
        <w:rPr>
          <w:b/>
          <w:i w:val="0"/>
          <w:sz w:val="19"/>
        </w:rPr>
        <w:t>hechos</w:t>
      </w:r>
      <w:r>
        <w:rPr>
          <w:b w:val="0"/>
          <w:i w:val="0"/>
          <w:sz w:val="19"/>
        </w:rPr>
        <w:t xml:space="preserve"> del caso (organización, ámbito, fases, cifras) no se tocan. Lo que el caso no dice y hace falta va rotulado como </w:t>
      </w:r>
      <w:r>
        <w:rPr>
          <w:b/>
          <w:i w:val="0"/>
          <w:sz w:val="19"/>
        </w:rPr>
        <w:t>supuesto</w:t>
      </w:r>
      <w:r>
        <w:rPr>
          <w:b w:val="0"/>
          <w:i w:val="0"/>
          <w:sz w:val="19"/>
        </w:rPr>
        <w:t>.</w:t>
      </w:r>
    </w:p>
    <w:p>
      <w:pPr>
        <w:spacing w:after="60"/>
        <w:ind w:left="432"/>
      </w:pPr>
      <w:r>
        <w:rPr>
          <w:b/>
          <w:i w:val="0"/>
          <w:sz w:val="19"/>
        </w:rPr>
        <w:t>«Los pasos para definir la arquitectura»:</w:t>
      </w:r>
      <w:r>
        <w:rPr>
          <w:b w:val="0"/>
          <w:i w:val="0"/>
          <w:sz w:val="19"/>
        </w:rPr>
        <w:t xml:space="preserve"> los siete de la lámina de clase </w:t>
      </w:r>
      <w:r>
        <w:rPr>
          <w:b w:val="0"/>
          <w:i/>
          <w:sz w:val="19"/>
        </w:rPr>
        <w:t>Pasos para la definición de una Arquitectura de software</w:t>
      </w:r>
      <w:r>
        <w:rPr>
          <w:b w:val="0"/>
          <w:i w:val="0"/>
          <w:sz w:val="19"/>
        </w:rPr>
        <w:t xml:space="preserve"> (§6.1).</w:t>
      </w:r>
    </w:p>
    <w:p>
      <w:pPr>
        <w:spacing w:after="60"/>
        <w:ind w:left="432"/>
      </w:pPr>
      <w:r>
        <w:rPr>
          <w:b/>
          <w:i w:val="0"/>
          <w:sz w:val="19"/>
        </w:rPr>
        <w:t>«EaC»:</w:t>
      </w:r>
      <w:r>
        <w:rPr>
          <w:b w:val="0"/>
          <w:i w:val="0"/>
          <w:sz w:val="19"/>
        </w:rPr>
        <w:t xml:space="preserve"> los </w:t>
      </w:r>
      <w:r>
        <w:rPr>
          <w:b/>
          <w:i w:val="0"/>
          <w:sz w:val="19"/>
        </w:rPr>
        <w:t>escenarios de atributos de calidad</w:t>
      </w:r>
      <w:r>
        <w:rPr>
          <w:b w:val="0"/>
          <w:i w:val="0"/>
          <w:sz w:val="19"/>
        </w:rPr>
        <w:t>, con identificador EAC-nn, seis partes y prioridad en pares, tal como en el ejemplo de clase del Sistema de Transporte (§3.2).</w:t>
      </w:r>
    </w:p>
    <w:p>
      <w:pPr>
        <w:spacing w:after="60"/>
        <w:ind w:left="432"/>
      </w:pPr>
      <w:r>
        <w:rPr>
          <w:b/>
          <w:i w:val="0"/>
          <w:sz w:val="19"/>
        </w:rPr>
        <w:t>«Modelo de calidad»:</w:t>
      </w:r>
      <w:r>
        <w:rPr>
          <w:b w:val="0"/>
          <w:i w:val="0"/>
          <w:sz w:val="19"/>
        </w:rPr>
        <w:t xml:space="preserve"> según la indicación de la catedrática, el pensamiento ISO como </w:t>
      </w:r>
      <w:r>
        <w:rPr>
          <w:b/>
          <w:i w:val="0"/>
          <w:sz w:val="19"/>
        </w:rPr>
        <w:t>familia de normas</w:t>
      </w:r>
      <w:r>
        <w:rPr>
          <w:b w:val="0"/>
          <w:i w:val="0"/>
          <w:sz w:val="19"/>
        </w:rPr>
        <w:t>, con ISO/IEC 9126 y la serie ISO/IEC 25000 como normas concretas (§6.4).</w:t>
      </w:r>
    </w:p>
    <w:p>
      <w:pPr>
        <w:spacing w:after="200"/>
        <w:ind w:left="432"/>
      </w:pPr>
      <w:r>
        <w:rPr>
          <w:b/>
          <w:i w:val="0"/>
          <w:sz w:val="19"/>
        </w:rPr>
        <w:t>Identificadores:</w:t>
      </w:r>
      <w:r>
        <w:rPr>
          <w:b w:val="0"/>
          <w:i w:val="0"/>
          <w:sz w:val="19"/>
        </w:rPr>
        <w:t xml:space="preserve"> STK-nn stakeholder · CDU-nn proceso de negocio · CU-nn caso de uso del sistema · RF-nn driver funcional · EAC-nn escenario de atributo de calidad (driver de calidad) · RE-nn driver de restricción.</w:t>
      </w:r>
    </w:p>
    <w:p>
      <w:pPr>
        <w:pStyle w:val="Heading1"/>
      </w:pPr>
      <w:r>
        <w:rPr>
          <w:color w:val="000000"/>
        </w:rPr>
      </w:r>
      <w:r>
        <w:rPr>
          <w:b/>
          <w:i w:val="0"/>
          <w:color w:val="000000"/>
        </w:rPr>
        <w:t>1. Caso de negocio (criterio 1, 15 pts)</w:t>
      </w:r>
    </w:p>
    <w:p>
      <w:pPr>
        <w:keepNext w:val="0"/>
      </w:pPr>
      <w:r>
        <w:rPr>
          <w:b w:val="0"/>
          <w:i w:val="0"/>
          <w:sz w:val="21"/>
        </w:rPr>
        <w:t xml:space="preserve">Es el </w:t>
      </w:r>
      <w:r>
        <w:rPr>
          <w:b/>
          <w:i w:val="0"/>
          <w:sz w:val="21"/>
        </w:rPr>
        <w:t>paso 0</w:t>
      </w:r>
      <w:r>
        <w:rPr>
          <w:b w:val="0"/>
          <w:i w:val="0"/>
          <w:sz w:val="21"/>
        </w:rPr>
        <w:t xml:space="preserve"> del método de clase: antes de diseñar, delimitar el negocio y lo que el producto intercambia con su entorno. Tres diagramas, de afuera hacia adentro.</w:t>
      </w:r>
    </w:p>
    <w:p>
      <w:pPr>
        <w:keepNext w:val="0"/>
      </w:pPr>
      <w:r>
        <w:rPr>
          <w:b w:val="0"/>
          <w:i w:val="0"/>
          <w:sz w:val="21"/>
        </w:rPr>
        <w:t xml:space="preserve">La notación es la de clase: en el diagrama de contexto, la </w:t>
      </w:r>
      <w:r>
        <w:rPr>
          <w:b/>
          <w:i w:val="0"/>
          <w:sz w:val="21"/>
        </w:rPr>
        <w:t>elipse</w:t>
      </w:r>
      <w:r>
        <w:rPr>
          <w:b w:val="0"/>
          <w:i w:val="0"/>
          <w:sz w:val="21"/>
        </w:rPr>
        <w:t xml:space="preserve"> es El Producto, cada </w:t>
      </w:r>
      <w:r>
        <w:rPr>
          <w:b/>
          <w:i w:val="0"/>
          <w:sz w:val="21"/>
        </w:rPr>
        <w:t>rectángulo</w:t>
      </w:r>
      <w:r>
        <w:rPr>
          <w:b w:val="0"/>
          <w:i w:val="0"/>
          <w:sz w:val="21"/>
        </w:rPr>
        <w:t xml:space="preserve"> es una entidad o agente externo y cada </w:t>
      </w:r>
      <w:r>
        <w:rPr>
          <w:b/>
          <w:i w:val="0"/>
          <w:sz w:val="21"/>
        </w:rPr>
        <w:t>flecha</w:t>
      </w:r>
      <w:r>
        <w:rPr>
          <w:b w:val="0"/>
          <w:i w:val="0"/>
          <w:sz w:val="21"/>
        </w:rPr>
        <w:t xml:space="preserve"> es un flujo con nombre.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1.1 Diagrama de contexto</w:t>
      </w:r>
    </w:p>
    <w:p>
      <w:pPr>
        <w:keepNext w:val="0"/>
      </w:pPr>
      <w:r>
        <w:rPr>
          <w:b/>
          <w:i w:val="0"/>
          <w:sz w:val="21"/>
        </w:rPr>
        <w:t>El Producto</w:t>
      </w:r>
      <w:r>
        <w:rPr>
          <w:b w:val="0"/>
          <w:i w:val="0"/>
          <w:sz w:val="21"/>
        </w:rPr>
        <w:t xml:space="preserve"> es el software SiL'K. Las entidades son todo lo que intercambia información con él: personas, áreas y sistemas. Cada flecha es un </w:t>
      </w:r>
      <w:r>
        <w:rPr>
          <w:b w:val="0"/>
          <w:i/>
          <w:sz w:val="21"/>
        </w:rPr>
        <w:t>streamline</w:t>
      </w:r>
      <w:r>
        <w:rPr>
          <w:b w:val="0"/>
          <w:i w:val="0"/>
          <w:sz w:val="21"/>
        </w:rPr>
        <w:t xml:space="preserve"> con nombre, en sustantivo: son </w:t>
      </w:r>
      <w:r>
        <w:rPr>
          <w:b/>
          <w:i w:val="0"/>
          <w:sz w:val="21"/>
        </w:rPr>
        <w:t>19</w:t>
      </w:r>
      <w:r>
        <w:rPr>
          <w:b w:val="0"/>
          <w:i w:val="0"/>
          <w:sz w:val="21"/>
        </w:rPr>
        <w:t>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4873"/>
        <w:gridCol w:w="4332"/>
        <w:gridCol w:w="4332"/>
      </w:tblGrid>
      <w:tr>
        <w:trPr>
          <w:tblHeader w:val="true"/>
        </w:trPr>
        <w:tc>
          <w:tcPr>
            <w:tcW w:type="dxa" w:w="487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Entidad</w:t>
            </w:r>
          </w:p>
        </w:tc>
        <w:tc>
          <w:tcPr>
            <w:tcW w:type="dxa" w:w="433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Entrega a SiL'K</w:t>
            </w:r>
          </w:p>
        </w:tc>
        <w:tc>
          <w:tcPr>
            <w:tcW w:type="dxa" w:w="433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Recibe de SiL'K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Empleado solicitante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Solicitud de pedido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Estado de la solicitud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Responsable de área (aprobador)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Decisión de aprobación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Solicitud por aprobar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Dirección de Compras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Contratos y reglas de compra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Gasto consolidado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Comprador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Pedido de compra y evaluación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Propuestas y alertas de plazo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Ingeniería (Centro de Desarrollo de Productos)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Plan y coste objetivo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Preparación de las piezas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Suministrador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Confirmación, envío y factura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Pedido, demanda y resultados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Recepción y Logística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Recepción de material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Entregas previstas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Sistema MRP/DRP de planta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Requisitos de material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Pedidos en firme y fechas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Sistema de Cuentas de Acreedores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Estado del pago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Factura conciliada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Sistemas de compras locales (en retiro)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Histórico de pedidos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Ninguno: solo emiten, se migran y se apagan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503920" cy="5678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o-h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678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1. Diagrama de contexto de SiL'K: diez entidades y diecinueve flujos.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1.2 CDU de alto nivel (core)</w:t>
      </w:r>
    </w:p>
    <w:p>
      <w:pPr>
        <w:keepNext w:val="0"/>
      </w:pPr>
      <w:r>
        <w:rPr>
          <w:b w:val="0"/>
          <w:i w:val="0"/>
          <w:sz w:val="21"/>
        </w:rPr>
        <w:t xml:space="preserve">Una sola elipse con el nombre del negocio completo y todos sus actores alrededor. Las asociaciones van </w:t>
      </w:r>
      <w:r>
        <w:rPr>
          <w:b/>
          <w:i w:val="0"/>
          <w:sz w:val="21"/>
        </w:rPr>
        <w:t>sin punta</w:t>
      </w:r>
      <w:r>
        <w:rPr>
          <w:b w:val="0"/>
          <w:i w:val="0"/>
          <w:sz w:val="21"/>
        </w:rPr>
        <w:t>: la comunicación se inicia en los dos sentidos.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498079" cy="4544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-core-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45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2. CDU core: el negocio y sus seis actores.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3249"/>
        <w:gridCol w:w="5956"/>
        <w:gridCol w:w="4332"/>
      </w:tblGrid>
      <w:tr>
        <w:trPr>
          <w:tblHeader w:val="true"/>
        </w:trPr>
        <w:tc>
          <w:tcPr>
            <w:tcW w:type="dxa" w:w="324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 del negocio</w:t>
            </w:r>
          </w:p>
        </w:tc>
        <w:tc>
          <w:tcPr>
            <w:tcW w:type="dxa" w:w="595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Por qué está afuera</w:t>
            </w:r>
          </w:p>
        </w:tc>
        <w:tc>
          <w:tcPr>
            <w:tcW w:type="dxa" w:w="433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Qué obtiene del negocio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Proveedor (suministrador)</w:t>
            </w:r>
          </w:p>
        </w:tc>
        <w:tc>
          <w:tcPr>
            <w:tcW w:type="dxa" w:w="595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Otra empresa. El caso lo llama «una extensión de nosotros mismos», pero no pertenece a Harley-Davidson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Pedidos, demanda prevista, sus resultados y el pago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Áreas solicitantes</w:t>
            </w:r>
          </w:p>
        </w:tc>
        <w:tc>
          <w:tcPr>
            <w:tcW w:type="dxa" w:w="595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Los más de 2.000 empleados que generan solicitudes no son de Compras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El material o servicio pedido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Fabricación (centros de producción)</w:t>
            </w:r>
          </w:p>
        </w:tc>
        <w:tc>
          <w:tcPr>
            <w:tcW w:type="dxa" w:w="595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Compras le sirve; su planificación (MRP/DRP) origina la demanda de piezas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Piezas a tiempo para no parar la línea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Desarrollo de Productos (Ingeniería)</w:t>
            </w:r>
          </w:p>
        </w:tc>
        <w:tc>
          <w:tcPr>
            <w:tcW w:type="dxa" w:w="595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Área distinta de Compras, con la que comparte los proyectos de nuevos modelos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Piezas y suministradores listos para el lanzamiento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Logística</w:t>
            </w:r>
          </w:p>
        </w:tc>
        <w:tc>
          <w:tcPr>
            <w:tcW w:type="dxa" w:w="595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Mueve el material del almacén del suministrador al de Harley-Davidson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Entregas previstas y recepciones registradas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Cuentas de Acreedores Comerciales</w:t>
            </w:r>
          </w:p>
        </w:tc>
        <w:tc>
          <w:tcPr>
            <w:tcW w:type="dxa" w:w="595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Área de Finanzas que paga; fue encuestada como parte implicada externa a Compras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Facturas conciliadas para pagar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21"/>
        </w:rPr>
        <w:t>Trabajadores del negocio</w:t>
      </w:r>
      <w:r>
        <w:rPr>
          <w:b w:val="0"/>
          <w:i w:val="0"/>
          <w:sz w:val="21"/>
        </w:rPr>
        <w:t xml:space="preserve"> (dentro de la frontera, no son actores): comprador, comprador de desarrollo, dirección de compras, planificación y control de compras, y recepcionista de almacén.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1.3 CDU primera descomposición</w:t>
      </w:r>
    </w:p>
    <w:p>
      <w:pPr>
        <w:keepNext w:val="0"/>
      </w:pPr>
      <w:r>
        <w:rPr>
          <w:b w:val="0"/>
          <w:i w:val="0"/>
          <w:sz w:val="21"/>
        </w:rPr>
        <w:t xml:space="preserve">Un solo diagrama, con </w:t>
      </w:r>
      <w:r>
        <w:rPr>
          <w:b/>
          <w:i w:val="0"/>
          <w:sz w:val="21"/>
        </w:rPr>
        <w:t>cuatro procesos</w:t>
      </w:r>
      <w:r>
        <w:rPr>
          <w:b w:val="0"/>
          <w:i w:val="0"/>
          <w:sz w:val="21"/>
        </w:rPr>
        <w:t xml:space="preserve"> y el </w:t>
      </w:r>
      <w:r>
        <w:rPr>
          <w:b/>
          <w:i w:val="0"/>
          <w:sz w:val="21"/>
        </w:rPr>
        <w:t>mismo juego de actores</w:t>
      </w:r>
      <w:r>
        <w:rPr>
          <w:b w:val="0"/>
          <w:i w:val="0"/>
          <w:sz w:val="21"/>
        </w:rPr>
        <w:t xml:space="preserve"> que el core: ninguno desaparece. Los procesos salen de las tres fases del anexo 6b; la fase 1 se partió en dos porque sus actores son distintos (quien pide no es quien recibe ni quien paga).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3655"/>
        <w:gridCol w:w="3384"/>
        <w:gridCol w:w="2978"/>
        <w:gridCol w:w="3519"/>
      </w:tblGrid>
      <w:tr>
        <w:trPr>
          <w:tblHeader w:val="true"/>
        </w:trPr>
        <w:tc>
          <w:tcPr>
            <w:tcW w:type="dxa" w:w="365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Proceso</w:t>
            </w:r>
          </w:p>
        </w:tc>
        <w:tc>
          <w:tcPr>
            <w:tcW w:type="dxa" w:w="338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Origen en el caso</w:t>
            </w:r>
          </w:p>
        </w:tc>
        <w:tc>
          <w:tcPr>
            <w:tcW w:type="dxa" w:w="297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351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Resultado de valor</w:t>
            </w:r>
          </w:p>
        </w:tc>
      </w:tr>
      <w:tr>
        <w:trPr>
          <w:cantSplit/>
        </w:trPr>
        <w:tc>
          <w:tcPr>
            <w:tcW w:type="dxa" w:w="365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CDU-01</w:t>
            </w:r>
            <w:r>
              <w:rPr>
                <w:b w:val="0"/>
                <w:i w:val="0"/>
                <w:sz w:val="18"/>
              </w:rPr>
              <w:t xml:space="preserve"> Requisición y emisión del pedido de compra</w:t>
            </w:r>
          </w:p>
        </w:tc>
        <w:tc>
          <w:tcPr>
            <w:tcW w:type="dxa" w:w="338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anexo 6b, fase 1 a-b · anexo 6a: Requisitos, Realización de pedidos</w:t>
            </w:r>
          </w:p>
        </w:tc>
        <w:tc>
          <w:tcPr>
            <w:tcW w:type="dxa" w:w="297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Áreas solicitantes · Fabricación · Proveedor</w:t>
            </w:r>
          </w:p>
        </w:tc>
        <w:tc>
          <w:tcPr>
            <w:tcW w:type="dxa" w:w="351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Un pedido en firme en manos del suministrador</w:t>
            </w:r>
          </w:p>
        </w:tc>
      </w:tr>
      <w:tr>
        <w:trPr>
          <w:cantSplit/>
        </w:trPr>
        <w:tc>
          <w:tcPr>
            <w:tcW w:type="dxa" w:w="365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CDU-02</w:t>
            </w:r>
            <w:r>
              <w:rPr>
                <w:b w:val="0"/>
                <w:i w:val="0"/>
                <w:sz w:val="18"/>
              </w:rPr>
              <w:t xml:space="preserve"> Recepción, seguimiento y pago al suministrador</w:t>
            </w:r>
          </w:p>
        </w:tc>
        <w:tc>
          <w:tcPr>
            <w:tcW w:type="dxa" w:w="338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anexo 6b, fase 1 c-d · anexo 6a: Logística de entrada, Recepción</w:t>
            </w:r>
          </w:p>
        </w:tc>
        <w:tc>
          <w:tcPr>
            <w:tcW w:type="dxa" w:w="297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Proveedor · Logística · Cuentas de Acreedores</w:t>
            </w:r>
          </w:p>
        </w:tc>
        <w:tc>
          <w:tcPr>
            <w:tcW w:type="dxa" w:w="351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Material recibido y factura pagada sin discrepancias</w:t>
            </w:r>
          </w:p>
        </w:tc>
      </w:tr>
      <w:tr>
        <w:trPr>
          <w:cantSplit/>
        </w:trPr>
        <w:tc>
          <w:tcPr>
            <w:tcW w:type="dxa" w:w="365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CDU-03</w:t>
            </w:r>
            <w:r>
              <w:rPr>
                <w:b w:val="0"/>
                <w:i w:val="0"/>
                <w:sz w:val="18"/>
              </w:rPr>
              <w:t xml:space="preserve"> Gestión de la información y la relación con suministradores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2</w:t>
            </w:r>
          </w:p>
        </w:tc>
        <w:tc>
          <w:tcPr>
            <w:tcW w:type="dxa" w:w="297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Proveedor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Un suministrador evaluado e informado, tratado como socio</w:t>
            </w:r>
          </w:p>
        </w:tc>
      </w:tr>
      <w:tr>
        <w:trPr>
          <w:cantSplit/>
        </w:trPr>
        <w:tc>
          <w:tcPr>
            <w:tcW w:type="dxa" w:w="365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CDU-04</w:t>
            </w:r>
            <w:r>
              <w:rPr>
                <w:b w:val="0"/>
                <w:i w:val="0"/>
                <w:sz w:val="18"/>
              </w:rPr>
              <w:t xml:space="preserve"> Seguimiento de compras en proyectos de nuevos productos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3 · anexo 6a: Desarrollo</w:t>
            </w:r>
          </w:p>
        </w:tc>
        <w:tc>
          <w:tcPr>
            <w:tcW w:type="dxa" w:w="297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Desarrollo de Productos · Proveedor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Piezas y suministradores listos en coste y plazo para el lanzamiento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949440" cy="5047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-descomposicion-h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04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3. Primera descomposición: cuatro procesos de negocio.</w:t>
      </w:r>
    </w:p>
    <w:p>
      <w:pPr>
        <w:spacing w:after="60"/>
        <w:ind w:left="432"/>
      </w:pPr>
      <w:r>
        <w:rPr>
          <w:b/>
          <w:i w:val="0"/>
          <w:sz w:val="20"/>
        </w:rPr>
        <w:t>Lo que quedó fuera del negocio, y por qué</w:t>
      </w:r>
    </w:p>
    <w:p>
      <w:pPr>
        <w:spacing w:after="200"/>
        <w:ind w:left="432"/>
      </w:pPr>
      <w:r>
        <w:rPr>
          <w:b w:val="0"/>
          <w:i w:val="0"/>
          <w:sz w:val="19"/>
        </w:rPr>
        <w:t xml:space="preserve">El anexo 6a marca tres actividades como «no entra dentro del ámbito del proyecto SiL'K»: </w:t>
      </w:r>
      <w:r>
        <w:rPr>
          <w:b/>
          <w:i w:val="0"/>
          <w:sz w:val="19"/>
        </w:rPr>
        <w:t>Pedido / Programación</w:t>
      </w:r>
      <w:r>
        <w:rPr>
          <w:b w:val="0"/>
          <w:i w:val="0"/>
          <w:sz w:val="19"/>
        </w:rPr>
        <w:t xml:space="preserve"> (pedidos de los clientes), </w:t>
      </w:r>
      <w:r>
        <w:rPr>
          <w:b/>
          <w:i w:val="0"/>
          <w:sz w:val="19"/>
        </w:rPr>
        <w:t>Movimiento interno de materiales</w:t>
      </w:r>
      <w:r>
        <w:rPr>
          <w:b w:val="0"/>
          <w:i w:val="0"/>
          <w:sz w:val="19"/>
        </w:rPr>
        <w:t xml:space="preserve"> y </w:t>
      </w:r>
      <w:r>
        <w:rPr>
          <w:b/>
          <w:i w:val="0"/>
          <w:sz w:val="19"/>
        </w:rPr>
        <w:t>Distribución</w:t>
      </w:r>
      <w:r>
        <w:rPr>
          <w:b w:val="0"/>
          <w:i w:val="0"/>
          <w:sz w:val="19"/>
        </w:rPr>
        <w:t xml:space="preserve"> (producto acabado al cliente). No se modelan. Por eso el </w:t>
      </w:r>
      <w:r>
        <w:rPr>
          <w:b/>
          <w:i w:val="0"/>
          <w:sz w:val="19"/>
        </w:rPr>
        <w:t>cliente</w:t>
      </w:r>
      <w:r>
        <w:rPr>
          <w:b w:val="0"/>
          <w:i w:val="0"/>
          <w:sz w:val="19"/>
        </w:rPr>
        <w:t xml:space="preserve"> y el </w:t>
      </w:r>
      <w:r>
        <w:rPr>
          <w:b/>
          <w:i w:val="0"/>
          <w:sz w:val="19"/>
        </w:rPr>
        <w:t>concesionario</w:t>
      </w:r>
      <w:r>
        <w:rPr>
          <w:b w:val="0"/>
          <w:i w:val="0"/>
          <w:sz w:val="19"/>
        </w:rPr>
        <w:t xml:space="preserve"> no son actores de este negocio.</w:t>
      </w:r>
    </w:p>
    <w:p>
      <w:pPr>
        <w:pStyle w:val="Heading1"/>
        <w:pageBreakBefore/>
      </w:pPr>
      <w:r>
        <w:rPr>
          <w:color w:val="000000"/>
        </w:rPr>
      </w:r>
      <w:r>
        <w:rPr>
          <w:b/>
          <w:i w:val="0"/>
          <w:color w:val="000000"/>
        </w:rPr>
        <w:t>2. Identificación de stakeholders (criterio 2, 10 pts)</w:t>
      </w:r>
    </w:p>
    <w:p>
      <w:pPr>
        <w:keepNext w:val="0"/>
      </w:pPr>
      <w:r>
        <w:rPr>
          <w:b/>
          <w:i w:val="0"/>
          <w:sz w:val="21"/>
        </w:rPr>
        <w:t>Stakeholder</w:t>
      </w:r>
      <w:r>
        <w:rPr>
          <w:b w:val="0"/>
          <w:i w:val="0"/>
          <w:sz w:val="21"/>
        </w:rPr>
        <w:t xml:space="preserve"> es toda persona, grupo u organización con un interés en el sistema. Se identificaron con cuatro barridos sobre el caso: el anexo 4 (promotores, comité y equipo), los grupos de gobierno (págs. 3, 4 y 9), las partes encuestadas (pág. 8) y los externos. Entra a la lista quien aporta </w:t>
      </w:r>
      <w:r>
        <w:rPr>
          <w:b/>
          <w:i w:val="0"/>
          <w:sz w:val="21"/>
        </w:rPr>
        <w:t>un interés propio</w:t>
      </w:r>
      <w:r>
        <w:rPr>
          <w:b w:val="0"/>
          <w:i w:val="0"/>
          <w:sz w:val="21"/>
        </w:rPr>
        <w:t xml:space="preserve"> que ningún otro trae. El tipo de interés anticipa la clase de driver que aporta en el §3.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812"/>
        <w:gridCol w:w="3384"/>
        <w:gridCol w:w="1489"/>
        <w:gridCol w:w="1354"/>
        <w:gridCol w:w="5008"/>
        <w:gridCol w:w="1489"/>
      </w:tblGrid>
      <w:tr>
        <w:trPr>
          <w:tblHeader w:val="true"/>
        </w:trPr>
        <w:tc>
          <w:tcPr>
            <w:tcW w:type="dxa" w:w="8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338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Stakeholder</w:t>
            </w:r>
          </w:p>
        </w:tc>
        <w:tc>
          <w:tcPr>
            <w:tcW w:type="dxa" w:w="148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Interés</w:t>
            </w:r>
          </w:p>
        </w:tc>
        <w:tc>
          <w:tcPr>
            <w:tcW w:type="dxa" w:w="135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Posición</w:t>
            </w:r>
          </w:p>
        </w:tc>
        <w:tc>
          <w:tcPr>
            <w:tcW w:type="dxa" w:w="500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Interés propio (concern)</w:t>
            </w:r>
          </w:p>
        </w:tc>
        <w:tc>
          <w:tcPr>
            <w:tcW w:type="dxa" w:w="148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Fuente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STK-01</w:t>
            </w:r>
          </w:p>
        </w:tc>
        <w:tc>
          <w:tcPr>
            <w:tcW w:type="dxa" w:w="338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Garry Berryman, vicepresidente de Gestión de Materiales (promotor)</w:t>
            </w:r>
          </w:p>
        </w:tc>
        <w:tc>
          <w:tcPr>
            <w:tcW w:type="dxa" w:w="14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paga · patrocina</w:t>
            </w:r>
          </w:p>
        </w:tc>
        <w:tc>
          <w:tcPr>
            <w:tcW w:type="dxa" w:w="135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interno</w:t>
            </w:r>
          </w:p>
        </w:tc>
        <w:tc>
          <w:tcPr>
            <w:tcW w:type="dxa" w:w="500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Que la Estrategia de Gestión de Suministros se cumpla: el personal de compras al 70 % en gestión de proveedores y 34 M USD de ahorro en cinco años</w:t>
            </w:r>
          </w:p>
        </w:tc>
        <w:tc>
          <w:tcPr>
            <w:tcW w:type="dxa" w:w="14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págs. 4-7, anexo 4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STK-02</w:t>
            </w:r>
          </w:p>
        </w:tc>
        <w:tc>
          <w:tcPr>
            <w:tcW w:type="dxa" w:w="338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Dave Storm, vicepresidente de Planificación y Servicios de Información (promotor)</w:t>
            </w:r>
          </w:p>
        </w:tc>
        <w:tc>
          <w:tcPr>
            <w:tcW w:type="dxa" w:w="14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paga · patrocina</w:t>
            </w:r>
          </w:p>
        </w:tc>
        <w:tc>
          <w:tcPr>
            <w:tcW w:type="dxa" w:w="135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interno</w:t>
            </w:r>
          </w:p>
        </w:tc>
        <w:tc>
          <w:tcPr>
            <w:tcW w:type="dxa" w:w="500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Que SiL'K encaje en la estrategia de sistemas de toda la compañía y dé una visión consolidada</w:t>
            </w:r>
          </w:p>
        </w:tc>
        <w:tc>
          <w:tcPr>
            <w:tcW w:type="dxa" w:w="14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pág. 3, anexo 4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STK-03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Grupo de Unidad de Compras (PUG)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decide · usa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interno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Un proceso de compras común a los centros y divisiones, y los recursos que cede al proyecto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págs. 4, 7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STK-04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Pat Davidson, directora de Planificación y Control de Compras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usa · dueña del proceso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interno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Planificar y controlar las compras de toda la empresa con datos únicos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1, anexo 4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STK-05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Dave Cotteleer, director del proyecto SiL'K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dirige el proyecto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interno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Una implantación sin riesgos, dentro del ámbito y en tres fases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págs. 9-11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STK-06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Compradores de los centros y divisiones (unas 200 personas: MRO, OE, P&amp;A, Artículos Varios)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usa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interno, trabajador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Dejar de gastar el 85 % del tiempo en tareas no estratégicas: revisar existencias, acelerar pedidos, registrar datos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8, anexo 5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STK-07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Empleados solicitantes (más de 2.000 generan solicitudes de pedido)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usa (ocasional)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interno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Pedir lo que necesitan sin formación previa y saber en qué estado está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8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STK-08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Suministradores estratégicos, Consejo Asesor de Suministradores (16)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usa (externo)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externo, actor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Acceso a sus datos de calidad, costes y plazos y a la demanda prevista; ser tratados como socios, no como vendedores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págs. 5, 10, anexo 3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STK-09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Grupo de Integración de Arquitecturas, Karen Kaminski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regula (técnico)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interno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Que la solución cumpla las normas de hardware y software y sea compatible con la arquitectura existente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págs. 9, 12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STK-10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Dirección de Sistemas del Grupo de Fabricación (Cory Mason, Tom Cullen) y su Círculo de Tecnologías de la Información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decide la inversión · opera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interno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Aprobar la inversión y operar la solución sin afectar a la producción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págs. 3, 6, 12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STK-11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Gestión del Cambio, Julie Anding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acompaña la adopción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interno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Que las 800 personas del público objetivo adopten el nuevo proceso: formación y comunicación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págs. 10, 14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STK-12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Innovación de Procesos, Chuck Braunschweig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diseña el proceso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interno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Un flujo de proceso común, construido sobre las similitudes entre centros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8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STK-13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Cuentas de Acreedores Comerciales (Finanzas)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usa · paga a proveedores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externo, actor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Pagar solo facturas conciliadas con pedido y recepción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8, anexo 6b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STK-14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Logística y recepción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usa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externo, actor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Saber qué llega y cuándo, y registrar la recepción en el muelle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8, anexo 6a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STK-15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Fabricación, centros de producción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usa · depende del resultado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externo, actor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Que las líneas de producción no dejen de funcionar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6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STK-16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Ingeniería, Centro de Desarrollo de Productos y equipos de plataforma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usa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externo, actor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Integrar a Compras y a los suministradores en el desarrollo de nuevos productos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págs. 4-5, anexo 6b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STK-17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Proveedor del software (el finalista elegido)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construye · da soporte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externo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Implantar su paquete sin personalizaciones que no pueda mantener; relación a largo plazo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págs. 11-14, anexo 10</w:t>
            </w:r>
          </w:p>
        </w:tc>
      </w:tr>
    </w:tbl>
    <w:p>
      <w:pPr>
        <w:spacing w:after="40"/>
      </w:pPr>
    </w:p>
    <w:p>
      <w:pPr>
        <w:spacing w:after="60"/>
        <w:ind w:left="432"/>
      </w:pPr>
      <w:r>
        <w:rPr>
          <w:b/>
          <w:i w:val="0"/>
          <w:sz w:val="20"/>
        </w:rPr>
        <w:t>Dos poblaciones con la misma palabra</w:t>
      </w:r>
    </w:p>
    <w:p>
      <w:pPr>
        <w:spacing w:after="200"/>
        <w:ind w:left="432"/>
      </w:pPr>
      <w:r>
        <w:rPr>
          <w:b w:val="0"/>
          <w:i w:val="0"/>
          <w:sz w:val="19"/>
        </w:rPr>
        <w:t xml:space="preserve">La traducción del caso llama «suministrador» tanto a los </w:t>
      </w:r>
      <w:r>
        <w:rPr>
          <w:b/>
          <w:i w:val="0"/>
          <w:sz w:val="19"/>
        </w:rPr>
        <w:t>proveedores de piezas</w:t>
      </w:r>
      <w:r>
        <w:rPr>
          <w:b w:val="0"/>
          <w:i w:val="0"/>
          <w:sz w:val="19"/>
        </w:rPr>
        <w:t xml:space="preserve"> de Harley-Davidson (STK-08, actor del negocio) como a los </w:t>
      </w:r>
      <w:r>
        <w:rPr>
          <w:b/>
          <w:i w:val="0"/>
          <w:sz w:val="19"/>
        </w:rPr>
        <w:t>proveedores de software</w:t>
      </w:r>
      <w:r>
        <w:rPr>
          <w:b w:val="0"/>
          <w:i w:val="0"/>
          <w:sz w:val="19"/>
        </w:rPr>
        <w:t xml:space="preserve"> que concursan (STK-17, que no es actor: no participa en la operación de las compras). En este documento «suministrador» es siempre el primero.</w:t>
      </w:r>
    </w:p>
    <w:p>
      <w:pPr>
        <w:spacing w:after="60"/>
        <w:ind w:left="432"/>
      </w:pPr>
      <w:r>
        <w:rPr>
          <w:b/>
          <w:i w:val="0"/>
          <w:sz w:val="20"/>
        </w:rPr>
        <w:t>Lo que quedó fuera, y por qué</w:t>
      </w:r>
    </w:p>
    <w:p>
      <w:pPr>
        <w:spacing w:after="200"/>
        <w:ind w:left="432"/>
      </w:pPr>
      <w:r>
        <w:rPr>
          <w:b/>
          <w:i w:val="0"/>
          <w:sz w:val="19"/>
        </w:rPr>
        <w:t>Recursos Humanos</w:t>
      </w:r>
      <w:r>
        <w:rPr>
          <w:b w:val="0"/>
          <w:i w:val="0"/>
          <w:sz w:val="19"/>
        </w:rPr>
        <w:t xml:space="preserve"> fue encuestado (pág. 8), pero su interés (la formación) ya lo trae Gestión del Cambio: entra como restricción RE-10. Los </w:t>
      </w:r>
      <w:r>
        <w:rPr>
          <w:b/>
          <w:i w:val="0"/>
          <w:sz w:val="19"/>
        </w:rPr>
        <w:t>proveedores de software no elegidos</w:t>
      </w:r>
      <w:r>
        <w:rPr>
          <w:b w:val="0"/>
          <w:i w:val="0"/>
          <w:sz w:val="19"/>
        </w:rPr>
        <w:t xml:space="preserve"> y la </w:t>
      </w:r>
      <w:r>
        <w:rPr>
          <w:b/>
          <w:i w:val="0"/>
          <w:sz w:val="19"/>
        </w:rPr>
        <w:t>empresa de estudios del sector</w:t>
      </w:r>
      <w:r>
        <w:rPr>
          <w:b w:val="0"/>
          <w:i w:val="0"/>
          <w:sz w:val="19"/>
        </w:rPr>
        <w:t xml:space="preserve"> intervienen solo en la selección, no en el sistema. Los miembros del equipo con nombre propio (Carter, Jarosz, Christianson, Doman, Peissig, Pues, Sarder, Walker) se agrupan en STK-06: representan a su centro o división, con el mismo interés.</w:t>
      </w:r>
    </w:p>
    <w:p>
      <w:pPr>
        <w:pStyle w:val="Heading1"/>
      </w:pPr>
      <w:r>
        <w:rPr>
          <w:color w:val="000000"/>
        </w:rPr>
      </w:r>
      <w:r>
        <w:rPr>
          <w:b/>
          <w:i w:val="0"/>
          <w:color w:val="000000"/>
        </w:rPr>
        <w:t>3. Drivers arquitectónicos (criterio 3, 20 pts)</w:t>
      </w:r>
    </w:p>
    <w:p>
      <w:pPr>
        <w:keepNext w:val="0"/>
      </w:pPr>
      <w:r>
        <w:rPr>
          <w:b w:val="0"/>
          <w:i w:val="0"/>
          <w:sz w:val="21"/>
        </w:rPr>
        <w:t xml:space="preserve">Los </w:t>
      </w:r>
      <w:r>
        <w:rPr>
          <w:b/>
          <w:i w:val="0"/>
          <w:sz w:val="21"/>
        </w:rPr>
        <w:t>drivers arquitectónicos</w:t>
      </w:r>
      <w:r>
        <w:rPr>
          <w:b w:val="0"/>
          <w:i w:val="0"/>
          <w:sz w:val="21"/>
        </w:rPr>
        <w:t xml:space="preserve"> son los factores críticos que guían el diseño; hay tres tipos. Los </w:t>
      </w:r>
      <w:r>
        <w:rPr>
          <w:b/>
          <w:i w:val="0"/>
          <w:sz w:val="21"/>
        </w:rPr>
        <w:t>RF</w:t>
      </w:r>
      <w:r>
        <w:rPr>
          <w:b w:val="0"/>
          <w:i w:val="0"/>
          <w:sz w:val="21"/>
        </w:rPr>
        <w:t xml:space="preserve"> moldean la estructura y se entregan como casos de uso expandidos. Los </w:t>
      </w:r>
      <w:r>
        <w:rPr>
          <w:b/>
          <w:i w:val="0"/>
          <w:sz w:val="21"/>
        </w:rPr>
        <w:t>de calidad</w:t>
      </w:r>
      <w:r>
        <w:rPr>
          <w:b w:val="0"/>
          <w:i w:val="0"/>
          <w:sz w:val="21"/>
        </w:rPr>
        <w:t xml:space="preserve"> definen cómo debe comportarse el sistema y se entregan como escenarios con número. Los </w:t>
      </w:r>
      <w:r>
        <w:rPr>
          <w:b/>
          <w:i w:val="0"/>
          <w:sz w:val="21"/>
        </w:rPr>
        <w:t>de restricción</w:t>
      </w:r>
      <w:r>
        <w:rPr>
          <w:b w:val="0"/>
          <w:i w:val="0"/>
          <w:sz w:val="21"/>
        </w:rPr>
        <w:t xml:space="preserve"> son condiciones impuestas desde afuera y se entregan como listado por categoría.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3.1 Drivers de requerimientos funcionales</w:t>
      </w:r>
    </w:p>
    <w:p>
      <w:pPr>
        <w:keepNext w:val="0"/>
      </w:pPr>
      <w:r>
        <w:rPr>
          <w:b w:val="0"/>
          <w:i w:val="0"/>
          <w:sz w:val="21"/>
        </w:rPr>
        <w:t>Salen de las doce actividades de las tres fases (anexo 6b), de los diez criterios funcionales de la especificación (anexo 10) y de los beneficios esperados (anexo 3).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218"/>
        <w:gridCol w:w="7445"/>
        <w:gridCol w:w="1489"/>
        <w:gridCol w:w="3384"/>
      </w:tblGrid>
      <w:tr>
        <w:trPr>
          <w:tblHeader w:val="true"/>
        </w:trPr>
        <w:tc>
          <w:tcPr>
            <w:tcW w:type="dxa" w:w="121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El sistema debe…</w:t>
            </w:r>
          </w:p>
        </w:tc>
        <w:tc>
          <w:tcPr>
            <w:tcW w:type="dxa" w:w="148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Proceso</w:t>
            </w:r>
          </w:p>
        </w:tc>
        <w:tc>
          <w:tcPr>
            <w:tcW w:type="dxa" w:w="338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Fuente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RF-01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Registrar una solicitud de pedido por cualquier empleado autorizado</w:t>
            </w:r>
          </w:p>
        </w:tc>
        <w:tc>
          <w:tcPr>
            <w:tcW w:type="dxa" w:w="14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CDU-01</w:t>
            </w:r>
          </w:p>
        </w:tc>
        <w:tc>
          <w:tcPr>
            <w:tcW w:type="dxa" w:w="338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anexo 6b, fase 1a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RF-02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Importar los requisitos de material planificados (MRP/DRP) de cada centro</w:t>
            </w:r>
          </w:p>
        </w:tc>
        <w:tc>
          <w:tcPr>
            <w:tcW w:type="dxa" w:w="14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CDU-01</w:t>
            </w:r>
          </w:p>
        </w:tc>
        <w:tc>
          <w:tcPr>
            <w:tcW w:type="dxa" w:w="338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anexo 6a «Requisitos»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RF-03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Aprobar la solicitud según las reglas de autorización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CDU-01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1a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RF-04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Crear el pedido de compra y enviarlo al suministrador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CDU-01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1b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RF-05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Agrupar la demanda de centros y divisiones contra los contratos vigentes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CDU-01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3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RF-06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Registrar la recepción de material contra el pedido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CDU-02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1c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RF-07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Seguir el estado y los plazos de cada pedido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CDU-02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1c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RF-08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Conciliar factura, pedido y recepción, y resolver discrepancias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CDU-02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1d · anexo 5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RF-09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Enviar la factura conciliada a Cuentas de Acreedores para su pago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CDU-02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1d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RF-10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Mantener un registro único de suministradores y sus contactos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CDU-03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2c · anexo 3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RF-11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Publicar al suministrador sus resultados y la demanda prevista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CDU-03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3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RF-12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Evaluar los resultados del suministrador en calidad, costes y plazos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CDU-03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2a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RF-13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Intercambiar documentos de compra con el suministrador por Internet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CDU-03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2b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RF-14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Consolidar los datos de compras de toda la empresa para decidir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CDU-03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3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RF-15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Planificar la participación de Compras y de suministradores en cada proyecto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CDU-04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3b-c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RF-16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Gestionar el coste objetivo de las piezas compradas de un proyecto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CDU-04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3d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RF-17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Controlar la preparación para la creación y el lanzamiento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CDU-04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6b, fase 3e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RF-18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Intercambiar datos con los sistemas existentes de Harley-Davidson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todos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anexo 10, criterio 8 · pág. 12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21"/>
        </w:rPr>
        <w:t>Alcance por fases.</w:t>
      </w:r>
      <w:r>
        <w:rPr>
          <w:b w:val="0"/>
          <w:i w:val="0"/>
          <w:sz w:val="21"/>
        </w:rPr>
        <w:t xml:space="preserve"> Como en el ejemplo de clase, el alcance se reparte en entregas; aquí son las tres fases del anexo 6b.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1354"/>
        <w:gridCol w:w="6091"/>
        <w:gridCol w:w="6091"/>
      </w:tblGrid>
      <w:tr>
        <w:trPr>
          <w:tblHeader w:val="true"/>
        </w:trPr>
        <w:tc>
          <w:tcPr>
            <w:tcW w:type="dxa" w:w="135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Fase</w:t>
            </w:r>
          </w:p>
        </w:tc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Tema principal</w:t>
            </w:r>
          </w:p>
        </w:tc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Requerimientos que incluye</w:t>
            </w:r>
          </w:p>
        </w:tc>
      </w:tr>
      <w:tr>
        <w:trPr>
          <w:cantSplit/>
        </w:trPr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Procesos y sistemas de transacciones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RF-01 a RF-09, RF-18</w:t>
            </w:r>
          </w:p>
        </w:tc>
      </w:tr>
      <w:tr>
        <w:trPr>
          <w:cantSplit/>
        </w:trPr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Información sobre suministradores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RF-10 a RF-14</w:t>
            </w:r>
          </w:p>
        </w:tc>
      </w:tr>
      <w:tr>
        <w:trPr>
          <w:cantSplit/>
        </w:trPr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Seguimiento de proyectos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RF-15 a RF-17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21"/>
        </w:rPr>
        <w:t>Casos de uso del sistema.</w:t>
      </w:r>
      <w:r>
        <w:rPr>
          <w:b w:val="0"/>
          <w:i w:val="0"/>
          <w:sz w:val="21"/>
        </w:rPr>
        <w:t xml:space="preserve"> Cada uno nombra una meta completa del actor; ninguno es un «crear / editar / consultar».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218"/>
        <w:gridCol w:w="6091"/>
        <w:gridCol w:w="1489"/>
        <w:gridCol w:w="4738"/>
      </w:tblGrid>
      <w:tr>
        <w:trPr>
          <w:tblHeader w:val="true"/>
        </w:trPr>
        <w:tc>
          <w:tcPr>
            <w:tcW w:type="dxa" w:w="121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Caso de uso</w:t>
            </w:r>
          </w:p>
        </w:tc>
        <w:tc>
          <w:tcPr>
            <w:tcW w:type="dxa" w:w="148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Proceso</w:t>
            </w:r>
          </w:p>
        </w:tc>
        <w:tc>
          <w:tcPr>
            <w:tcW w:type="dxa" w:w="473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CU-01</w:t>
            </w:r>
          </w:p>
        </w:tc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Solicitar material o servicio</w:t>
            </w:r>
          </w:p>
        </w:tc>
        <w:tc>
          <w:tcPr>
            <w:tcW w:type="dxa" w:w="14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CDU-01</w:t>
            </w:r>
          </w:p>
        </w:tc>
        <w:tc>
          <w:tcPr>
            <w:tcW w:type="dxa" w:w="473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Empleado solicitante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CU-02</w:t>
            </w:r>
          </w:p>
        </w:tc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Emitir pedido de compra</w:t>
            </w:r>
          </w:p>
        </w:tc>
        <w:tc>
          <w:tcPr>
            <w:tcW w:type="dxa" w:w="14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CDU-01</w:t>
            </w:r>
          </w:p>
        </w:tc>
        <w:tc>
          <w:tcPr>
            <w:tcW w:type="dxa" w:w="473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Comprador · Suministrador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CU-03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Generar propuestas de pedido desde MRP/DRP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CDU-01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Sistema MRP/DRP de planta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CU-04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Aprobar solicitud de pedido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CDU-01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Responsable de área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CU-05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Recibir material contra pedido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CDU-02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Recepcionista de almacén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CU-06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Seguir el estado del pedido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CDU-02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Comprador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CU-07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Conciliar factura, pedido y recepción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CDU-02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Suministrador · Sistema de Cuentas de Acreedores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CU-08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Incorporar suministrador a la base de aprovisionamiento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CDU-03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Comprador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CU-09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Seguir su desempeño y la demanda prevista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CDU-03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Suministrador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CU-10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Evaluar resultados del suministrador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CDU-03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Comprador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CU-11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Analizar el gasto consolidado de la empresa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CDU-03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Director de Compras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CU-12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Planificar la participación de Compras en el proyecto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CDU-04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Comprador de desarrollo · Ingeniero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CU-13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Acordar el coste objetivo de una pieza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CDU-04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Comprador de desarrollo · Ingeniero · Suministrador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CU-14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Controlar la preparación para el lanzamiento</w:t>
            </w:r>
          </w:p>
        </w:tc>
        <w:tc>
          <w:tcPr>
            <w:tcW w:type="dxa" w:w="14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CDU-04</w:t>
            </w:r>
          </w:p>
        </w:tc>
        <w:tc>
          <w:tcPr>
            <w:tcW w:type="dxa" w:w="473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Comprador de desarrollo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218"/>
        <w:gridCol w:w="5008"/>
        <w:gridCol w:w="3790"/>
        <w:gridCol w:w="3519"/>
      </w:tblGrid>
      <w:tr>
        <w:trPr>
          <w:tblHeader w:val="true"/>
        </w:trPr>
        <w:tc>
          <w:tcPr>
            <w:tcW w:type="dxa" w:w="121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500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Caso de uso de apoyo</w:t>
            </w:r>
          </w:p>
        </w:tc>
        <w:tc>
          <w:tcPr>
            <w:tcW w:type="dxa" w:w="379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Relación</w:t>
            </w:r>
          </w:p>
        </w:tc>
        <w:tc>
          <w:tcPr>
            <w:tcW w:type="dxa" w:w="351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Cuándo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CU-15</w:t>
            </w:r>
          </w:p>
        </w:tc>
        <w:tc>
          <w:tcPr>
            <w:tcW w:type="dxa" w:w="500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Agrupar demanda contra contrato vigente</w:t>
            </w:r>
          </w:p>
        </w:tc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«include» de CU-02 y CU-03</w:t>
            </w:r>
          </w:p>
        </w:tc>
        <w:tc>
          <w:tcPr>
            <w:tcW w:type="dxa" w:w="351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reutilizar: dos casos base lo comparten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CU-16</w:t>
            </w:r>
          </w:p>
        </w:tc>
        <w:tc>
          <w:tcPr>
            <w:tcW w:type="dxa" w:w="500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Solicitar cotización a suministradores</w:t>
            </w:r>
          </w:p>
        </w:tc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«extend» de CU-02</w:t>
            </w:r>
          </w:p>
        </w:tc>
        <w:tc>
          <w:tcPr>
            <w:tcW w:type="dxa" w:w="351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[no hay contrato vigente]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CU-17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Resolver discrepancia de factura</w:t>
            </w:r>
          </w:p>
        </w:tc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«extend» de CU-07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[factura, pedido y recepción no coinciden]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CU-18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Reclamar retraso al suministrador</w:t>
            </w:r>
          </w:p>
        </w:tc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«extend» de CU-06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[plazo de entrega vencido]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CU-19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Calcular indicadores de calidad, coste y plazo</w:t>
            </w:r>
          </w:p>
        </w:tc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«include» de CU-09, CU-10 y CU-11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reutilizar: tres casos base lo comparten</w:t>
            </w:r>
          </w:p>
        </w:tc>
      </w:tr>
      <w:tr>
        <w:trPr>
          <w:cantSplit/>
        </w:trPr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CU-20</w:t>
            </w:r>
          </w:p>
        </w:tc>
        <w:tc>
          <w:tcPr>
            <w:tcW w:type="dxa" w:w="50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Escalar riesgo de lanzamiento</w:t>
            </w:r>
          </w:p>
        </w:tc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«extend» de CU-14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[hito de preparación incumplido]</w:t>
            </w:r>
          </w:p>
        </w:tc>
      </w:tr>
    </w:tbl>
    <w:p>
      <w:pPr>
        <w:spacing w:after="40"/>
      </w:pPr>
    </w:p>
    <w:p>
      <w:pPr>
        <w:spacing w:after="60"/>
        <w:ind w:left="432"/>
      </w:pPr>
      <w:r>
        <w:rPr>
          <w:b/>
          <w:i w:val="0"/>
          <w:sz w:val="20"/>
        </w:rPr>
        <w:t>Cómo leer las relaciones</w:t>
      </w:r>
    </w:p>
    <w:p>
      <w:pPr>
        <w:spacing w:after="60"/>
        <w:ind w:left="432"/>
      </w:pPr>
      <w:r>
        <w:rPr>
          <w:b/>
          <w:i w:val="0"/>
          <w:sz w:val="19"/>
        </w:rPr>
        <w:t>«include»</w:t>
      </w:r>
      <w:r>
        <w:rPr>
          <w:b w:val="0"/>
          <w:i w:val="0"/>
          <w:sz w:val="19"/>
        </w:rPr>
        <w:t xml:space="preserve">: el caso base lo ejecuta </w:t>
      </w:r>
      <w:r>
        <w:rPr>
          <w:b/>
          <w:i w:val="0"/>
          <w:sz w:val="19"/>
        </w:rPr>
        <w:t>siempre</w:t>
      </w:r>
      <w:r>
        <w:rPr>
          <w:b w:val="0"/>
          <w:i w:val="0"/>
          <w:sz w:val="19"/>
        </w:rPr>
        <w:t xml:space="preserve">; la flecha va del base al incluido. Aquí se usa para </w:t>
      </w:r>
      <w:r>
        <w:rPr>
          <w:b/>
          <w:i w:val="0"/>
          <w:sz w:val="19"/>
        </w:rPr>
        <w:t>reutilizar</w:t>
      </w:r>
      <w:r>
        <w:rPr>
          <w:b w:val="0"/>
          <w:i w:val="0"/>
          <w:sz w:val="19"/>
        </w:rPr>
        <w:t>: dos o tres casos base comparten el incluido.</w:t>
      </w:r>
    </w:p>
    <w:p>
      <w:pPr>
        <w:spacing w:after="60"/>
        <w:ind w:left="432"/>
      </w:pPr>
      <w:r>
        <w:rPr>
          <w:b/>
          <w:i w:val="0"/>
          <w:sz w:val="19"/>
        </w:rPr>
        <w:t>«extend»</w:t>
      </w:r>
      <w:r>
        <w:rPr>
          <w:b w:val="0"/>
          <w:i w:val="0"/>
          <w:sz w:val="19"/>
        </w:rPr>
        <w:t xml:space="preserve">: ocurre </w:t>
      </w:r>
      <w:r>
        <w:rPr>
          <w:b/>
          <w:i w:val="0"/>
          <w:sz w:val="19"/>
        </w:rPr>
        <w:t>a veces</w:t>
      </w:r>
      <w:r>
        <w:rPr>
          <w:b w:val="0"/>
          <w:i w:val="0"/>
          <w:sz w:val="19"/>
        </w:rPr>
        <w:t>, bajo la condición entre corchetes; la flecha va de la extensión al base.</w:t>
      </w:r>
    </w:p>
    <w:p>
      <w:pPr>
        <w:spacing w:after="200"/>
        <w:ind w:left="432"/>
      </w:pPr>
      <w:r>
        <w:rPr>
          <w:b w:val="0"/>
          <w:i w:val="0"/>
          <w:sz w:val="19"/>
        </w:rPr>
        <w:t xml:space="preserve">Los cuatro diagramas están en el </w:t>
      </w:r>
      <w:r>
        <w:rPr>
          <w:b/>
          <w:i w:val="0"/>
          <w:sz w:val="19"/>
        </w:rPr>
        <w:t>plano del sistema</w:t>
      </w:r>
      <w:r>
        <w:rPr>
          <w:b w:val="0"/>
          <w:i w:val="0"/>
          <w:sz w:val="19"/>
        </w:rPr>
        <w:t>: actores y casos de uso sin la barra de negocio.</w:t>
      </w:r>
    </w:p>
    <w:p>
      <w:pPr>
        <w:keepNext w:val="0"/>
      </w:pPr>
      <w:r>
        <w:rPr>
          <w:b/>
          <w:i w:val="0"/>
          <w:sz w:val="21"/>
        </w:rPr>
        <w:t>Descripciones textuales.</w:t>
      </w:r>
      <w:r>
        <w:rPr>
          <w:b w:val="0"/>
          <w:i w:val="0"/>
          <w:sz w:val="21"/>
        </w:rPr>
        <w:t xml:space="preserve"> Cada caso de uso se describe con la plantilla de clase: curso normal en dos columnas con una sola numeración, y cursos alternos anclados a la línea donde ocurren. Van agrupados por proceso, después de su diagrama.</w:t>
      </w:r>
    </w:p>
    <w:p>
      <w:pPr>
        <w:pStyle w:val="Heading3"/>
        <w:pageBreakBefore/>
      </w:pPr>
      <w:r>
        <w:rPr>
          <w:color w:val="000000"/>
        </w:rPr>
      </w:r>
      <w:r>
        <w:rPr>
          <w:b/>
          <w:i w:val="0"/>
          <w:color w:val="000000"/>
        </w:rPr>
        <w:t>CDU-01 Requisición y emisión del pedido de compra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229600" cy="4796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-expandido-hd-01-requisi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96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4. CDU-01 expandido.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CU-01 Solicitar material o servicio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Empleado solicitante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Pedir un material o un servicio sin necesidad de formación previa y saber quién lo aprueba.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Empleado solicitante necesita un artículo. El sistema guía la solicitud y la deja pendiente de aprobación. Finaliza cuando el Responsable de área recibe el aviso.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RF-01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Empleado solicitante busca el artículo o servicio en el catálogo e indica cantidad, fecha requerida y centro de coste.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valida los datos y determina quién debe aprobar según las reglas de autorización.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Empleado solicitante confirma la solicitud.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registra la solicitud con un número único, la deja pendiente de aprobación y avisa al Responsable de área.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1:</w:t>
      </w:r>
      <w:r>
        <w:rPr>
          <w:b w:val="0"/>
          <w:i w:val="0"/>
          <w:sz w:val="19"/>
        </w:rPr>
        <w:t xml:space="preserve"> el artículo no está en el catálogo. El Empleado solicitante lo describe en texto libre y se continúa en la línea 2.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faltan datos obligatorios. El sistema señala los campos y se vuelve a la línea 1.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CU-02 Emitir pedido de compra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Comprador (inicia) · Suministrador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Convertir la demanda aprobada en un pedido en firme con el suministrador asignado, al precio del contrato.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Comprador toma solicitudes aprobadas o propuestas generadas desde MRP/DRP. El sistema agrupa la demanda contra el contrato vigente y emite el pedido. Finaliza cuando el Suministrador lo recibe y confirma.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RF-04, RF-05, RF-13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Comprador selecciona las solicitudes aprobadas y las propuestas pendientes.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agrupa la demanda por suministrador y contrato vigente (incluye CU-15).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Comprador revisa cantidades, fechas de entrega y centro de destino, y confirma.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registra el pedido de compra con su número único y lo envía al Suministrador.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5.</w:t>
            </w:r>
            <w:r>
              <w:rPr>
                <w:b w:val="0"/>
                <w:i w:val="0"/>
                <w:sz w:val="18"/>
              </w:rPr>
              <w:t xml:space="preserve"> El Suministrador recibe el pedido y confirma fecha y cantidad.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6.</w:t>
            </w:r>
            <w:r>
              <w:rPr>
                <w:b w:val="0"/>
                <w:i w:val="0"/>
                <w:sz w:val="18"/>
              </w:rPr>
              <w:t xml:space="preserve"> El sistema deja el pedido en firme y devuelve la fecha confirmada al sistema MRP/DRP del centro.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no hay contrato vigente para el artículo. Se extiende con CU-16 y, con la oferta elegida, se continúa en la línea 3.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5:</w:t>
      </w:r>
      <w:r>
        <w:rPr>
          <w:b w:val="0"/>
          <w:i w:val="0"/>
          <w:sz w:val="19"/>
        </w:rPr>
        <w:t xml:space="preserve"> el Suministrador propone otra fecha. El sistema avisa al Comprador, que acepta o renegocia; con la fecha acordada se continúa en la línea 6.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CU-03 Generar propuestas de pedido desde MRP/DRP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Sistema MRP/DRP de planta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Transformar los requisitos de material planificados por cada centro en propuestas de pedido listas para emitir.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Sistema MRP/DRP de un centro envía sus requisitos de material. El sistema los valida, los agrupa y genera propuestas. Finaliza cuando las propuestas quedan en la bandeja del Comprador.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RF-02, RF-04, RF-05, RF-18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Sistema MRP/DRP de planta envía los requisitos de material planificados: pieza, cantidad y fecha.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valida cada pieza contra el registro de suministradores y descarta lo que ya está cubierto por pedidos en firme.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agrupa la demanda contra el contrato vigente (incluye CU-15).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genera las propuestas de pedido y las deja en la bandeja del Comprador.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5.</w:t>
            </w:r>
            <w:r>
              <w:rPr>
                <w:b w:val="0"/>
                <w:i w:val="0"/>
                <w:sz w:val="18"/>
              </w:rPr>
              <w:t xml:space="preserve"> El Sistema MRP/DRP de planta recibe el acuse de los requisitos procesados.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1:</w:t>
      </w:r>
      <w:r>
        <w:rPr>
          <w:b w:val="0"/>
          <w:i w:val="0"/>
          <w:sz w:val="19"/>
        </w:rPr>
        <w:t xml:space="preserve"> el envío llega incompleto. El sistema rechaza el lote y pide el reenvío. Fin del caso de uso para ese lote.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una pieza no tiene suministrador asignado. El sistema genera la propuesta marcada «sin fuente» y alerta al Comprador; se continúa en la línea 3 con las demás.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CU-04 Aprobar solicitud de pedido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Responsable de área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Autorizar o rechazar una solicitud de pedido dejando constancia de quién decidió.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Responsable de área abre una solicitud pendiente. El sistema le muestra el detalle y registra su decisión. Finaliza cuando la solicitud aprobada llega a la bandeja del Comprador.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RF-03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Responsable de área abre una solicitud pendiente de aprobación.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muestra el detalle, el importe estimado y el presupuesto disponible del centro de coste.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Responsable de área aprueba la solicitud.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registra la decisión con fecha y autor, pasa la solicitud a la bandeja del Comprador y actualiza el estado para el Empleado solicitante.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el importe supera el límite del Responsable de área. El sistema deriva la solicitud al nivel siguiente y se continúa en la línea 1 con ese aprobador.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3:</w:t>
      </w:r>
      <w:r>
        <w:rPr>
          <w:b w:val="0"/>
          <w:i w:val="0"/>
          <w:sz w:val="19"/>
        </w:rPr>
        <w:t xml:space="preserve"> el Responsable de área rechaza la solicitud e indica el motivo. El sistema lo registra y avisa al Empleado solicitante. Fin del caso de uso.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CU-15 Agrupar demanda contra contrato vigente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Ninguno: caso de uso de apoyo, incluido por CU-02 y CU-03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Aprovechar los contratos de toda la empresa agrupando la demanda de centros y divisiones.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un caso de uso base le entrega líneas de demanda. El sistema busca el contrato vigente y agrupa. Finaliza cuando devuelve los grupos al caso base.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RF-05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sistema recibe del caso de uso base las líneas de demanda.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busca el contrato vigente para cada artículo y suministrador.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agrupa las líneas de todos los centros y divisiones bajo un mismo contrato y aplica su precio y condiciones.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devuelve los grupos al caso de uso base.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no existe contrato vigente. El sistema devuelve la línea marcada «sin contrato» al caso de uso base.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CU-16 Solicitar cotización a suministradores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Comprador (desde CU-02) · Suministrador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Obtener precio y plazo cuando un artículo no tiene contrato vigente. Extiende a CU-02 bajo la condición [no hay contrato vigente].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en la línea 2 de CU-02 cuando no hay contrato vigente. El sistema pide ofertas y las compara. Finaliza cuando la oferta elegida vuelve a CU-02.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RF-04, RF-13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Comprador selecciona los suministradores candidatos del registro.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envía la solicitud de cotización con su plazo de respuesta.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Suministrador responde con precio y plazo de entrega.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compara las ofertas recibidas y las muestra al Comprador.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5.</w:t>
            </w:r>
            <w:r>
              <w:rPr>
                <w:b w:val="0"/>
                <w:i w:val="0"/>
                <w:sz w:val="18"/>
              </w:rPr>
              <w:t xml:space="preserve"> El Comprador elige una oferta.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6.</w:t>
            </w:r>
            <w:r>
              <w:rPr>
                <w:b w:val="0"/>
                <w:i w:val="0"/>
                <w:sz w:val="18"/>
              </w:rPr>
              <w:t xml:space="preserve"> El sistema registra la oferta elegida y devuelve el control a la línea 3 de CU-02.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3:</w:t>
      </w:r>
      <w:r>
        <w:rPr>
          <w:b w:val="0"/>
          <w:i w:val="0"/>
          <w:sz w:val="19"/>
        </w:rPr>
        <w:t xml:space="preserve"> ningún Suministrador responde dentro del plazo. El sistema avisa al Comprador, que amplía el plazo o cambia los candidatos; se continúa en la línea 2.</w:t>
      </w:r>
    </w:p>
    <w:p>
      <w:pPr>
        <w:pStyle w:val="Heading3"/>
        <w:pageBreakBefore/>
      </w:pPr>
      <w:r>
        <w:rPr>
          <w:color w:val="000000"/>
        </w:rPr>
      </w:r>
      <w:r>
        <w:rPr>
          <w:b/>
          <w:i w:val="0"/>
          <w:color w:val="000000"/>
        </w:rPr>
        <w:t>CDU-02 Recepción, seguimiento y pago al suministrador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229600" cy="45780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-expandido-hd-02-recep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5. CDU-02 expandido.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CU-05 Recibir material contra pedido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Recepcionista de almacén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Registrar en el muelle lo que llega, contra el pedido, aunque no haya red.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llega una entrega al muelle. El sistema muestra lo pendiente del pedido y registra lo recibido. Finaliza cuando la recepción queda registrada y publicada.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RF-06, RF-18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Recepcionista de almacén lee el código del pedido en el documento de entrega.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muestra las líneas pendientes de ese pedido.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Recepcionista de almacén registra las cantidades recibidas y su estado.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registra la recepción, actualiza lo pendiente del pedido y publica el evento «material recibido».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1:</w:t>
      </w:r>
      <w:r>
        <w:rPr>
          <w:b w:val="0"/>
          <w:i w:val="0"/>
          <w:sz w:val="19"/>
        </w:rPr>
        <w:t xml:space="preserve"> no hay conexión. La aplicación guarda el registro en su cola local y lo sincroniza al volver la red; se continúa en la línea 3.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3:</w:t>
      </w:r>
      <w:r>
        <w:rPr>
          <w:b w:val="0"/>
          <w:i w:val="0"/>
          <w:sz w:val="19"/>
        </w:rPr>
        <w:t xml:space="preserve"> la cantidad no coincide o el material llega dañado. El sistema registra la diferencia y avisa al Comprador; se continúa en la línea 4.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CU-06 Seguir el estado del pedido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Comprador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Saber en qué estado está cada pedido sin perseguirlo por correo o teléfono.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Comprador revisa sus pedidos abiertos. El sistema muestra el estado y los plazos. Finaliza cuando el Comprador ha visto el historial del pedido.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RF-07, RF-13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Comprador abre la lista de pedidos abiertos de su cartera.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muestra el estado, la fecha confirmada y los pedidos próximos a vencer.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Comprador abre un pedido.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muestra su historial: confirmación, aviso de envío y recepciones.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un pedido tiene el plazo de entrega vencido sin recepción. Se extiende con CU-18.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CU-07 Conciliar factura, pedido y recepción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Suministrador (inicia) · Sistema de Cuentas de Acreedores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Pagar solo las facturas que coinciden con el pedido y con lo recibido.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Suministrador presenta una factura. El sistema la compara con el pedido y la recepción. Finaliza cuando el Suministrador conoce el estado del pago.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RF-08, RF-09, RF-13, RF-18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Suministrador presenta la factura por el portal o por la interfaz de su sistema.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comprueba que la factura no sea repetida y localiza su pedido y sus recepciones.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compara cantidades y precios de la factura, el pedido y la recepción.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marca la factura como conciliada y la envía al Sistema de Cuentas de Acreedores.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5.</w:t>
            </w:r>
            <w:r>
              <w:rPr>
                <w:b w:val="0"/>
                <w:i w:val="0"/>
                <w:sz w:val="18"/>
              </w:rPr>
              <w:t xml:space="preserve"> El Sistema de Cuentas de Acreedores devuelve el estado del pago.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6.</w:t>
            </w:r>
            <w:r>
              <w:rPr>
                <w:b w:val="0"/>
                <w:i w:val="0"/>
                <w:sz w:val="18"/>
              </w:rPr>
              <w:t xml:space="preserve"> El sistema informa al Suministrador del estado del pago.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la factura ya fue presentada. El sistema la rechaza indicando la original. Fin del caso de uso.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3:</w:t>
      </w:r>
      <w:r>
        <w:rPr>
          <w:b w:val="0"/>
          <w:i w:val="0"/>
          <w:sz w:val="19"/>
        </w:rPr>
        <w:t xml:space="preserve"> factura, pedido y recepción no coinciden. Se extiende con CU-17.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CU-17 Resolver discrepancia de factura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Comprador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Decidir qué se hace con una factura que no coincide. Extiende a CU-07 bajo la condición [factura, pedido y recepción no coinciden].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en la línea 3 de CU-07 cuando hay diferencias. El sistema las muestra y registra la decisión. Finaliza cuando la factura vuelve a CU-07 o queda rechazada.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RF-08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sistema muestra al Comprador la diferencia línea por línea.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Comprador acepta la diferencia o pide una corrección al Suministrador.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registra la decisión y su motivo.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devuelve la factura a la línea 4 de CU-07.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el Comprador rechaza la factura. El sistema avisa al Suministrador con el motivo. Fin del caso de uso para esa factura.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CU-18 Reclamar retraso al suministrador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Comprador (desde CU-06) · Suministrador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Reclamar una entrega atrasada y dejar el retraso registrado. Extiende a CU-06 bajo la condición [plazo de entrega vencido].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en la línea 2 de CU-06 cuando un plazo venció. El sistema envía el reclamo y recibe la nueva fecha. Finaliza cuando la fecha comprometida queda actualizada.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RF-07, RF-12, RF-13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sistema señala el pedido con plazo vencido y propone el reclamo.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Comprador confirma el reclamo.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envía el reclamo al Suministrador y lo registra.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Suministrador responde con la nueva fecha y la causa del retraso.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5.</w:t>
            </w:r>
            <w:r>
              <w:rPr>
                <w:b w:val="0"/>
                <w:i w:val="0"/>
                <w:sz w:val="18"/>
              </w:rPr>
              <w:t xml:space="preserve"> El sistema actualiza la fecha comprometida, registra el retraso para la evaluación del suministrador y avisa al centro de producción.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4:</w:t>
      </w:r>
      <w:r>
        <w:rPr>
          <w:b w:val="0"/>
          <w:i w:val="0"/>
          <w:sz w:val="19"/>
        </w:rPr>
        <w:t xml:space="preserve"> el Suministrador no responde en dos días hábiles. El sistema escala el reclamo a la Dirección de Compras. Fin del caso de uso.</w:t>
      </w:r>
    </w:p>
    <w:p>
      <w:pPr>
        <w:pStyle w:val="Heading3"/>
        <w:pageBreakBefore/>
      </w:pPr>
      <w:r>
        <w:rPr>
          <w:color w:val="000000"/>
        </w:rPr>
      </w:r>
      <w:r>
        <w:rPr>
          <w:b/>
          <w:i w:val="0"/>
          <w:color w:val="000000"/>
        </w:rPr>
        <w:t>CDU-03 Gestión de la información y la relación con suministradores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229600" cy="45780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-expandido-hd-03-suministrad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7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6. CDU-03 expandido.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CU-08 Incorporar suministrador a la base de aprovisionamiento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Comprador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Dar de alta a un suministrador una sola vez para toda la empresa.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Comprador incorpora un suministrador nuevo. El sistema comprueba que no exista y crea su registro. Finaliza cuando el registro queda disponible para todos los centros.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RF-10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Comprador registra los datos del suministrador, sus contactos, las piezas que suministra y los centros que atiende.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comprueba que el suministrador no exista ya y valida los datos.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Comprador confirma el alta.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crea el registro único, habilita el acceso al portal para sus contactos y lo deja disponible para todos los centros.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el suministrador ya existe. El sistema muestra el registro existente para actualizarlo. Fin del caso de uso.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CU-09 Seguir su desempeño y la demanda prevista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Suministrador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Que el suministrador conozca cómo lo evalúa Harley-Davidson y qué demanda viene.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Suministrador entra al portal. El sistema calcula sus indicadores y muestra la demanda prevista. Finaliza cuando el Suministrador ha visto sus datos.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RF-11, RF-12, RF-13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Suministrador entra al portal y se autentica con doble factor.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calcula sus indicadores de calidad, coste y plazo (incluye CU-19).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muestra sus resultados y la demanda prevista de las piezas que suministra.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Suministrador abre el detalle de un indicador o de un periodo.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5.</w:t>
            </w:r>
            <w:r>
              <w:rPr>
                <w:b w:val="0"/>
                <w:i w:val="0"/>
                <w:sz w:val="18"/>
              </w:rPr>
              <w:t xml:space="preserve"> El sistema muestra los pedidos y las recepciones que componen ese indicador.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4:</w:t>
      </w:r>
      <w:r>
        <w:rPr>
          <w:b w:val="0"/>
          <w:i w:val="0"/>
          <w:sz w:val="19"/>
        </w:rPr>
        <w:t xml:space="preserve"> el Suministrador intenta ver datos de otro suministrador. El sistema rechaza la petición y la registra en la bitácora. Fin del caso de uso.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CU-10 Evaluar resultados del suministrador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Comprador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Evaluar al suministrador con datos, no con impresiones.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Comprador evalúa un suministrador en un periodo. El sistema calcula los indicadores y registra la evaluación. Finaliza cuando la evaluación queda publicada al suministrador.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RF-12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Comprador selecciona el suministrador y el periodo.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calcula los indicadores de calidad, coste y plazo (incluye CU-19).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Comprador agrega su valoración y las acciones de mejora acordadas.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registra la evaluación y la publica al suministrador.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no hay datos suficientes en el periodo. El sistema lo indica y propone ampliar el periodo; se continúa en la línea 1.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CU-11 Analizar el gasto consolidado de la empresa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Director de Compras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Ver el gasto de toda la empresa en un solo lugar para decidir.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Director de Compras consulta el gasto. El sistema consolida los datos de todos los centros. Finaliza cuando el Director de Compras ha visto el detalle que necesita.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RF-14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Director de Compras elige el periodo, la división y el centro.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consolida el gasto de todos los centros y calcula los indicadores (incluye CU-19).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muestra el gasto por suministrador, categoría y centro, y las oportunidades de agrupar demanda.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Director de Compras profundiza en un suministrador o una categoría.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5.</w:t>
            </w:r>
            <w:r>
              <w:rPr>
                <w:b w:val="0"/>
                <w:i w:val="0"/>
                <w:sz w:val="18"/>
              </w:rPr>
              <w:t xml:space="preserve"> El sistema muestra el detalle.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un centro todavía no migró. El sistema usa su histórico e indica qué datos provienen del sistema de compras local; se continúa en la línea 3.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CU-19 Calcular indicadores de calidad, coste y plazo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Ninguno: caso de uso de apoyo, incluido por CU-09, CU-10 y CU-11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Calcular de una sola forma los indicadores que usan el suministrador, el comprador y la dirección.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un caso de uso base le entrega suministrador y periodo. El sistema calcula los tres indicadores. Finaliza cuando los devuelve al caso base.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RF-12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sistema recibe del caso de uso base el suministrador y el periodo.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toma las recepciones, los rechazos, los precios y las fechas de entrega del periodo.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calcula calidad (recepciones conformes), coste (variación frente al precio de contrato) y plazo (entregas a tiempo).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devuelve los indicadores al caso de uso base.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no hay datos en el periodo. El sistema devuelve los indicadores marcados «sin datos».</w:t>
      </w:r>
    </w:p>
    <w:p>
      <w:pPr>
        <w:pStyle w:val="Heading3"/>
        <w:pageBreakBefore/>
      </w:pPr>
      <w:r>
        <w:rPr>
          <w:color w:val="000000"/>
        </w:rPr>
      </w:r>
      <w:r>
        <w:rPr>
          <w:b/>
          <w:i w:val="0"/>
          <w:color w:val="000000"/>
        </w:rPr>
        <w:t>CDU-04 Seguimiento de compras en proyectos de nuevos productos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229600" cy="4687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-expandido-hd-04-proyec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8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7. CDU-04 expandido.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CU-12 Planificar la participación de Compras en el proyecto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Ingeniero del Centro de Desarrollo (inicia) · Comprador de desarrollo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Integrar a Compras y a los suministradores desde el inicio de un proyecto de nuevo producto.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arranca un proyecto de nuevo producto. El sistema registra piezas, hitos y responsables. Finaliza cuando queda el calendario de compras del proyecto.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RF-15, RF-18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Ingeniero del Centro de Desarrollo comparte el plan del proyecto y la lista de piezas compradas.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registra el proyecto, sus piezas y sus hitos.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Comprador de desarrollo asigna a cada pieza un suministrador candidato y un comprador responsable.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registra la asignación de recursos y el calendario de compras del proyecto.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3:</w:t>
      </w:r>
      <w:r>
        <w:rPr>
          <w:b w:val="0"/>
          <w:i w:val="0"/>
          <w:sz w:val="19"/>
        </w:rPr>
        <w:t xml:space="preserve"> una pieza no tiene suministrador en la base. El Comprador de desarrollo lo incorpora con CU-08 y se continúa en la línea 3.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CU-13 Acordar el coste objetivo de una pieza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Ingeniero del Centro de Desarrollo (inicia) · Comprador de desarrollo · Suministrador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Fijar el coste objetivo de una pieza comprada antes de que el diseño quede cerrado.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una pieza del proyecto necesita coste objetivo. El sistema registra la propuesta y la oferta. Finaliza cuando el coste acordado queda registrado.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RF-16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Ingeniero del Centro de Desarrollo propone el coste objetivo de la pieza.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lo registra y lo comunica al Suministrador candidato.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Suministrador responde con su oferta.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compara la oferta con el coste objetivo.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5.</w:t>
            </w:r>
            <w:r>
              <w:rPr>
                <w:b w:val="0"/>
                <w:i w:val="0"/>
                <w:sz w:val="18"/>
              </w:rPr>
              <w:t xml:space="preserve"> El Comprador de desarrollo acuerda el coste con las partes.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6.</w:t>
            </w:r>
            <w:r>
              <w:rPr>
                <w:b w:val="0"/>
                <w:i w:val="0"/>
                <w:sz w:val="18"/>
              </w:rPr>
              <w:t xml:space="preserve"> El sistema registra el coste objetivo acordado.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4:</w:t>
      </w:r>
      <w:r>
        <w:rPr>
          <w:b w:val="0"/>
          <w:i w:val="0"/>
          <w:sz w:val="19"/>
        </w:rPr>
        <w:t xml:space="preserve"> la oferta supera el coste objetivo. El sistema muestra la diferencia; el Comprador de desarrollo renegocia y se vuelve a la línea 3, o pide revisar el diseño y se vuelve a la línea 1.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CU-14 Controlar la preparación para el lanzamiento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Comprador de desarrollo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Saber, pieza por pieza, si los suministradores llegan a tiempo al lanzamiento.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Comprador de desarrollo revisa un proyecto. El sistema muestra los hitos de preparación. Finaliza cuando el avance queda registrado.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RF-17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Comprador de desarrollo abre el proyecto.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muestra, por pieza y suministrador, los hitos de preparación y su estado.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Comprador de desarrollo actualiza el estado de un hito.</w:t>
            </w: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registra el avance y recalcula el estado del proyecto.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un hito de preparación está incumplido. Se extiende con CU-20.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CU-20 Escalar riesgo de lanzamiento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895"/>
        <w:gridCol w:w="11641"/>
      </w:tblGrid>
      <w:tr>
        <w:trPr>
          <w:tblHeader w:val="true"/>
        </w:trPr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116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Comprador de desarrollo (inicia)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116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Hacer visible a tiempo un riesgo para la fecha de lanzamiento. Extiende a CU-14 bajo la condición [hito de preparación incumplido].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en la línea 2 de CU-14 cuando un hito está incumplido. El sistema registra el riesgo y lo comunica. Finaliza cuando el riesgo queda abierto y asignado.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Requerimientos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RF-17</w:t>
            </w:r>
          </w:p>
        </w:tc>
      </w:tr>
      <w:tr>
        <w:trPr>
          <w:cantSplit/>
        </w:trPr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116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6091"/>
        <w:gridCol w:w="7445"/>
      </w:tblGrid>
      <w:tr>
        <w:trPr>
          <w:tblHeader w:val="true"/>
        </w:trPr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</w:p>
        </w:tc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sistema señala el hito incumplido y su efecto sobre la fecha de lanzamiento.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Comprador de desarrollo describe el riesgo y propone una acción.</w:t>
            </w:r>
          </w:p>
        </w:tc>
        <w:tc>
          <w:tcPr>
            <w:tcW w:type="dxa" w:w="7445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registra el riesgo y lo comunica al equipo del proyecto.</w:t>
            </w:r>
          </w:p>
        </w:tc>
      </w:tr>
      <w:tr>
        <w:trPr>
          <w:cantSplit/>
        </w:trPr>
        <w:tc>
          <w:tcPr>
            <w:tcW w:type="dxa" w:w="6091"/>
          </w:tcPr>
          <w:p>
            <w:pPr>
              <w:keepNext w:val="0"/>
              <w:spacing w:after="20"/>
            </w:pPr>
          </w:p>
        </w:tc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mantiene el riesgo abierto hasta que el hito se cumpla.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el Comprador de desarrollo reprograma el hito sin riesgo para el lanzamiento. El sistema registra la nueva fecha. Fin del caso de uso.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3.2 Drivers de atributos de calidad</w:t>
      </w:r>
    </w:p>
    <w:p>
      <w:pPr>
        <w:spacing w:after="60"/>
        <w:ind w:left="432"/>
      </w:pPr>
      <w:r>
        <w:rPr>
          <w:b/>
          <w:i w:val="0"/>
          <w:sz w:val="20"/>
        </w:rPr>
        <w:t>Qué taxonomía se usa</w:t>
      </w:r>
    </w:p>
    <w:p>
      <w:pPr>
        <w:spacing w:after="60"/>
        <w:ind w:left="432"/>
      </w:pPr>
      <w:r>
        <w:rPr>
          <w:b w:val="0"/>
          <w:i w:val="0"/>
          <w:sz w:val="19"/>
        </w:rPr>
        <w:t xml:space="preserve">Las categorías siguen el ejemplo de clase (desempeño, disponibilidad, seguridad, usabilidad, modificabilidad) y la lista de drivers de calidad de clase (escalabilidad, fiabilidad). Se agregan </w:t>
      </w:r>
      <w:r>
        <w:rPr>
          <w:b/>
          <w:i w:val="0"/>
          <w:sz w:val="19"/>
        </w:rPr>
        <w:t>compatibilidad</w:t>
      </w:r>
      <w:r>
        <w:rPr>
          <w:b w:val="0"/>
          <w:i w:val="0"/>
          <w:sz w:val="19"/>
        </w:rPr>
        <w:t xml:space="preserve"> y </w:t>
      </w:r>
      <w:r>
        <w:rPr>
          <w:b/>
          <w:i w:val="0"/>
          <w:sz w:val="19"/>
        </w:rPr>
        <w:t>portabilidad</w:t>
      </w:r>
      <w:r>
        <w:rPr>
          <w:b w:val="0"/>
          <w:i w:val="0"/>
          <w:sz w:val="19"/>
        </w:rPr>
        <w:t xml:space="preserve"> porque el caso las evalúa por su nombre (anexo 10). La tabla ubica cada una en el modelo ISO/IEC 25010 que se determina en el §6.4.</w:t>
      </w:r>
    </w:p>
    <w:p>
      <w:pPr>
        <w:spacing w:after="60"/>
        <w:ind w:left="432"/>
      </w:pPr>
      <w:r>
        <w:rPr>
          <w:b/>
          <w:i w:val="0"/>
          <w:sz w:val="19"/>
        </w:rPr>
        <w:t>Prioridad:</w:t>
      </w:r>
      <w:r>
        <w:rPr>
          <w:b w:val="0"/>
          <w:i w:val="0"/>
          <w:sz w:val="19"/>
        </w:rPr>
        <w:t xml:space="preserve"> el par (importancia para el negocio, dificultad técnica), cada uno en A alta, M media o B baja, como en el ejemplo de clase.</w:t>
      </w:r>
    </w:p>
    <w:p>
      <w:pPr>
        <w:spacing w:after="200"/>
        <w:ind w:left="432"/>
      </w:pPr>
      <w:r>
        <w:rPr>
          <w:b/>
          <w:i w:val="0"/>
          <w:sz w:val="19"/>
        </w:rPr>
        <w:t>De dónde salen los números:</w:t>
      </w:r>
      <w:r>
        <w:rPr>
          <w:b w:val="0"/>
          <w:i w:val="0"/>
          <w:sz w:val="19"/>
        </w:rPr>
        <w:t xml:space="preserve"> el caso da cifras de </w:t>
      </w:r>
      <w:r>
        <w:rPr>
          <w:b/>
          <w:i w:val="0"/>
          <w:sz w:val="19"/>
        </w:rPr>
        <w:t>negocio</w:t>
      </w:r>
      <w:r>
        <w:rPr>
          <w:b w:val="0"/>
          <w:i w:val="0"/>
          <w:sz w:val="19"/>
        </w:rPr>
        <w:t xml:space="preserve"> (34 M USD, 70 %, 85 %), no de comportamiento del sistema. Las medidas son </w:t>
      </w:r>
      <w:r>
        <w:rPr>
          <w:b/>
          <w:i w:val="0"/>
          <w:sz w:val="19"/>
        </w:rPr>
        <w:t>supuestos de diseño</w:t>
      </w:r>
      <w:r>
        <w:rPr>
          <w:b w:val="0"/>
          <w:i w:val="0"/>
          <w:sz w:val="19"/>
        </w:rPr>
        <w:t>, derivados de los volúmenes del caso (200 compradores, 800 usuarios objetivo, más de 2.000 solicitantes).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812"/>
        <w:gridCol w:w="1354"/>
        <w:gridCol w:w="2030"/>
        <w:gridCol w:w="2436"/>
        <w:gridCol w:w="3655"/>
        <w:gridCol w:w="948"/>
        <w:gridCol w:w="1218"/>
        <w:gridCol w:w="1083"/>
      </w:tblGrid>
      <w:tr>
        <w:trPr>
          <w:tblHeader w:val="true"/>
        </w:trPr>
        <w:tc>
          <w:tcPr>
            <w:tcW w:type="dxa" w:w="8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Id</w:t>
            </w:r>
          </w:p>
        </w:tc>
        <w:tc>
          <w:tcPr>
            <w:tcW w:type="dxa" w:w="135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Categoría</w:t>
            </w:r>
          </w:p>
        </w:tc>
        <w:tc>
          <w:tcPr>
            <w:tcW w:type="dxa" w:w="203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Característica ISO/IEC 25010</w:t>
            </w:r>
          </w:p>
        </w:tc>
        <w:tc>
          <w:tcPr>
            <w:tcW w:type="dxa" w:w="243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Motivo en el caso</w:t>
            </w:r>
          </w:p>
        </w:tc>
        <w:tc>
          <w:tcPr>
            <w:tcW w:type="dxa" w:w="365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Medida de la respuesta</w:t>
            </w:r>
          </w:p>
        </w:tc>
        <w:tc>
          <w:tcPr>
            <w:tcW w:type="dxa" w:w="9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Prioridad</w:t>
            </w:r>
          </w:p>
        </w:tc>
        <w:tc>
          <w:tcPr>
            <w:tcW w:type="dxa" w:w="121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Stakeholders</w:t>
            </w:r>
          </w:p>
        </w:tc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Fuente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EAC-01</w:t>
            </w:r>
          </w:p>
        </w:tc>
        <w:tc>
          <w:tcPr>
            <w:tcW w:type="dxa" w:w="135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Disponibilidad</w:t>
            </w:r>
          </w:p>
        </w:tc>
        <w:tc>
          <w:tcPr>
            <w:tcW w:type="dxa" w:w="203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Fiabilidad › disponibilidad</w:t>
            </w:r>
          </w:p>
        </w:tc>
        <w:tc>
          <w:tcPr>
            <w:tcW w:type="dxa" w:w="243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La compra no puede parar la producción</w:t>
            </w:r>
          </w:p>
        </w:tc>
        <w:tc>
          <w:tcPr>
            <w:tcW w:type="dxa" w:w="365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99,9 % mensual; conmutación en ≤ 15 min; la recepción sigue sin conexión y sincroniza sin pérdida</w:t>
            </w:r>
          </w:p>
        </w:tc>
        <w:tc>
          <w:tcPr>
            <w:tcW w:type="dxa" w:w="94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(A, A)</w:t>
            </w:r>
          </w:p>
        </w:tc>
        <w:tc>
          <w:tcPr>
            <w:tcW w:type="dxa" w:w="121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STK-15, STK-10, STK-14</w:t>
            </w:r>
          </w:p>
        </w:tc>
        <w:tc>
          <w:tcPr>
            <w:tcW w:type="dxa" w:w="108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pág. 6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EAC-02</w:t>
            </w:r>
          </w:p>
        </w:tc>
        <w:tc>
          <w:tcPr>
            <w:tcW w:type="dxa" w:w="135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Desempeño</w:t>
            </w:r>
          </w:p>
        </w:tc>
        <w:tc>
          <w:tcPr>
            <w:tcW w:type="dxa" w:w="203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Eficiencia de desempeño › comportamiento temporal</w:t>
            </w:r>
          </w:p>
        </w:tc>
        <w:tc>
          <w:tcPr>
            <w:tcW w:type="dxa" w:w="243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Operación interactiva del comprador y del solicitante</w:t>
            </w:r>
          </w:p>
        </w:tc>
        <w:tc>
          <w:tcPr>
            <w:tcW w:type="dxa" w:w="365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≤ 2 s en el percentil 95 con 800 usuarios concurrentes</w:t>
            </w:r>
          </w:p>
        </w:tc>
        <w:tc>
          <w:tcPr>
            <w:tcW w:type="dxa" w:w="94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(A, M)</w:t>
            </w:r>
          </w:p>
        </w:tc>
        <w:tc>
          <w:tcPr>
            <w:tcW w:type="dxa" w:w="121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STK-06, STK-07</w:t>
            </w:r>
          </w:p>
        </w:tc>
        <w:tc>
          <w:tcPr>
            <w:tcW w:type="dxa" w:w="108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pág. 10 (800 usuarios)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EAC-03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Escalabilidad</w:t>
            </w:r>
          </w:p>
        </w:tc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Eficiencia de desempeño › capacidad</w:t>
            </w:r>
          </w:p>
        </w:tc>
        <w:tc>
          <w:tcPr>
            <w:tcW w:type="dxa" w:w="24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De 200 compradores a toda la empresa y sus suministradores</w:t>
            </w:r>
          </w:p>
        </w:tc>
        <w:tc>
          <w:tcPr>
            <w:tcW w:type="dxa" w:w="365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De 800 a 3.000 usuarios agregando nodos, con 0 cambios de código y sin salir de EAC-02</w:t>
            </w:r>
          </w:p>
        </w:tc>
        <w:tc>
          <w:tcPr>
            <w:tcW w:type="dxa" w:w="9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(M, M)</w:t>
            </w:r>
          </w:p>
        </w:tc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STK-02, STK-10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pág. 8 · Plan 2003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EAC-04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Seguridad</w:t>
            </w:r>
          </w:p>
        </w:tc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Seguridad › confidencialidad, autenticidad, responsabilidad</w:t>
            </w:r>
          </w:p>
        </w:tc>
        <w:tc>
          <w:tcPr>
            <w:tcW w:type="dxa" w:w="24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Suministradores externos entran por Internet</w:t>
            </w:r>
          </w:p>
        </w:tc>
        <w:tc>
          <w:tcPr>
            <w:tcW w:type="dxa" w:w="365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100 % de accesos externos con doble factor; TLS 1.3; AES-256 en reposo; 0 lecturas de datos de otro suministrador</w:t>
            </w:r>
          </w:p>
        </w:tc>
        <w:tc>
          <w:tcPr>
            <w:tcW w:type="dxa" w:w="9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(A, A)</w:t>
            </w:r>
          </w:p>
        </w:tc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STK-08, STK-09, STK-13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anexo 6b, fase 2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EAC-05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Usabilidad</w:t>
            </w:r>
          </w:p>
        </w:tc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Usabilidad › capacidad de aprendizaje, operabilidad</w:t>
            </w:r>
          </w:p>
        </w:tc>
        <w:tc>
          <w:tcPr>
            <w:tcW w:type="dxa" w:w="24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2.000 solicitantes ocasionales; el caso evalúa «facilidad de uso»</w:t>
            </w:r>
          </w:p>
        </w:tc>
        <w:tc>
          <w:tcPr>
            <w:tcW w:type="dxa" w:w="365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Primera solicitud sin formación en ≤ 3 min y ≤ 5 pasos, lograda por el 90 % de los solicitantes</w:t>
            </w:r>
          </w:p>
        </w:tc>
        <w:tc>
          <w:tcPr>
            <w:tcW w:type="dxa" w:w="9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(A, M)</w:t>
            </w:r>
          </w:p>
        </w:tc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STK-07, STK-11, STK-06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anexo 10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EAC-06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Compatibilidad</w:t>
            </w:r>
          </w:p>
        </w:tc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Compatibilidad › interoperabilidad, coexistencia</w:t>
            </w:r>
          </w:p>
        </w:tc>
        <w:tc>
          <w:tcPr>
            <w:tcW w:type="dxa" w:w="24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Un proveedor fue eliminado por «incompatibilidad arquitectónica»</w:t>
            </w:r>
          </w:p>
        </w:tc>
        <w:tc>
          <w:tcPr>
            <w:tcW w:type="dxa" w:w="365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100 % de las interfaces por API o mensajería estándar; un sistema de planta más se integra en ≤ 10 días-persona sin tocar los servicios de negocio</w:t>
            </w:r>
          </w:p>
        </w:tc>
        <w:tc>
          <w:tcPr>
            <w:tcW w:type="dxa" w:w="9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(A, A)</w:t>
            </w:r>
          </w:p>
        </w:tc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STK-09, STK-10, STK-05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págs. 9, 12 · anexo 10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EAC-07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Modificabilidad</w:t>
            </w:r>
          </w:p>
        </w:tc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Mantenibilidad › modularidad, capacidad de ser modificado</w:t>
            </w:r>
          </w:p>
        </w:tc>
        <w:tc>
          <w:tcPr>
            <w:tcW w:type="dxa" w:w="24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«Reducción del mantenimiento del sistema y de los costes de obsolescencia»</w:t>
            </w:r>
          </w:p>
        </w:tc>
        <w:tc>
          <w:tcPr>
            <w:tcW w:type="dxa" w:w="365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Un cambio de regla de aprobación llega a producción en ≤ 1 día hábil tocando 1 servicio; ≥ 80 % de cobertura de pruebas en los adaptadores</w:t>
            </w:r>
          </w:p>
        </w:tc>
        <w:tc>
          <w:tcPr>
            <w:tcW w:type="dxa" w:w="9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(M, M)</w:t>
            </w:r>
          </w:p>
        </w:tc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STK-10, STK-17, STK-02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anexo 3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EAC-08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Portabilidad</w:t>
            </w:r>
          </w:p>
        </w:tc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Portabilidad › adaptabilidad, capacidad de ser instalado</w:t>
            </w:r>
          </w:p>
        </w:tc>
        <w:tc>
          <w:tcPr>
            <w:tcW w:type="dxa" w:w="24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El caso califica la «portabilidad de plataformas»</w:t>
            </w:r>
          </w:p>
        </w:tc>
        <w:tc>
          <w:tcPr>
            <w:tcW w:type="dxa" w:w="365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El mismo paquete de despliegue se levanta en otra nube o centro de datos en ≤ 5 días hábiles con 0 cambios de código</w:t>
            </w:r>
          </w:p>
        </w:tc>
        <w:tc>
          <w:tcPr>
            <w:tcW w:type="dxa" w:w="9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(B, M)</w:t>
            </w:r>
          </w:p>
        </w:tc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STK-09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anexo 10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EAC-09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Fiabilidad</w:t>
            </w:r>
          </w:p>
        </w:tc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Fiabilidad › tolerancia a fallos · Seguridad › integridad</w:t>
            </w:r>
          </w:p>
        </w:tc>
        <w:tc>
          <w:tcPr>
            <w:tcW w:type="dxa" w:w="24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«Eliminación de registros duplicados» y «corrección de errores»</w:t>
            </w:r>
          </w:p>
        </w:tc>
        <w:tc>
          <w:tcPr>
            <w:tcW w:type="dxa" w:w="365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0 pedidos o facturas duplicados ante reintentos; 100 % de las facturas conciliadas a tres bandas antes del pago</w:t>
            </w:r>
          </w:p>
        </w:tc>
        <w:tc>
          <w:tcPr>
            <w:tcW w:type="dxa" w:w="9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(A, M)</w:t>
            </w:r>
          </w:p>
        </w:tc>
        <w:tc>
          <w:tcPr>
            <w:tcW w:type="dxa" w:w="121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STK-13, STK-06, STK-12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anexo 3</w:t>
            </w:r>
          </w:p>
        </w:tc>
      </w:tr>
    </w:tbl>
    <w:p>
      <w:pPr>
        <w:spacing w:after="40"/>
      </w:pPr>
    </w:p>
    <w:p>
      <w:pPr>
        <w:spacing w:after="60"/>
        <w:ind w:left="432"/>
      </w:pPr>
      <w:r>
        <w:rPr>
          <w:b/>
          <w:i w:val="0"/>
          <w:sz w:val="20"/>
        </w:rPr>
        <w:t>Prioridad</w:t>
      </w:r>
    </w:p>
    <w:p>
      <w:pPr>
        <w:spacing w:after="200"/>
        <w:ind w:left="432"/>
      </w:pPr>
      <w:r>
        <w:rPr>
          <w:b w:val="0"/>
          <w:i w:val="0"/>
          <w:sz w:val="19"/>
        </w:rPr>
        <w:t xml:space="preserve">Con los dos ejes (importancia para el negocio y dificultad técnica) los que más pesan en el diseño son </w:t>
      </w:r>
      <w:r>
        <w:rPr>
          <w:b/>
          <w:i w:val="0"/>
          <w:sz w:val="19"/>
        </w:rPr>
        <w:t>EAC-01, EAC-04 y EAC-06</w:t>
      </w:r>
      <w:r>
        <w:rPr>
          <w:b w:val="0"/>
          <w:i w:val="0"/>
          <w:sz w:val="19"/>
        </w:rPr>
        <w:t>, los tres (A, A),  seguidos de EAC-02, EAC-05 y EAC-09, que son (A, M). Las restricciones no se priorizan: todas son obligatorias.</w:t>
      </w:r>
    </w:p>
    <w:p>
      <w:pPr>
        <w:keepNext w:val="0"/>
      </w:pPr>
      <w:r>
        <w:rPr>
          <w:b/>
          <w:i w:val="0"/>
          <w:sz w:val="21"/>
        </w:rPr>
        <w:t>Escenarios de atributos de calidad (EaC).</w:t>
      </w:r>
      <w:r>
        <w:rPr>
          <w:b w:val="0"/>
          <w:i w:val="0"/>
          <w:sz w:val="21"/>
        </w:rPr>
        <w:t xml:space="preserve"> Cada driver se especifica en seis partes: quién o qué lo provoca (fuente de estímulo), qué ocurre (estímulo), sobre qué parte (artefacto), en qué condiciones (entorno), qué hace el sistema (respuesta) y cómo se comprueba (medida de la respuesta). Sin medida no es un driver. El formato de seis partes es el de Bass, Clements y Kazman (2021) y el del ejemplo visto en clase.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1083"/>
        <w:gridCol w:w="1895"/>
        <w:gridCol w:w="9204"/>
        <w:gridCol w:w="1354"/>
      </w:tblGrid>
      <w:tr>
        <w:trPr>
          <w:tblHeader w:val="true"/>
        </w:trPr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Categoría</w:t>
            </w:r>
          </w:p>
        </w:tc>
        <w:tc>
          <w:tcPr>
            <w:tcW w:type="dxa" w:w="920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Escenario</w:t>
            </w:r>
          </w:p>
        </w:tc>
        <w:tc>
          <w:tcPr>
            <w:tcW w:type="dxa" w:w="135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Prioridad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EAC-01</w:t>
            </w:r>
          </w:p>
        </w:tc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Disponibilidad</w:t>
            </w:r>
          </w:p>
        </w:tc>
        <w:tc>
          <w:tcPr>
            <w:tcW w:type="dxa" w:w="9204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La infraestructura de la plataforma.</w:t>
              <w:br/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Falla un nodo de aplicación o la base de datos primaria.</w:t>
              <w:br/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Clúster de contenedores y servidor de base de datos.</w:t>
              <w:br/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Operación normal, turno de planta con recepciones en curso.</w:t>
              <w:br/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El tráfico pasa a los nodos sanos y la base en espera toma el relevo; la tableta de recepción sigue registrando en su cola local.</w:t>
              <w:br/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99,9 % mensual · relevo en ≤ 15 min · 0 recepciones perdidas.</w:t>
            </w:r>
          </w:p>
        </w:tc>
        <w:tc>
          <w:tcPr>
            <w:tcW w:type="dxa" w:w="135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(A, A)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EAC-02</w:t>
            </w:r>
          </w:p>
        </w:tc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Desempeño</w:t>
            </w:r>
          </w:p>
        </w:tc>
        <w:tc>
          <w:tcPr>
            <w:tcW w:type="dxa" w:w="9204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Comprador.</w:t>
              <w:br/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Emite un pedido de compra con 20 líneas.</w:t>
              <w:br/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Servicio Requisición y Pedido.</w:t>
              <w:br/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Carga pico: 800 usuarios concurrentes.</w:t>
              <w:br/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El pedido queda registrado y enviado al suministrador.</w:t>
              <w:br/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≤ 2 s en el percentil 95.</w:t>
            </w:r>
          </w:p>
        </w:tc>
        <w:tc>
          <w:tcPr>
            <w:tcW w:type="dxa" w:w="135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(A, M)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EAC-03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Escalabilidad</w:t>
            </w:r>
          </w:p>
        </w:tc>
        <w:tc>
          <w:tcPr>
            <w:tcW w:type="dxa" w:w="9204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Dirección de Sistemas.</w:t>
              <w:br/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Se incorporan los 2.000 solicitantes y los suministradores de la fase 2.</w:t>
              <w:br/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Plataforma completa.</w:t>
              <w:br/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Crecimiento planificado entre fases.</w:t>
              <w:br/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Se agregan nodos al clúster; los servicios no cambian.</w:t>
              <w:br/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De 800 a 3.000 usuarios · 0 cambios de código · EAC-02 se mantiene.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(M, M)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EAC-04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Seguridad</w:t>
            </w:r>
          </w:p>
        </w:tc>
        <w:tc>
          <w:tcPr>
            <w:tcW w:type="dxa" w:w="9204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Usuario de un suministrador, autenticado.</w:t>
              <w:br/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Intenta consultar pedidos de otro suministrador.</w:t>
              <w:br/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API Gateway y Servicio Suministradores.</w:t>
              <w:br/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Acceso por Internet.</w:t>
              <w:br/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La petición se rechaza y queda en la bitácora de auditoría.</w:t>
              <w:br/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0 lecturas cruzadas · rechazo y registro en ≤ 1 s · 100 % de accesos externos con doble factor.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(A, A)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EAC-05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Usabilidad</w:t>
            </w:r>
          </w:p>
        </w:tc>
        <w:tc>
          <w:tcPr>
            <w:tcW w:type="dxa" w:w="9204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Empleado solicitante sin formación.</w:t>
              <w:br/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Necesita pedir un artículo por primera vez.</w:t>
              <w:br/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Aplicación web SiL'K.</w:t>
              <w:br/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Uso ocasional, desde su PC de oficina.</w:t>
              <w:br/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Completa la solicitud guiado por el catálogo y ve a quién le toca aprobarla.</w:t>
              <w:br/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≤ 3 min · ≤ 5 pasos · 90 % lo logra al primer intento.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(A, M)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EAC-06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Compatibilidad</w:t>
            </w:r>
          </w:p>
        </w:tc>
        <w:tc>
          <w:tcPr>
            <w:tcW w:type="dxa" w:w="9204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Equipo de Sistemas.</w:t>
              <w:br/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Hay que conectar el MRP/DRP de un centro más.</w:t>
              <w:br/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Servicio de Integración (adaptadores).</w:t>
              <w:br/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Mantenimiento, con la solución en producción.</w:t>
              <w:br/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Se agrega un adaptador; los servicios de negocio no se modifican.</w:t>
              <w:br/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≤ 10 días-persona · 0 servicios de negocio modificados.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(A, A)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EAC-07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Modificabilidad</w:t>
            </w:r>
          </w:p>
        </w:tc>
        <w:tc>
          <w:tcPr>
            <w:tcW w:type="dxa" w:w="9204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Dirección de Compras.</w:t>
              <w:br/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Cambia el límite de aprobación de un tipo de compra.</w:t>
              <w:br/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Servicio Requisición y Pedido.</w:t>
              <w:br/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Mantenimiento.</w:t>
              <w:br/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La regla se cambia por configuración, se prueba y se despliega.</w:t>
              <w:br/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≤ 1 día hábil · 1 servicio tocado.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(M, M)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EAC-08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Portabilidad</w:t>
            </w:r>
          </w:p>
        </w:tc>
        <w:tc>
          <w:tcPr>
            <w:tcW w:type="dxa" w:w="9204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Grupo de Integración de Arquitecturas.</w:t>
              <w:br/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Cambia la norma de infraestructura y hay que mover la plataforma.</w:t>
              <w:br/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Paquete de despliegue.</w:t>
              <w:br/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Cambio planificado.</w:t>
              <w:br/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La misma definición de infraestructura levanta la solución en el nuevo entorno.</w:t>
              <w:br/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≤ 5 días hábiles · 0 cambios de código.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(B, M)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EAC-09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Fiabilidad</w:t>
            </w:r>
          </w:p>
        </w:tc>
        <w:tc>
          <w:tcPr>
            <w:tcW w:type="dxa" w:w="9204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Sistema del suministrador.</w:t>
              <w:br/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Reenvía la misma factura tras un corte de red.</w:t>
              <w:br/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Servicio Recepción y Facturas y cola de reintentos.</w:t>
              <w:br/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Red inestable.</w:t>
              <w:br/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El segundo envío se reconoce como repetido y no genera otro registro.</w:t>
              <w:br/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0 duplicados · 100 % de facturas conciliadas antes del pago.</w:t>
            </w:r>
          </w:p>
        </w:tc>
        <w:tc>
          <w:tcPr>
            <w:tcW w:type="dxa" w:w="135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(A, M)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3.3 Drivers de restricción</w:t>
      </w:r>
    </w:p>
    <w:p>
      <w:pPr>
        <w:keepNext/>
      </w:pPr>
      <w:r>
        <w:rPr>
          <w:b w:val="0"/>
          <w:i w:val="0"/>
          <w:sz w:val="21"/>
        </w:rPr>
        <w:t xml:space="preserve">Por las seis categorías de clase. El caso no cita ninguna norma legal: las dos regulatorias son </w:t>
      </w:r>
      <w:r>
        <w:rPr>
          <w:b/>
          <w:i w:val="0"/>
          <w:sz w:val="21"/>
        </w:rPr>
        <w:t>supuestos</w:t>
      </w:r>
      <w:r>
        <w:rPr>
          <w:b w:val="0"/>
          <w:i w:val="0"/>
          <w:sz w:val="21"/>
        </w:rPr>
        <w:t xml:space="preserve"> de traer el caso al presente, y van rotuladas.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812"/>
        <w:gridCol w:w="1760"/>
        <w:gridCol w:w="6768"/>
        <w:gridCol w:w="2572"/>
        <w:gridCol w:w="1624"/>
      </w:tblGrid>
      <w:tr>
        <w:trPr>
          <w:tblHeader w:val="true"/>
        </w:trPr>
        <w:tc>
          <w:tcPr>
            <w:tcW w:type="dxa" w:w="8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176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Categoría</w:t>
            </w:r>
          </w:p>
        </w:tc>
        <w:tc>
          <w:tcPr>
            <w:tcW w:type="dxa" w:w="676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Restricción</w:t>
            </w:r>
          </w:p>
        </w:tc>
        <w:tc>
          <w:tcPr>
            <w:tcW w:type="dxa" w:w="25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Fuente</w:t>
            </w:r>
          </w:p>
        </w:tc>
        <w:tc>
          <w:tcPr>
            <w:tcW w:type="dxa" w:w="162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Stakeholders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RE-01</w:t>
            </w:r>
          </w:p>
        </w:tc>
        <w:tc>
          <w:tcPr>
            <w:tcW w:type="dxa" w:w="176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Tecnológica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Compatible con la arquitectura de sistemas existente y con las normas de hardware y software del grupo de Integración de Arquitecturas</w:t>
            </w:r>
          </w:p>
        </w:tc>
        <w:tc>
          <w:tcPr>
            <w:tcW w:type="dxa" w:w="25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pág. 9, nota 12 · pág. 12</w:t>
            </w:r>
          </w:p>
        </w:tc>
        <w:tc>
          <w:tcPr>
            <w:tcW w:type="dxa" w:w="162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STK-09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RE-02</w:t>
            </w:r>
          </w:p>
        </w:tc>
        <w:tc>
          <w:tcPr>
            <w:tcW w:type="dxa" w:w="176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Tecnológica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La solución parte de un paquete de mercado: el proyecto selecciona software, no lo desarrolla desde cero</w:t>
            </w:r>
          </w:p>
        </w:tc>
        <w:tc>
          <w:tcPr>
            <w:tcW w:type="dxa" w:w="25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págs. 1, 10</w:t>
            </w:r>
          </w:p>
        </w:tc>
        <w:tc>
          <w:tcPr>
            <w:tcW w:type="dxa" w:w="162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STK-05, STK-17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RE-03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Tecnológica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Los suministradores acceden por Internet (la «red Internet de Suministros»)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anexo 6b, fase 2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STK-08, STK-01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RE-04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negocio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No es un ERP completo: el ámbito está delimitado y no se aceptan funcionalidades adicionales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11 · anexo 6a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STK-05, STK-03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RE-05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negocio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Implantación en tres fases: transacciones, información sobre suministradores, seguimiento de proyectos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anexo 6b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STK-05, STK-03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RE-06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negocio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El coste total tiene que caber en la propuesta de valor de 34 M USD en cinco años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7 · anexo 10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STK-01, STK-03, STK-10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RE-07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negocio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El proveedor debe poder dar soporte a largo plazo (uno fue eliminado por su pequeño tamaño)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12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STK-17, STK-01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RE-08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Organizacional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Un único proceso común para todos los centros y las cuatro divisiones de compras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págs. 4, 8 · anexo 3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STK-12, STK-04, STK-03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RE-09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Organizacional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La inversión la aprueba el Círculo de Tecnologías de la Información del Grupo de Fabricación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3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STK-10, STK-05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RE-10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Organizacional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La formación y la gestión del cambio son parte de la implantación (800 personas; el cambio lo dirigen las personas en un 50-75 % y la tecnología solo en un 5-10 %)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10 · anexo 9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STK-11, STK-04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RE-11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Ambiental / física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Usuarios repartidos en siete centros de tres estados y filiales en cinco países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2 · anexo 2a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STK-06, STK-02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RE-12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Ambiental / física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La implantación no puede interrumpir las líneas de producción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6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STK-15, STK-10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RE-13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integración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Interconexión con los sistemas en funcionamiento (MRP/DRP de planta, cuentas de acreedores, ingeniería) y con las iniciativas de tecnología en marcha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12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STK-09, STK-10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RE-14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integración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Coexistencia con los sistemas de compras locales de cada centro mientras dura la migración por fases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pág. 4 · anexo 6b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STK-06, STK-15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RE-15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Regulatoria (supuesto)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Control interno financiero de una empresa cotizada: segregación de funciones y rastro de auditoría en aprobaciones y pagos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supuesto «al presente», pág. 2 (cotiza desde 1986)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STK-13, STK-02</w:t>
            </w:r>
          </w:p>
        </w:tc>
      </w:tr>
      <w:tr>
        <w:trPr>
          <w:cantSplit/>
        </w:trPr>
        <w:tc>
          <w:tcPr>
            <w:tcW w:type="dxa" w:w="81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RE-16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Regulatoria (supuesto)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Protección de los datos personales de los contactos de suministradores en las filiales europeas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supuesto «al presente», pág. 2 (filiales en Europa)</w:t>
            </w:r>
          </w:p>
        </w:tc>
        <w:tc>
          <w:tcPr>
            <w:tcW w:type="dxa" w:w="162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STK-08, STK-02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00000"/>
        </w:rPr>
      </w:r>
      <w:r>
        <w:rPr>
          <w:b/>
          <w:i w:val="0"/>
          <w:color w:val="000000"/>
        </w:rPr>
        <w:t>4. Matrices de trazabilidad (criterio 4, 15 pts)</w:t>
      </w:r>
    </w:p>
    <w:p>
      <w:pPr>
        <w:keepNext w:val="0"/>
      </w:pPr>
      <w:r>
        <w:rPr>
          <w:b w:val="0"/>
          <w:i w:val="0"/>
          <w:sz w:val="21"/>
        </w:rPr>
        <w:t xml:space="preserve">Las cuatro matrices cruzan los artefactos de los criterios 1, 2 y 3: los </w:t>
      </w:r>
      <w:r>
        <w:rPr>
          <w:b/>
          <w:i w:val="0"/>
          <w:sz w:val="21"/>
        </w:rPr>
        <w:t>procesos y casos de uso</w:t>
      </w:r>
      <w:r>
        <w:rPr>
          <w:b w:val="0"/>
          <w:i w:val="0"/>
          <w:sz w:val="21"/>
        </w:rPr>
        <w:t xml:space="preserve"> (criterio 1 y su expansión), los </w:t>
      </w:r>
      <w:r>
        <w:rPr>
          <w:b/>
          <w:i w:val="0"/>
          <w:sz w:val="21"/>
        </w:rPr>
        <w:t>stakeholders</w:t>
      </w:r>
      <w:r>
        <w:rPr>
          <w:b w:val="0"/>
          <w:i w:val="0"/>
          <w:sz w:val="21"/>
        </w:rPr>
        <w:t xml:space="preserve"> (criterio 2) y los </w:t>
      </w:r>
      <w:r>
        <w:rPr>
          <w:b/>
          <w:i w:val="0"/>
          <w:sz w:val="21"/>
        </w:rPr>
        <w:t>requerimientos</w:t>
      </w:r>
      <w:r>
        <w:rPr>
          <w:b w:val="0"/>
          <w:i w:val="0"/>
          <w:sz w:val="21"/>
        </w:rPr>
        <w:t xml:space="preserve"> (criterio 3).</w:t>
      </w:r>
    </w:p>
    <w:p>
      <w:pPr>
        <w:keepNext w:val="0"/>
      </w:pPr>
      <w:r>
        <w:rPr>
          <w:b w:val="0"/>
          <w:i w:val="0"/>
          <w:sz w:val="21"/>
        </w:rPr>
        <w:t xml:space="preserve">Están </w:t>
      </w:r>
      <w:r>
        <w:rPr>
          <w:b/>
          <w:i w:val="0"/>
          <w:sz w:val="21"/>
        </w:rPr>
        <w:t>acopladas</w:t>
      </w:r>
      <w:r>
        <w:rPr>
          <w:b w:val="0"/>
          <w:i w:val="0"/>
          <w:sz w:val="21"/>
        </w:rPr>
        <w:t xml:space="preserve">: la matriz 3 no se llenó a mano, se </w:t>
      </w:r>
      <w:r>
        <w:rPr>
          <w:b/>
          <w:i w:val="0"/>
          <w:sz w:val="21"/>
        </w:rPr>
        <w:t>derivó</w:t>
      </w:r>
      <w:r>
        <w:rPr>
          <w:b w:val="0"/>
          <w:i w:val="0"/>
          <w:sz w:val="21"/>
        </w:rPr>
        <w:t xml:space="preserve"> de la 1 y la 2 (un stakeholder se relaciona con un caso de uso si le interesa algún requisito que ese caso realiza). Así no pueden contradecirse.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4.1 Matriz 1: Stakeholders vs. Requerimientos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3790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</w:tblGrid>
      <w:tr>
        <w:trPr>
          <w:tblHeader w:val="true"/>
        </w:trPr>
        <w:tc>
          <w:tcPr>
            <w:tcW w:type="dxa" w:w="379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Stakeholder \ RF-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01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02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03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04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05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06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07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08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09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10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11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12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13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14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15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16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17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STK-01 VP Gestión de Materiales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STK-02 VP Servicios de Información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STK-03 Grupo de Unidad de Compras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STK-04 Dir. Planif. y Control de Compras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STK-05 Director del proyecto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STK-06 Compradores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STK-07 Empleados solicitantes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STK-08 Suministradores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STK-09 Integración de Arquitecturas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STK-10 Sistemas del Grupo de Fabricación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STK-11 Gestión del Cambio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STK-12 Innovación de Procesos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STK-13 Cuentas de Acreedores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STK-14 Logística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STK-15 Fabricación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STK-16 Ingeniería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STK-17 Proveedor del software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 w:val="0"/>
          <w:i w:val="0"/>
          <w:sz w:val="19"/>
        </w:rPr>
        <w:t>Los requerimientos de calidad y de restricción también tienen dueño: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3790"/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379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Stakeholder</w:t>
            </w:r>
          </w:p>
        </w:tc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EAC-01</w:t>
            </w:r>
          </w:p>
        </w:tc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EAC-02</w:t>
            </w:r>
          </w:p>
        </w:tc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EAC-03</w:t>
            </w:r>
          </w:p>
        </w:tc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EAC-04</w:t>
            </w:r>
          </w:p>
        </w:tc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EAC-05</w:t>
            </w:r>
          </w:p>
        </w:tc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EAC-06</w:t>
            </w:r>
          </w:p>
        </w:tc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EAC-07</w:t>
            </w:r>
          </w:p>
        </w:tc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EAC-08</w:t>
            </w:r>
          </w:p>
        </w:tc>
        <w:tc>
          <w:tcPr>
            <w:tcW w:type="dxa" w:w="1083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EAC-09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STK-01 VP Gestión de Materiales</w:t>
            </w: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STK-02 VP Servicios de Información</w:t>
            </w: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STK-03 Grupo de Unidad de Compras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STK-04 Dir. Planif. y Control de Compras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STK-05 Director del proyecto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STK-06 Compradores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STK-07 Empleados solicitantes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STK-08 Suministradores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STK-09 Integración de Arquitecturas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STK-10 Sistemas del Grupo de Fabricación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STK-11 Gestión del Cambio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STK-12 Innovación de Procesos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STK-13 Cuentas de Acreedores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STK-14 Logística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STK-15 Fabricación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STK-16 Ingeniería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STK-17 Proveedor del software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1083"/>
          </w:tcPr>
          <w:p>
            <w:pPr>
              <w:keepNext w:val="0"/>
              <w:spacing w:after="20"/>
              <w:jc w:val="center"/>
            </w:pP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205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>
        <w:trPr>
          <w:tblHeader w:val="true"/>
        </w:trPr>
        <w:tc>
          <w:tcPr>
            <w:tcW w:type="dxa" w:w="205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Stakeholder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RE-01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RE-02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RE-03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RE-04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RE-05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RE-06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RE-07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RE-08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RE-09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RE-10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RE-11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RE-12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RE-13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RE-14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RE-15</w:t>
            </w:r>
          </w:p>
        </w:tc>
        <w:tc>
          <w:tcPr>
            <w:tcW w:type="dxa" w:w="71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RE-16</w:t>
            </w: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STK-01 VP Gestión de Materiales</w:t>
            </w: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STK-02 VP Servicios de Información</w:t>
            </w: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STK-03 Grupo de Unidad de Compras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STK-04 Dir. Planif. y Control de Compras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STK-05 Director del proyecto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STK-06 Compradores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STK-07 Empleados solicitantes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STK-08 Suministradores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STK-09 Integración de Arquitecturas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STK-10 Sistemas del Grupo de Fabricación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STK-11 Gestión del Cambio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STK-12 Innovación de Procesos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STK-13 Cuentas de Acreedores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STK-14 Logística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STK-15 Fabricación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STK-16 Ingeniería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STK-17 Proveedor del software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717"/>
          </w:tcPr>
          <w:p>
            <w:pPr>
              <w:keepNext w:val="0"/>
              <w:spacing w:after="20"/>
              <w:jc w:val="center"/>
            </w:pP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19"/>
        </w:rPr>
        <w:t>Lectura:</w:t>
      </w:r>
      <w:r>
        <w:rPr>
          <w:b w:val="0"/>
          <w:i w:val="0"/>
          <w:sz w:val="19"/>
        </w:rPr>
        <w:t xml:space="preserve"> ningún requerimiento queda sin stakeholder y ningún stakeholder queda sin requerimiento. STK-11 (Gestión del Cambio) no pide funciones: su fila en RF está vacía y su interés aparece en EAC-05 y RE-10.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4.2 Matriz 2: Requerimientos vs. Casos de Uso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4061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</w:tblGrid>
      <w:tr>
        <w:trPr>
          <w:tblHeader w:val="true"/>
        </w:trPr>
        <w:tc>
          <w:tcPr>
            <w:tcW w:type="dxa" w:w="406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Requerimiento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CU-01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CU-02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CU-03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CU-04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CU-05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CU-06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CU-07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CU-08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CU-09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CU-10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CU-11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CU-12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CU-13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CU-14</w:t>
            </w: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Proceso de negocio (criterio 1)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P01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P01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P01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P01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P02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P02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P02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P03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P03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P03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P03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P04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P04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P04</w:t>
            </w: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RF-01 Solicitud de pedido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RF-02 Requisitos MRP/DRP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RF-03 Aprobación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RF-04 Pedido de compra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RF-05 Agrupar demanda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RF-06 Recepción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RF-07 Seguimiento de plazos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RF-08 Conciliar factura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RF-09 Envío a pago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RF-10 Registro de suministradores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RF-11 Publicar resultados y demanda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RF-12 Evaluar suministrador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RF-13 Documentos por Internet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RF-14 Consolidar datos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RF-15 Planificar proyecto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RF-16 Coste objetivo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RF-17 Preparación de lanzamiento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RF-18 Integración con existentes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</w:tbl>
    <w:p>
      <w:pPr>
        <w:spacing w:after="40"/>
      </w:pPr>
    </w:p>
    <w:p>
      <w:pPr>
        <w:keepNext w:val="0"/>
      </w:pPr>
      <w:r>
        <w:rPr>
          <w:b w:val="0"/>
          <w:i w:val="0"/>
          <w:sz w:val="19"/>
        </w:rPr>
        <w:t>La primera fila ubica cada caso de uso en su proceso de negocio del criterio 1: P01 a P04 son CDU-01 a CDU-04.</w:t>
      </w:r>
    </w:p>
    <w:p>
      <w:pPr>
        <w:keepNext w:val="0"/>
      </w:pPr>
      <w:r>
        <w:rPr>
          <w:b/>
          <w:i w:val="0"/>
          <w:sz w:val="19"/>
        </w:rPr>
        <w:t>Lectura:</w:t>
      </w:r>
      <w:r>
        <w:rPr>
          <w:b w:val="0"/>
          <w:i w:val="0"/>
          <w:sz w:val="19"/>
        </w:rPr>
        <w:t xml:space="preserve"> todo requerimiento lo realiza al menos un caso de uso (ninguna fila vacía) y todo caso de uso responde a algún requerimiento (ninguna columna vacía). RF-13 y RF-18 cruzan cuatro casos cada uno: el intercambio con el suministrador y la integración con lo existente son </w:t>
      </w:r>
      <w:r>
        <w:rPr>
          <w:b/>
          <w:i w:val="0"/>
          <w:sz w:val="19"/>
        </w:rPr>
        <w:t>transversales</w:t>
      </w:r>
      <w:r>
        <w:rPr>
          <w:b w:val="0"/>
          <w:i w:val="0"/>
          <w:sz w:val="19"/>
        </w:rPr>
        <w:t>, y eso es lo que justifica en el §5 un Servicio de Integración y un API Gateway propios. Los casos de apoyo CU-15 a CU-20 heredan la traza de su caso base.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4.3 Matriz 3: Stakeholders vs. Casos de Uso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6"/>
      </w:tblPr>
      <w:tblGrid>
        <w:gridCol w:w="4061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  <w:gridCol w:w="677"/>
      </w:tblGrid>
      <w:tr>
        <w:trPr>
          <w:tblHeader w:val="true"/>
        </w:trPr>
        <w:tc>
          <w:tcPr>
            <w:tcW w:type="dxa" w:w="406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Stakeholder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CU-01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CU-02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CU-03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CU-04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CU-05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CU-06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CU-07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CU-08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CU-09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CU-10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CU-11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CU-12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CU-13</w:t>
            </w:r>
          </w:p>
        </w:tc>
        <w:tc>
          <w:tcPr>
            <w:tcW w:type="dxa" w:w="677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CU-14</w:t>
            </w: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Proceso de negocio (criterio 1)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P01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P01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P01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P01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P02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P02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P02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P03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P03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P03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P03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P04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P04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P04</w:t>
            </w: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STK-01 VP Gestión de Materiales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STK-02 VP Servicios de Información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STK-03 Grupo de Unidad de Compras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STK-04 Dir. Planif. y Control de Compras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STK-05 Director del proyecto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STK-06 Compradores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STK-07 Empleados solicitantes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STK-08 Suministradores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STK-09 Integración de Arquitecturas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STK-10 Sistemas del Grupo de Fabricación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STK-11 Gestión del Cambio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STK-12 Innovación de Procesos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STK-13 Cuentas de Acreedores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STK-14 Logística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STK-15 Fabricación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STK-16 Ingeniería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40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STK-17 Proveedor del software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677"/>
          </w:tcPr>
          <w:p>
            <w:pPr>
              <w:keepNext w:val="0"/>
              <w:spacing w:after="20"/>
              <w:jc w:val="center"/>
            </w:pP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19"/>
        </w:rPr>
        <w:t>Lectura:</w:t>
      </w:r>
      <w:r>
        <w:rPr>
          <w:b w:val="0"/>
          <w:i w:val="0"/>
          <w:sz w:val="19"/>
        </w:rPr>
        <w:t xml:space="preserve"> derivada de las matrices 1 y 2. La fila de STK-06 (compradores) es la más densa: son los usuarios principales. La de STK-11 queda vacía por la razón ya dicha. Las columnas CU-02, CU-06 y CU-07 concentran más interesados: son los casos de la fase 1, y por eso la fase 1 va primero.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4.4 Matriz 4: Requerimientos vs. Requerimientos</w:t>
      </w:r>
    </w:p>
    <w:p>
      <w:pPr>
        <w:keepNext w:val="0"/>
      </w:pPr>
      <w:r>
        <w:rPr>
          <w:b w:val="0"/>
          <w:i w:val="0"/>
          <w:sz w:val="19"/>
        </w:rPr>
        <w:t xml:space="preserve">Matriz cuadrada de </w:t>
      </w:r>
      <w:r>
        <w:rPr>
          <w:b/>
          <w:i w:val="0"/>
          <w:sz w:val="19"/>
        </w:rPr>
        <w:t>dependencia</w:t>
      </w:r>
      <w:r>
        <w:rPr>
          <w:b w:val="0"/>
          <w:i w:val="0"/>
          <w:sz w:val="19"/>
        </w:rPr>
        <w:t xml:space="preserve">, con la plantilla de la nota técnica de trazabilidad: las columnas originan la dependencia y las filas dependen. Se lee </w:t>
      </w:r>
      <w:r>
        <w:rPr>
          <w:b/>
          <w:i w:val="0"/>
          <w:sz w:val="19"/>
        </w:rPr>
        <w:t>«la fila depende de la columna»</w:t>
      </w:r>
      <w:r>
        <w:rPr>
          <w:b w:val="0"/>
          <w:i w:val="0"/>
          <w:sz w:val="19"/>
        </w:rPr>
        <w:t>. La diagonal no aplica.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3790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</w:tblGrid>
      <w:tr>
        <w:trPr>
          <w:tblHeader w:val="true"/>
        </w:trPr>
        <w:tc>
          <w:tcPr>
            <w:tcW w:type="dxa" w:w="379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6"/>
              </w:rPr>
              <w:t>Depende ↓ / de →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01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02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03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04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05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06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07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08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09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10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11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12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13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14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15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16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17</w:t>
            </w:r>
          </w:p>
        </w:tc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RF-01 Solicitud de pedido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6"/>
              </w:rPr>
              <w:t>RF-02 Requisitos MRP/DRP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RF-03 Aprobación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RF-04 Pedido de compra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RF-05 Agrupar demanda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RF-06 Recepción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RF-07 Seguimiento de plazos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RF-08 Conciliar factura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RF-09 Envío a pago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RF-10 Registro de suministradores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RF-11 Publicar resultados y demanda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RF-12 Evaluar suministrador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RF-13 Documentos por Internet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RF-14 Consolidar datos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RF-15 Planificar proyecto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RF-16 Coste objetivo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RF-17 Preparación de lanzamiento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X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6"/>
              </w:rPr>
              <w:t>RF-18 Integración con existentes</w:t>
            </w: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</w:p>
        </w:tc>
        <w:tc>
          <w:tcPr>
            <w:tcW w:type="dxa" w:w="541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6"/>
              </w:rPr>
              <w:t>-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19"/>
        </w:rPr>
        <w:t>Lectura:</w:t>
      </w:r>
      <w:r>
        <w:rPr>
          <w:b w:val="0"/>
          <w:i w:val="0"/>
          <w:sz w:val="19"/>
        </w:rPr>
        <w:t xml:space="preserve"> las columnas más marcadas son </w:t>
      </w:r>
      <w:r>
        <w:rPr>
          <w:b/>
          <w:i w:val="0"/>
          <w:sz w:val="19"/>
        </w:rPr>
        <w:t>RF-10</w:t>
      </w:r>
      <w:r>
        <w:rPr>
          <w:b w:val="0"/>
          <w:i w:val="0"/>
          <w:sz w:val="19"/>
        </w:rPr>
        <w:t xml:space="preserve"> (registro único de suministradores, seis dependientes), </w:t>
      </w:r>
      <w:r>
        <w:rPr>
          <w:b/>
          <w:i w:val="0"/>
          <w:sz w:val="19"/>
        </w:rPr>
        <w:t>RF-04</w:t>
      </w:r>
      <w:r>
        <w:rPr>
          <w:b w:val="0"/>
          <w:i w:val="0"/>
          <w:sz w:val="19"/>
        </w:rPr>
        <w:t xml:space="preserve"> (pedido de compra, cuatro) y </w:t>
      </w:r>
      <w:r>
        <w:rPr>
          <w:b/>
          <w:i w:val="0"/>
          <w:sz w:val="19"/>
        </w:rPr>
        <w:t>RF-18</w:t>
      </w:r>
      <w:r>
        <w:rPr>
          <w:b w:val="0"/>
          <w:i w:val="0"/>
          <w:sz w:val="19"/>
        </w:rPr>
        <w:t xml:space="preserve"> (integración, tres). Son la base de todo lo demás, y confirman el orden de las fases: primero las transacciones, y el registro de suministradores antes que su evaluación. RF-01, RF-10 y RF-18 no dependen de nadie: por ahí se empieza a construir.</w:t>
      </w:r>
    </w:p>
    <w:p>
      <w:pPr>
        <w:pStyle w:val="Heading1"/>
      </w:pPr>
      <w:r>
        <w:rPr>
          <w:color w:val="000000"/>
        </w:rPr>
      </w:r>
      <w:r>
        <w:rPr>
          <w:b/>
          <w:i w:val="0"/>
          <w:color w:val="000000"/>
        </w:rPr>
        <w:t>5. Estilos arquitectónicos y diagrama de despliegue (criterio 5, 20 pts)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5.1 La decisión</w:t>
      </w:r>
    </w:p>
    <w:p>
      <w:pPr>
        <w:keepNext w:val="0"/>
      </w:pPr>
      <w:r>
        <w:rPr>
          <w:b/>
          <w:i w:val="0"/>
          <w:sz w:val="21"/>
        </w:rPr>
        <w:t>Estilo principal: arquitectura orientada a servicios (SOA), con un servicio por proceso de negocio</w:t>
      </w:r>
      <w:r>
        <w:rPr>
          <w:b w:val="0"/>
          <w:i w:val="0"/>
          <w:sz w:val="21"/>
        </w:rPr>
        <w:t xml:space="preserve"> (CDU-01 a CDU-04), más un servicio de integración; </w:t>
      </w:r>
      <w:r>
        <w:rPr>
          <w:b/>
          <w:i w:val="0"/>
          <w:sz w:val="21"/>
        </w:rPr>
        <w:t>en capas</w:t>
      </w:r>
      <w:r>
        <w:rPr>
          <w:b w:val="0"/>
          <w:i w:val="0"/>
          <w:sz w:val="21"/>
        </w:rPr>
        <w:t xml:space="preserve"> por dentro y </w:t>
      </w:r>
      <w:r>
        <w:rPr>
          <w:b/>
          <w:i w:val="0"/>
          <w:sz w:val="21"/>
        </w:rPr>
        <w:t>basada en eventos</w:t>
      </w:r>
      <w:r>
        <w:rPr>
          <w:b w:val="0"/>
          <w:i w:val="0"/>
          <w:sz w:val="21"/>
        </w:rPr>
        <w:t xml:space="preserve"> entre servicios. Es la misma combinación del ejemplo de clase (perspectiva lógica capas/SOA y bloques basados en eventos). Un </w:t>
      </w:r>
      <w:r>
        <w:rPr>
          <w:b/>
          <w:i w:val="0"/>
          <w:sz w:val="21"/>
        </w:rPr>
        <w:t>estilo arquitectónico</w:t>
      </w:r>
      <w:r>
        <w:rPr>
          <w:b w:val="0"/>
          <w:i w:val="0"/>
          <w:sz w:val="21"/>
        </w:rPr>
        <w:t xml:space="preserve"> establece las restricciones sobre la arquitectura de una familia de diseños; se elige en función de los drivers, no por preferencia.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5.2 Por qué SOA, en función de los criterios anteriores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4332"/>
        <w:gridCol w:w="5956"/>
        <w:gridCol w:w="3249"/>
      </w:tblGrid>
      <w:tr>
        <w:trPr>
          <w:tblHeader w:val="true"/>
        </w:trPr>
        <w:tc>
          <w:tcPr>
            <w:tcW w:type="dxa" w:w="433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Escalón de la lámina «Funcionamiento de la Arquitectura (SOA)»</w:t>
            </w:r>
          </w:p>
        </w:tc>
        <w:tc>
          <w:tcPr>
            <w:tcW w:type="dxa" w:w="595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Cómo se cumple en SiL'K</w:t>
            </w:r>
          </w:p>
        </w:tc>
        <w:tc>
          <w:tcPr>
            <w:tcW w:type="dxa" w:w="324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Criterio que lo respalda</w:t>
            </w:r>
          </w:p>
        </w:tc>
      </w:tr>
      <w:tr>
        <w:trPr>
          <w:cantSplit/>
        </w:trPr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/>
                <w:sz w:val="18"/>
              </w:rPr>
              <w:t>«Define las necesidades del negocio»</w:t>
            </w:r>
          </w:p>
        </w:tc>
        <w:tc>
          <w:tcPr>
            <w:tcW w:type="dxa" w:w="595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La Estrategia de Gestión de Suministros y el negocio delimitado</w:t>
            </w:r>
          </w:p>
        </w:tc>
        <w:tc>
          <w:tcPr>
            <w:tcW w:type="dxa" w:w="324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§1, caso de negocio</w:t>
            </w:r>
          </w:p>
        </w:tc>
      </w:tr>
      <w:tr>
        <w:trPr>
          <w:cantSplit/>
        </w:trPr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/>
                <w:sz w:val="18"/>
              </w:rPr>
              <w:t>«Desarrolla procesos de negocio como Servicios»</w:t>
            </w:r>
          </w:p>
        </w:tc>
        <w:tc>
          <w:tcPr>
            <w:tcW w:type="dxa" w:w="595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Los cuatro procesos de la primera descomposición son los cuatro servicios: la granularidad ya viene decidida</w:t>
            </w:r>
          </w:p>
        </w:tc>
        <w:tc>
          <w:tcPr>
            <w:tcW w:type="dxa" w:w="324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§1.3 · matriz 2</w:t>
            </w:r>
          </w:p>
        </w:tc>
      </w:tr>
      <w:tr>
        <w:trPr>
          <w:cantSplit/>
        </w:trPr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/>
                <w:sz w:val="18"/>
              </w:rPr>
              <w:t>«Permite que cada Servicio evolucione independientemente»</w:t>
            </w:r>
          </w:p>
        </w:tc>
        <w:tc>
          <w:tcPr>
            <w:tcW w:type="dxa" w:w="595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Las tres fases de implantación se entregan servicio por servicio, sin detener lo ya entregado</w:t>
            </w:r>
          </w:p>
        </w:tc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RE-05 · RE-12 · EAC-07</w:t>
            </w:r>
          </w:p>
        </w:tc>
      </w:tr>
      <w:tr>
        <w:trPr>
          <w:cantSplit/>
        </w:trPr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/>
                <w:sz w:val="18"/>
              </w:rPr>
              <w:t>«Plantea aplicaciones distribuidas, multi-nivel»</w:t>
            </w:r>
          </w:p>
        </w:tc>
        <w:tc>
          <w:tcPr>
            <w:tcW w:type="dxa" w:w="595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Siete centros, cinco filiales y suministradores externos acceden a la misma plataforma</w:t>
            </w:r>
          </w:p>
        </w:tc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RE-11 · RE-03 · EAC-03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 w:val="0"/>
          <w:i w:val="0"/>
          <w:sz w:val="21"/>
        </w:rPr>
        <w:t xml:space="preserve">La razón de fondo es de </w:t>
      </w:r>
      <w:r>
        <w:rPr>
          <w:b/>
          <w:i w:val="0"/>
          <w:sz w:val="21"/>
        </w:rPr>
        <w:t>integración</w:t>
      </w:r>
      <w:r>
        <w:rPr>
          <w:b w:val="0"/>
          <w:i w:val="0"/>
          <w:sz w:val="21"/>
        </w:rPr>
        <w:t>: el problema que el caso describe son sistemas de compras distintos en cada centro (pág. 4) y la obligación de convivir con lo existente (RE-01, RE-13, RE-14). SOA expone cada proceso con un contrato estable, detrás del cual puede haber el paquete comprado (RE-02) o un sistema de planta.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5.3 Estilos complementarios, cada uno con su driver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3249"/>
        <w:gridCol w:w="7580"/>
        <w:gridCol w:w="2707"/>
      </w:tblGrid>
      <w:tr>
        <w:trPr>
          <w:tblHeader w:val="true"/>
        </w:trPr>
        <w:tc>
          <w:tcPr>
            <w:tcW w:type="dxa" w:w="324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Estilo</w:t>
            </w:r>
          </w:p>
        </w:tc>
        <w:tc>
          <w:tcPr>
            <w:tcW w:type="dxa" w:w="758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Dónde se aplica</w:t>
            </w:r>
          </w:p>
        </w:tc>
        <w:tc>
          <w:tcPr>
            <w:tcW w:type="dxa" w:w="270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Driver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En capas</w:t>
            </w:r>
          </w:p>
        </w:tc>
        <w:tc>
          <w:tcPr>
            <w:tcW w:type="dxa" w:w="758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Dentro de cada servicio: presentación, lógica de negocio y datos</w:t>
            </w:r>
          </w:p>
        </w:tc>
        <w:tc>
          <w:tcPr>
            <w:tcW w:type="dxa" w:w="270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EAC-07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Cliente-servidor (N niveles)</w:t>
            </w:r>
          </w:p>
        </w:tc>
        <w:tc>
          <w:tcPr>
            <w:tcW w:type="dxa" w:w="758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Navegador, portal y tableta como clientes; servicios y base de datos como niveles</w:t>
            </w:r>
          </w:p>
        </w:tc>
        <w:tc>
          <w:tcPr>
            <w:tcW w:type="dxa" w:w="270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EAC-03 · RE-11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Llamada y retorno</w:t>
            </w:r>
          </w:p>
        </w:tc>
        <w:tc>
          <w:tcPr>
            <w:tcW w:type="dxa" w:w="7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Operaciones interactivas: emitir un pedido, aprobar, consultar</w:t>
            </w:r>
          </w:p>
        </w:tc>
        <w:tc>
          <w:tcPr>
            <w:tcW w:type="dxa" w:w="270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EAC-02 · EAC-05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Basado en eventos</w:t>
            </w:r>
          </w:p>
        </w:tc>
        <w:tc>
          <w:tcPr>
            <w:tcW w:type="dxa" w:w="7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Entre servicios y hacia los centros: «pedido emitido», «material recibido», «factura conciliada»</w:t>
            </w:r>
          </w:p>
        </w:tc>
        <w:tc>
          <w:tcPr>
            <w:tcW w:type="dxa" w:w="270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EAC-01 · EAC-09 · RE-12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Tuberías y filtros</w:t>
            </w:r>
          </w:p>
        </w:tc>
        <w:tc>
          <w:tcPr>
            <w:tcW w:type="dxa" w:w="7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Carga del almacén analítico: extraer, depurar duplicados, consolidar</w:t>
            </w:r>
          </w:p>
        </w:tc>
        <w:tc>
          <w:tcPr>
            <w:tcW w:type="dxa" w:w="270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RF-14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5.4 Estilos descartados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3519"/>
        <w:gridCol w:w="10017"/>
      </w:tblGrid>
      <w:tr>
        <w:trPr>
          <w:tblHeader w:val="true"/>
        </w:trPr>
        <w:tc>
          <w:tcPr>
            <w:tcW w:type="dxa" w:w="351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Estilo</w:t>
            </w:r>
          </w:p>
        </w:tc>
        <w:tc>
          <w:tcPr>
            <w:tcW w:type="dxa" w:w="1001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Por qué no</w:t>
            </w:r>
          </w:p>
        </w:tc>
      </w:tr>
      <w:tr>
        <w:trPr>
          <w:cantSplit/>
        </w:trPr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Monolítico</w:t>
            </w:r>
            <w:r>
              <w:rPr>
                <w:b w:val="0"/>
                <w:i w:val="0"/>
                <w:sz w:val="18"/>
              </w:rPr>
              <w:t xml:space="preserve"> (un ERP completo)</w:t>
            </w:r>
          </w:p>
        </w:tc>
        <w:tc>
          <w:tcPr>
            <w:tcW w:type="dxa" w:w="100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 xml:space="preserve">Lo prohíbe el caso: </w:t>
            </w:r>
            <w:r>
              <w:rPr>
                <w:b w:val="0"/>
                <w:i/>
                <w:sz w:val="18"/>
              </w:rPr>
              <w:t>«no estaba buscando una solución completa de planificación de recursos empresariales»</w:t>
            </w:r>
            <w:r>
              <w:rPr>
                <w:b w:val="0"/>
                <w:i w:val="0"/>
                <w:sz w:val="18"/>
              </w:rPr>
              <w:t xml:space="preserve"> (RE-04). Además obligaría a implantar todo de una vez, contra RE-05</w:t>
            </w:r>
          </w:p>
        </w:tc>
      </w:tr>
      <w:tr>
        <w:trPr>
          <w:cantSplit/>
        </w:trPr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Microservicios</w:t>
            </w:r>
          </w:p>
        </w:tc>
        <w:tc>
          <w:tcPr>
            <w:tcW w:type="dxa" w:w="100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La granularidad por proceso ya basta; partir más fino multiplica la operación sin un driver que lo pida, y el núcleo es un paquete de mercado (RE-02)</w:t>
            </w:r>
          </w:p>
        </w:tc>
      </w:tr>
      <w:tr>
        <w:trPr>
          <w:cantSplit/>
        </w:trPr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Par a par</w:t>
            </w:r>
          </w:p>
        </w:tc>
        <w:tc>
          <w:tcPr>
            <w:tcW w:type="dxa" w:w="100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Hay un dueño claro de los datos (Compras): no hay pares equivalentes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5.5 Patrones arquitectónicos usados</w:t>
      </w:r>
    </w:p>
    <w:p>
      <w:pPr>
        <w:keepNext w:val="0"/>
      </w:pPr>
      <w:r>
        <w:rPr>
          <w:b w:val="0"/>
          <w:i w:val="0"/>
          <w:sz w:val="21"/>
        </w:rPr>
        <w:t xml:space="preserve">De la lista de clase, de menor alcance que el estilo y con una regla cada uno: </w:t>
      </w:r>
      <w:r>
        <w:rPr>
          <w:b/>
          <w:i w:val="0"/>
          <w:sz w:val="21"/>
        </w:rPr>
        <w:t>API Gateway</w:t>
      </w:r>
      <w:r>
        <w:rPr>
          <w:b w:val="0"/>
          <w:i w:val="0"/>
          <w:sz w:val="21"/>
        </w:rPr>
        <w:t xml:space="preserve"> (una sola puerta de entrada para suministradores y clientes web), </w:t>
      </w:r>
      <w:r>
        <w:rPr>
          <w:b/>
          <w:i w:val="0"/>
          <w:sz w:val="21"/>
        </w:rPr>
        <w:t>Single Sign-On</w:t>
      </w:r>
      <w:r>
        <w:rPr>
          <w:b w:val="0"/>
          <w:i w:val="0"/>
          <w:sz w:val="21"/>
        </w:rPr>
        <w:t xml:space="preserve"> y </w:t>
      </w:r>
      <w:r>
        <w:rPr>
          <w:b/>
          <w:i w:val="0"/>
          <w:sz w:val="21"/>
        </w:rPr>
        <w:t>Access Token</w:t>
      </w:r>
      <w:r>
        <w:rPr>
          <w:b w:val="0"/>
          <w:i w:val="0"/>
          <w:sz w:val="21"/>
        </w:rPr>
        <w:t xml:space="preserve"> (identidad corporativa y de suministradores), </w:t>
      </w:r>
      <w:r>
        <w:rPr>
          <w:b/>
          <w:i w:val="0"/>
          <w:sz w:val="21"/>
        </w:rPr>
        <w:t>Load Balance</w:t>
      </w:r>
      <w:r>
        <w:rPr>
          <w:b w:val="0"/>
          <w:i w:val="0"/>
          <w:sz w:val="21"/>
        </w:rPr>
        <w:t xml:space="preserve"> (reparto entre nodos), </w:t>
      </w:r>
      <w:r>
        <w:rPr>
          <w:b/>
          <w:i w:val="0"/>
          <w:sz w:val="21"/>
        </w:rPr>
        <w:t>Circuit Breaker</w:t>
      </w:r>
      <w:r>
        <w:rPr>
          <w:b w:val="0"/>
          <w:i w:val="0"/>
          <w:sz w:val="21"/>
        </w:rPr>
        <w:t xml:space="preserve"> (un sistema de planta caído no arrastra a los servicios), </w:t>
      </w:r>
      <w:r>
        <w:rPr>
          <w:b/>
          <w:i w:val="0"/>
          <w:sz w:val="21"/>
        </w:rPr>
        <w:t>Store and forward</w:t>
      </w:r>
      <w:r>
        <w:rPr>
          <w:b w:val="0"/>
          <w:i w:val="0"/>
          <w:sz w:val="21"/>
        </w:rPr>
        <w:t xml:space="preserve"> (el agente de planta y la tableta guardan y reenvían), </w:t>
      </w:r>
      <w:r>
        <w:rPr>
          <w:b/>
          <w:i w:val="0"/>
          <w:sz w:val="21"/>
        </w:rPr>
        <w:t>Webhook</w:t>
      </w:r>
      <w:r>
        <w:rPr>
          <w:b w:val="0"/>
          <w:i w:val="0"/>
          <w:sz w:val="21"/>
        </w:rPr>
        <w:t xml:space="preserve"> (aviso al sistema del suministrador) y </w:t>
      </w:r>
      <w:r>
        <w:rPr>
          <w:b/>
          <w:i w:val="0"/>
          <w:sz w:val="21"/>
        </w:rPr>
        <w:t>Log aggregation</w:t>
      </w:r>
      <w:r>
        <w:rPr>
          <w:b w:val="0"/>
          <w:i w:val="0"/>
          <w:sz w:val="21"/>
        </w:rPr>
        <w:t xml:space="preserve"> (bitácora única).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5.6 Lo que cambia al traer el caso al presente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5144"/>
        <w:gridCol w:w="5685"/>
        <w:gridCol w:w="2707"/>
      </w:tblGrid>
      <w:tr>
        <w:trPr>
          <w:tblHeader w:val="true"/>
        </w:trPr>
        <w:tc>
          <w:tcPr>
            <w:tcW w:type="dxa" w:w="514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En el caso (1998-1999)</w:t>
            </w:r>
          </w:p>
        </w:tc>
        <w:tc>
          <w:tcPr>
            <w:tcW w:type="dxa" w:w="568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Hoy</w:t>
            </w:r>
          </w:p>
        </w:tc>
        <w:tc>
          <w:tcPr>
            <w:tcW w:type="dxa" w:w="270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Driver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«Red Internet de Suministros»; intercambio electrónico de documentos</w:t>
            </w:r>
          </w:p>
        </w:tc>
        <w:tc>
          <w:tcPr>
            <w:tcW w:type="dxa" w:w="568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Portal web del suministrador y API sobre HTTPS</w:t>
            </w:r>
          </w:p>
        </w:tc>
        <w:tc>
          <w:tcPr>
            <w:tcW w:type="dxa" w:w="270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RE-03 · EAC-04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Un sistema de compras por centro, modificado localmente</w:t>
            </w:r>
          </w:p>
        </w:tc>
        <w:tc>
          <w:tcPr>
            <w:tcW w:type="dxa" w:w="568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Una plataforma única en la nube, configurada y no personalizada</w:t>
            </w:r>
          </w:p>
        </w:tc>
        <w:tc>
          <w:tcPr>
            <w:tcW w:type="dxa" w:w="270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RE-08 · EAC-07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Servidores propios por planta</w:t>
            </w:r>
          </w:p>
        </w:tc>
        <w:tc>
          <w:tcPr>
            <w:tcW w:type="dxa" w:w="5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Contenedores e infraestructura definida como código</w:t>
            </w:r>
          </w:p>
        </w:tc>
        <w:tc>
          <w:tcPr>
            <w:tcW w:type="dxa" w:w="270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EAC-03 · EAC-08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Usuario y contraseña por sistema</w:t>
            </w:r>
          </w:p>
        </w:tc>
        <w:tc>
          <w:tcPr>
            <w:tcW w:type="dxa" w:w="5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Inicio de sesión único con doble factor</w:t>
            </w:r>
          </w:p>
        </w:tc>
        <w:tc>
          <w:tcPr>
            <w:tcW w:type="dxa" w:w="270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EAC-04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Lista de control de funcionalidades y demostraciones</w:t>
            </w:r>
          </w:p>
        </w:tc>
        <w:tc>
          <w:tcPr>
            <w:tcW w:type="dxa" w:w="5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Además, escenarios de atributos de calidad medibles</w:t>
            </w:r>
          </w:p>
        </w:tc>
        <w:tc>
          <w:tcPr>
            <w:tcW w:type="dxa" w:w="270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§3.2 · §6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ISO/IEC 9126</w:t>
            </w:r>
          </w:p>
        </w:tc>
        <w:tc>
          <w:tcPr>
            <w:tcW w:type="dxa" w:w="5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Familia ISO/IEC 25000</w:t>
            </w:r>
          </w:p>
        </w:tc>
        <w:tc>
          <w:tcPr>
            <w:tcW w:type="dxa" w:w="270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§6.4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5.7 Diagrama de bloques: arquitectura basada en eventos</w:t>
      </w:r>
    </w:p>
    <w:p>
      <w:pPr>
        <w:keepNext/>
      </w:pPr>
      <w:r>
        <w:rPr>
          <w:b w:val="0"/>
          <w:i w:val="0"/>
          <w:sz w:val="21"/>
        </w:rPr>
        <w:t xml:space="preserve">El </w:t>
      </w:r>
      <w:r>
        <w:rPr>
          <w:b/>
          <w:i w:val="0"/>
          <w:sz w:val="21"/>
        </w:rPr>
        <w:t>diagrama de bloques de alto nivel</w:t>
      </w:r>
      <w:r>
        <w:rPr>
          <w:b w:val="0"/>
          <w:i w:val="0"/>
          <w:sz w:val="21"/>
        </w:rPr>
        <w:t xml:space="preserve"> es el primer paso antes del detalle: quién produce, quién enruta y quién consume. Toda flecha lleva el nombre del evento que transporta.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863840" cy="4986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ques-h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98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8. Diagrama de bloques de SiL'K: productores, enrutador y consumidores de eventos.</w:t>
      </w:r>
    </w:p>
    <w:p>
      <w:pPr>
        <w:keepNext w:val="0"/>
      </w:pPr>
      <w:r>
        <w:rPr>
          <w:b/>
          <w:i w:val="0"/>
          <w:sz w:val="21"/>
        </w:rPr>
        <w:t>Cómo se integra el bus de eventos.</w:t>
      </w:r>
      <w:r>
        <w:rPr>
          <w:b w:val="0"/>
          <w:i w:val="0"/>
          <w:sz w:val="21"/>
        </w:rPr>
        <w:t xml:space="preserve"> Es un componente central con una interfaz para publicar y suscribirse; los publicadores no conocen a los suscriptores.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2301"/>
        <w:gridCol w:w="3384"/>
        <w:gridCol w:w="4332"/>
        <w:gridCol w:w="3519"/>
      </w:tblGrid>
      <w:tr>
        <w:trPr>
          <w:tblHeader w:val="true"/>
        </w:trPr>
        <w:tc>
          <w:tcPr>
            <w:tcW w:type="dxa" w:w="230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Evento</w:t>
            </w:r>
          </w:p>
        </w:tc>
        <w:tc>
          <w:tcPr>
            <w:tcW w:type="dxa" w:w="338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Publicador</w:t>
            </w:r>
          </w:p>
        </w:tc>
        <w:tc>
          <w:tcPr>
            <w:tcW w:type="dxa" w:w="433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Suscriptores</w:t>
            </w:r>
          </w:p>
        </w:tc>
        <w:tc>
          <w:tcPr>
            <w:tcW w:type="dxa" w:w="351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Para qué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Solicitud aprobada</w:t>
            </w:r>
          </w:p>
        </w:tc>
        <w:tc>
          <w:tcPr>
            <w:tcW w:type="dxa" w:w="338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Servicio Requisición y Pedido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El mismo servicio (bandeja del comprador)</w:t>
            </w:r>
          </w:p>
        </w:tc>
        <w:tc>
          <w:tcPr>
            <w:tcW w:type="dxa" w:w="351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Que el comprador la convierta en pedido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Pedido emitido</w:t>
            </w:r>
          </w:p>
        </w:tc>
        <w:tc>
          <w:tcPr>
            <w:tcW w:type="dxa" w:w="338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Servicio Requisición y Pedido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Suministradores · Recepción y Facturas · MRP/DRP de planta</w:t>
            </w:r>
          </w:p>
        </w:tc>
        <w:tc>
          <w:tcPr>
            <w:tcW w:type="dxa" w:w="351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Avisar al suministrador y esperar la entrega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Requisitos publicados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Agente de integración de la planta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Servicio Requisición y Pedido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Generar propuestas de pedido (CU-03)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Material recibido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App de recepción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Recepción y Facturas · Suministradores · MRP/DRP de planta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Conciliar y medir el plazo real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Factura conciliada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Servicio Recepción y Facturas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Sistema de Cuentas de Acreedores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Pagar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Retraso detectado</w:t>
            </w:r>
          </w:p>
        </w:tc>
        <w:tc>
          <w:tcPr>
            <w:tcW w:type="dxa" w:w="33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Servicio Recepción y Facturas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Suministradores · comprador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Reclamar y evaluar (CU-18, CU-10)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21"/>
        </w:rPr>
        <w:t>Beneficios para SiL'K</w:t>
      </w:r>
      <w:r>
        <w:rPr>
          <w:b w:val="0"/>
          <w:i w:val="0"/>
          <w:sz w:val="21"/>
        </w:rPr>
        <w:t>, los cuatro de clase: comunicación desacoplada (una planta caída no detiene a las demás, RE-12), flexibilidad (cada fase agrega suscriptores sin tocar lo entregado, RE-05), escalabilidad (EAC-03) y reutilización de los eventos (el almacén analítico los recibe todos, RF-14).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5.8 Perspectiva lógica: capas dentro de cada servicio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3790"/>
        <w:gridCol w:w="9746"/>
      </w:tblGrid>
      <w:tr>
        <w:trPr>
          <w:tblHeader w:val="true"/>
        </w:trPr>
        <w:tc>
          <w:tcPr>
            <w:tcW w:type="dxa" w:w="379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Elemento</w:t>
            </w:r>
          </w:p>
        </w:tc>
        <w:tc>
          <w:tcPr>
            <w:tcW w:type="dxa" w:w="974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Capa de presentación</w:t>
            </w:r>
          </w:p>
        </w:tc>
        <w:tc>
          <w:tcPr>
            <w:tcW w:type="dxa" w:w="974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Recibe la interacción del usuario y le muestra resultados: aplicación web, portal del suministrador y app de recepción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Capa de servicios web</w:t>
            </w:r>
          </w:p>
        </w:tc>
        <w:tc>
          <w:tcPr>
            <w:tcW w:type="dxa" w:w="974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Expone los servicios para integrar sistemas externos: API Gateway y contratos de cada servicio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Capa de negocio</w:t>
            </w:r>
          </w:p>
        </w:tc>
        <w:tc>
          <w:tcPr>
            <w:tcW w:type="dxa" w:w="974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Coordina la ejecución de los casos de uso: los cuatro servicios, uno por proceso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Capa de datos</w:t>
            </w:r>
          </w:p>
        </w:tc>
        <w:tc>
          <w:tcPr>
            <w:tcW w:type="dxa" w:w="974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Almacena los objetos y oculta al resto que es una base relacional</w:t>
            </w:r>
          </w:p>
        </w:tc>
      </w:tr>
      <w:tr>
        <w:trPr>
          <w:cantSplit/>
        </w:trPr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Capa de integración</w:t>
            </w:r>
          </w:p>
        </w:tc>
        <w:tc>
          <w:tcPr>
            <w:tcW w:type="dxa" w:w="974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Conecta con los sistemas existentes: MRP/DRP de planta, Cuentas de Acreedores, ingeniería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5.9 Diagrama de despliegue</w:t>
      </w:r>
    </w:p>
    <w:p>
      <w:pPr>
        <w:keepNext/>
      </w:pPr>
      <w:r>
        <w:rPr>
          <w:b w:val="0"/>
          <w:i w:val="0"/>
          <w:sz w:val="21"/>
        </w:rPr>
        <w:t xml:space="preserve">El </w:t>
      </w:r>
      <w:r>
        <w:rPr>
          <w:b/>
          <w:i w:val="0"/>
          <w:sz w:val="21"/>
        </w:rPr>
        <w:t>diagrama de despliegue</w:t>
      </w:r>
      <w:r>
        <w:rPr>
          <w:b w:val="0"/>
          <w:i w:val="0"/>
          <w:sz w:val="21"/>
        </w:rPr>
        <w:t xml:space="preserve"> (o de distribución) muestra los nodos físicos y qué componentes ejecuta cada uno. Notación de clase: nodo como cubo; «device» para el hardware y «executionEnvironment» para el software que aloja componentes; componentes </w:t>
      </w:r>
      <w:r>
        <w:rPr>
          <w:b/>
          <w:i w:val="0"/>
          <w:sz w:val="21"/>
        </w:rPr>
        <w:t>dentro</w:t>
      </w:r>
      <w:r>
        <w:rPr>
          <w:b w:val="0"/>
          <w:i w:val="0"/>
          <w:sz w:val="21"/>
        </w:rPr>
        <w:t xml:space="preserve"> del nodo; conexión de línea llena con el protocolo; zonas FrontEnd y BackEnd. La figura 9 da la vista de conjunto y las figuras 10 a 12 amplían cada zona.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12480" cy="49801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-h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98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9. Diagrama de despliegue de SiL'K, vista de conjunto.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3249"/>
        <w:gridCol w:w="4873"/>
        <w:gridCol w:w="5414"/>
      </w:tblGrid>
      <w:tr>
        <w:trPr>
          <w:tblHeader w:val="true"/>
        </w:trPr>
        <w:tc>
          <w:tcPr>
            <w:tcW w:type="dxa" w:w="324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Nodo</w:t>
            </w:r>
          </w:p>
        </w:tc>
        <w:tc>
          <w:tcPr>
            <w:tcW w:type="dxa" w:w="487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Componentes</w:t>
            </w:r>
          </w:p>
        </w:tc>
        <w:tc>
          <w:tcPr>
            <w:tcW w:type="dxa" w:w="541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Por qué está ahí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PC de oficina</w:t>
            </w:r>
          </w:p>
        </w:tc>
        <w:tc>
          <w:tcPr>
            <w:tcW w:type="dxa" w:w="487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Aplicación web SiL'K</w:t>
            </w:r>
          </w:p>
        </w:tc>
        <w:tc>
          <w:tcPr>
            <w:tcW w:type="dxa" w:w="541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Compradores, solicitantes y dirección: sin instalación (EAC-05)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Tableta del muelle</w:t>
            </w:r>
          </w:p>
        </w:tc>
        <w:tc>
          <w:tcPr>
            <w:tcW w:type="dxa" w:w="487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App de recepción con cola local</w:t>
            </w:r>
          </w:p>
        </w:tc>
        <w:tc>
          <w:tcPr>
            <w:tcW w:type="dxa" w:w="541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Recibir aunque no haya red (EAC-01)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Equipo y servidor del suministrador</w:t>
            </w:r>
          </w:p>
        </w:tc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Portal del suministrador · cliente de API</w:t>
            </w:r>
          </w:p>
        </w:tc>
        <w:tc>
          <w:tcPr>
            <w:tcW w:type="dxa" w:w="54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Dos formas de acceso: una persona o su sistema (RE-03)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Borde de red</w:t>
            </w:r>
          </w:p>
        </w:tc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API Gateway · proveedor de identidad · pasarela VPN</w:t>
            </w:r>
          </w:p>
        </w:tc>
        <w:tc>
          <w:tcPr>
            <w:tcW w:type="dxa" w:w="54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Única entrada, autenticada y limitada (EAC-04)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Clúster de contenedores</w:t>
            </w:r>
          </w:p>
        </w:tc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Cuatro servicios de negocio · portal · Servicio de Integración</w:t>
            </w:r>
          </w:p>
        </w:tc>
        <w:tc>
          <w:tcPr>
            <w:tcW w:type="dxa" w:w="54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Un servicio por proceso (§5.1); escala por nodos (EAC-03)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Clúster de mensajería</w:t>
            </w:r>
          </w:p>
        </w:tc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Bus de eventos · cola de reintentos</w:t>
            </w:r>
          </w:p>
        </w:tc>
        <w:tc>
          <w:tcPr>
            <w:tcW w:type="dxa" w:w="54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Desacopla servicios y centros (EAC-01, EAC-09)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Servidor de base de datos</w:t>
            </w:r>
          </w:p>
        </w:tc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BD transaccional · bitácora de auditoría</w:t>
            </w:r>
          </w:p>
        </w:tc>
        <w:tc>
          <w:tcPr>
            <w:tcW w:type="dxa" w:w="54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Un registro único (RF-10) y rastro de auditoría (RE-15)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Almacén analítico</w:t>
            </w:r>
          </w:p>
        </w:tc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Almacén de datos · tablero</w:t>
            </w:r>
          </w:p>
        </w:tc>
        <w:tc>
          <w:tcPr>
            <w:tcW w:type="dxa" w:w="54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El gasto consolidado no compite con la operación (EAC-02, RF-14)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Región secundaria</w:t>
            </w:r>
          </w:p>
        </w:tc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Réplica y clúster en espera</w:t>
            </w:r>
          </w:p>
        </w:tc>
        <w:tc>
          <w:tcPr>
            <w:tcW w:type="dxa" w:w="54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Recuperación ante desastre (EAC-01)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Servidor de planta (uno por centro)</w:t>
            </w:r>
          </w:p>
        </w:tc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MRP/DRP · agente de integración · sistema local en retiro</w:t>
            </w:r>
          </w:p>
        </w:tc>
        <w:tc>
          <w:tcPr>
            <w:tcW w:type="dxa" w:w="54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Los sistemas existentes no se mueven (RE-13, RE-14)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Servidores corporativos</w:t>
            </w:r>
          </w:p>
        </w:tc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Cuentas de Acreedores · directorio · sistemas de ingeniería</w:t>
            </w:r>
          </w:p>
        </w:tc>
        <w:tc>
          <w:tcPr>
            <w:tcW w:type="dxa" w:w="54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Sistemas existentes de la sede (RE-13)</w:t>
            </w:r>
          </w:p>
        </w:tc>
      </w:tr>
    </w:tbl>
    <w:p>
      <w:pPr>
        <w:spacing w:after="40"/>
      </w:pPr>
    </w:p>
    <w:p>
      <w:pPr>
        <w:spacing w:after="60"/>
        <w:ind w:left="432"/>
      </w:pPr>
      <w:r>
        <w:rPr>
          <w:b/>
          <w:i w:val="0"/>
          <w:sz w:val="20"/>
        </w:rPr>
        <w:t>Supuestos de dimensionamiento</w:t>
      </w:r>
    </w:p>
    <w:p>
      <w:pPr>
        <w:spacing w:after="200"/>
        <w:ind w:left="432"/>
      </w:pPr>
      <w:r>
        <w:rPr>
          <w:b w:val="0"/>
          <w:i w:val="0"/>
          <w:sz w:val="19"/>
        </w:rPr>
        <w:t>El caso no trae ningún dato de hardware. Para 800 usuarios concurrentes (EAC-02) con crecimiento a 3.000 (EAC-03) se supone: clúster de 3 nodos de 8 vCPU y 32 GB (24 vCPU y 96 GB en total, con capacidad para perder un nodo), base de datos primaria y en espera en zonas distintas, y mensajería de 3 nodos. Son valores de partida para la prueba de carga del paso 5 (§6.1), no un compromiso.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12480" cy="45165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-hd-detalle-1-usu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516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10. Detalle del despliegue: usuarios y dispositivos.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12480" cy="52671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-hd-detalle-2-nub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267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11. Detalle del despliegue: nube privada virtual y región secundaria.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23360" cy="55517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-hd-detalle-3-existe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55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12. Detalle del despliegue: sistemas existentes en los centros.</w:t>
      </w:r>
    </w:p>
    <w:p>
      <w:pPr>
        <w:pStyle w:val="Heading1"/>
        <w:pageBreakBefore/>
      </w:pPr>
      <w:r>
        <w:rPr>
          <w:color w:val="000000"/>
        </w:rPr>
      </w:r>
      <w:r>
        <w:rPr>
          <w:b/>
          <w:i w:val="0"/>
          <w:color w:val="000000"/>
        </w:rPr>
        <w:t>6. Drivers de calidad y de restricción en los pasos, y modelo de calidad (criterio 6, 20 pts)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6.1 Los pasos para definir la arquitectura, con sus drivers</w:t>
      </w:r>
    </w:p>
    <w:p>
      <w:pPr>
        <w:keepNext w:val="0"/>
      </w:pPr>
      <w:r>
        <w:rPr>
          <w:b w:val="0"/>
          <w:i w:val="0"/>
          <w:sz w:val="21"/>
        </w:rPr>
        <w:t xml:space="preserve">Los siete pasos de la lámina </w:t>
      </w:r>
      <w:r>
        <w:rPr>
          <w:b w:val="0"/>
          <w:i/>
          <w:sz w:val="21"/>
        </w:rPr>
        <w:t>Pasos para la definición de una Arquitectura de software</w:t>
      </w:r>
      <w:r>
        <w:rPr>
          <w:b w:val="0"/>
          <w:i w:val="0"/>
          <w:sz w:val="21"/>
        </w:rPr>
        <w:t>. En cada uno se indica qué drivers de calidad y de restricción lo condicionan.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541"/>
        <w:gridCol w:w="2572"/>
        <w:gridCol w:w="4196"/>
        <w:gridCol w:w="3113"/>
        <w:gridCol w:w="3113"/>
      </w:tblGrid>
      <w:tr>
        <w:trPr>
          <w:tblHeader w:val="true"/>
        </w:trPr>
        <w:tc>
          <w:tcPr>
            <w:tcW w:type="dxa" w:w="54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#</w:t>
            </w:r>
          </w:p>
        </w:tc>
        <w:tc>
          <w:tcPr>
            <w:tcW w:type="dxa" w:w="25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Paso</w:t>
            </w:r>
          </w:p>
        </w:tc>
        <w:tc>
          <w:tcPr>
            <w:tcW w:type="dxa" w:w="419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Qué se hizo para SiL'K</w:t>
            </w:r>
          </w:p>
        </w:tc>
        <w:tc>
          <w:tcPr>
            <w:tcW w:type="dxa" w:w="311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Drivers de calidad</w:t>
            </w:r>
          </w:p>
        </w:tc>
        <w:tc>
          <w:tcPr>
            <w:tcW w:type="dxa" w:w="311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Drivers de restricción</w:t>
            </w:r>
          </w:p>
        </w:tc>
      </w:tr>
      <w:tr>
        <w:trPr>
          <w:cantSplit/>
        </w:trPr>
        <w:tc>
          <w:tcPr>
            <w:tcW w:type="dxa" w:w="5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5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 xml:space="preserve">Creación del </w:t>
            </w:r>
            <w:r>
              <w:rPr>
                <w:b/>
                <w:i w:val="0"/>
                <w:sz w:val="17"/>
              </w:rPr>
              <w:t>caso de negocio</w:t>
            </w:r>
          </w:p>
        </w:tc>
        <w:tc>
          <w:tcPr>
            <w:tcW w:type="dxa" w:w="419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Negocio delimitado, contexto, core y descomposición (§1)</w:t>
            </w:r>
          </w:p>
        </w:tc>
        <w:tc>
          <w:tcPr>
            <w:tcW w:type="dxa" w:w="311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-</w:t>
            </w:r>
          </w:p>
        </w:tc>
        <w:tc>
          <w:tcPr>
            <w:tcW w:type="dxa" w:w="311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RE-04 ámbito · RE-06 valor</w:t>
            </w:r>
          </w:p>
        </w:tc>
      </w:tr>
      <w:tr>
        <w:trPr>
          <w:cantSplit/>
        </w:trPr>
        <w:tc>
          <w:tcPr>
            <w:tcW w:type="dxa" w:w="54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57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Entendimiento de los requisitos</w:t>
            </w:r>
          </w:p>
        </w:tc>
        <w:tc>
          <w:tcPr>
            <w:tcW w:type="dxa" w:w="419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Stakeholders, RF, escenarios de calidad y restricciones; matrices (§2-§4)</w:t>
            </w:r>
          </w:p>
        </w:tc>
        <w:tc>
          <w:tcPr>
            <w:tcW w:type="dxa" w:w="311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EAC-01 a EAC-09, escritos como EaC</w:t>
            </w:r>
          </w:p>
        </w:tc>
        <w:tc>
          <w:tcPr>
            <w:tcW w:type="dxa" w:w="311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RE-01 a RE-16, por categoría</w:t>
            </w:r>
          </w:p>
        </w:tc>
      </w:tr>
      <w:tr>
        <w:trPr>
          <w:cantSplit/>
        </w:trPr>
        <w:tc>
          <w:tcPr>
            <w:tcW w:type="dxa" w:w="5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Creación y selección</w:t>
            </w:r>
            <w:r>
              <w:rPr>
                <w:b w:val="0"/>
                <w:i w:val="0"/>
                <w:sz w:val="17"/>
              </w:rPr>
              <w:t xml:space="preserve"> de la arquitectura</w:t>
            </w:r>
          </w:p>
        </w:tc>
        <w:tc>
          <w:tcPr>
            <w:tcW w:type="dxa" w:w="419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SOA con un servicio por proceso y estilos complementarios (§5)</w:t>
            </w:r>
          </w:p>
        </w:tc>
        <w:tc>
          <w:tcPr>
            <w:tcW w:type="dxa" w:w="311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EAC-06 y EAC-07 deciden SOA; EAC-01 y EAC-09 piden eventos</w:t>
            </w:r>
          </w:p>
        </w:tc>
        <w:tc>
          <w:tcPr>
            <w:tcW w:type="dxa" w:w="311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RE-01, RE-02, RE-13 (integrar) · RE-04 (no monolítico)</w:t>
            </w:r>
          </w:p>
        </w:tc>
      </w:tr>
      <w:tr>
        <w:trPr>
          <w:cantSplit/>
        </w:trPr>
        <w:tc>
          <w:tcPr>
            <w:tcW w:type="dxa" w:w="5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Documentación y comunicación</w:t>
            </w:r>
          </w:p>
        </w:tc>
        <w:tc>
          <w:tcPr>
            <w:tcW w:type="dxa" w:w="419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Este documento: vista de escenarios (CDU) y vista física (despliegue)</w:t>
            </w:r>
          </w:p>
        </w:tc>
        <w:tc>
          <w:tcPr>
            <w:tcW w:type="dxa" w:w="311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Cada EaC ubicado en un nodo (§6.2)</w:t>
            </w:r>
          </w:p>
        </w:tc>
        <w:tc>
          <w:tcPr>
            <w:tcW w:type="dxa" w:w="311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RE-10: comunicar a 800 personas, como los boletines del caso</w:t>
            </w:r>
          </w:p>
        </w:tc>
      </w:tr>
      <w:tr>
        <w:trPr>
          <w:cantSplit/>
        </w:trPr>
        <w:tc>
          <w:tcPr>
            <w:tcW w:type="dxa" w:w="5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Análisis o evaluación</w:t>
            </w:r>
          </w:p>
        </w:tc>
        <w:tc>
          <w:tcPr>
            <w:tcW w:type="dxa" w:w="419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Recorrer los EaC sobre el despliegue y medir con el modelo de calidad (§6.4)</w:t>
            </w:r>
          </w:p>
        </w:tc>
        <w:tc>
          <w:tcPr>
            <w:tcW w:type="dxa" w:w="311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Las nueve medidas son el criterio de aprobación</w:t>
            </w:r>
          </w:p>
        </w:tc>
        <w:tc>
          <w:tcPr>
            <w:tcW w:type="dxa" w:w="311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RE-01: revisión del grupo de Integración de Arquitecturas</w:t>
            </w:r>
          </w:p>
        </w:tc>
      </w:tr>
      <w:tr>
        <w:trPr>
          <w:cantSplit/>
        </w:trPr>
        <w:tc>
          <w:tcPr>
            <w:tcW w:type="dxa" w:w="5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Implementación</w:t>
            </w:r>
            <w:r>
              <w:rPr>
                <w:b w:val="0"/>
                <w:i w:val="0"/>
                <w:sz w:val="17"/>
              </w:rPr>
              <w:t xml:space="preserve"> basada en la arquitectura</w:t>
            </w:r>
          </w:p>
        </w:tc>
        <w:tc>
          <w:tcPr>
            <w:tcW w:type="dxa" w:w="419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Tres fases; cada fase entrega servicios completos</w:t>
            </w:r>
          </w:p>
        </w:tc>
        <w:tc>
          <w:tcPr>
            <w:tcW w:type="dxa" w:w="311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EAC-03: crecer de 800 a 3.000 entre fases</w:t>
            </w:r>
          </w:p>
        </w:tc>
        <w:tc>
          <w:tcPr>
            <w:tcW w:type="dxa" w:w="311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RE-05 fases · RE-12 no parar la línea · RE-14 coexistencia</w:t>
            </w:r>
          </w:p>
        </w:tc>
      </w:tr>
      <w:tr>
        <w:trPr>
          <w:cantSplit/>
        </w:trPr>
        <w:tc>
          <w:tcPr>
            <w:tcW w:type="dxa" w:w="54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Aseguramiento</w:t>
            </w:r>
            <w:r>
              <w:rPr>
                <w:b w:val="0"/>
                <w:i w:val="0"/>
                <w:sz w:val="17"/>
              </w:rPr>
              <w:t xml:space="preserve"> de que la implementación esté acorde</w:t>
            </w:r>
          </w:p>
        </w:tc>
        <w:tc>
          <w:tcPr>
            <w:tcW w:type="dxa" w:w="419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En cada fase se vuelven a medir los EaC y se revisa la conformidad</w:t>
            </w:r>
          </w:p>
        </w:tc>
        <w:tc>
          <w:tcPr>
            <w:tcW w:type="dxa" w:w="311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Las medidas del §3.2 como pruebas de aceptación</w:t>
            </w:r>
          </w:p>
        </w:tc>
        <w:tc>
          <w:tcPr>
            <w:tcW w:type="dxa" w:w="311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RE-15: rastro de auditoría</w:t>
            </w:r>
          </w:p>
        </w:tc>
      </w:tr>
    </w:tbl>
    <w:p>
      <w:pPr>
        <w:spacing w:after="40"/>
      </w:pPr>
    </w:p>
    <w:p>
      <w:pPr>
        <w:spacing w:after="60"/>
        <w:ind w:left="432"/>
      </w:pPr>
      <w:r>
        <w:rPr>
          <w:b/>
          <w:i w:val="0"/>
          <w:sz w:val="20"/>
        </w:rPr>
        <w:t>El caso ya hacía una parte del paso 5</w:t>
      </w:r>
    </w:p>
    <w:p>
      <w:pPr>
        <w:spacing w:after="200"/>
        <w:ind w:left="432"/>
      </w:pPr>
      <w:r>
        <w:rPr>
          <w:b w:val="0"/>
          <w:i w:val="0"/>
          <w:sz w:val="19"/>
        </w:rPr>
        <w:t xml:space="preserve">El equipo de SiL'K evaluó a los finalistas con </w:t>
      </w:r>
      <w:r>
        <w:rPr>
          <w:b w:val="0"/>
          <w:i/>
          <w:sz w:val="19"/>
        </w:rPr>
        <w:t>«diez escenarios posibles, basados en los requisitos tecnológicos y del proceso»</w:t>
      </w:r>
      <w:r>
        <w:rPr>
          <w:b w:val="0"/>
          <w:i w:val="0"/>
          <w:sz w:val="19"/>
        </w:rPr>
        <w:t xml:space="preserve"> (pág. 12) y con una lista de control con umbral del 90 % (pág. 11). Lo que se agrega al traerlo al presente es que los escenarios sean de </w:t>
      </w:r>
      <w:r>
        <w:rPr>
          <w:b/>
          <w:i w:val="0"/>
          <w:sz w:val="19"/>
        </w:rPr>
        <w:t>atributos de calidad</w:t>
      </w:r>
      <w:r>
        <w:rPr>
          <w:b w:val="0"/>
          <w:i w:val="0"/>
          <w:sz w:val="19"/>
        </w:rPr>
        <w:t xml:space="preserve"> y tengan </w:t>
      </w:r>
      <w:r>
        <w:rPr>
          <w:b/>
          <w:i w:val="0"/>
          <w:sz w:val="19"/>
        </w:rPr>
        <w:t>medida</w:t>
      </w:r>
      <w:r>
        <w:rPr>
          <w:b w:val="0"/>
          <w:i w:val="0"/>
          <w:sz w:val="19"/>
        </w:rPr>
        <w:t>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6.2 Los escenarios de calidad incorporados a la solución</w:t>
      </w:r>
    </w:p>
    <w:p>
      <w:pPr>
        <w:keepNext w:val="0"/>
      </w:pPr>
      <w:r>
        <w:rPr>
          <w:b w:val="0"/>
          <w:i w:val="0"/>
          <w:sz w:val="21"/>
        </w:rPr>
        <w:t>Cada escenario del §3.2 se convierte en una decisión de arquitectura y queda ubicado en el despliegue del §5.9. Es la respuesta al numeral 4 de la tarea.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2301"/>
        <w:gridCol w:w="5144"/>
        <w:gridCol w:w="2572"/>
        <w:gridCol w:w="3519"/>
      </w:tblGrid>
      <w:tr>
        <w:trPr>
          <w:tblHeader w:val="true"/>
        </w:trPr>
        <w:tc>
          <w:tcPr>
            <w:tcW w:type="dxa" w:w="230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EaC</w:t>
            </w:r>
          </w:p>
        </w:tc>
        <w:tc>
          <w:tcPr>
            <w:tcW w:type="dxa" w:w="514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Decisión de arquitectura (táctica)</w:t>
            </w:r>
          </w:p>
        </w:tc>
        <w:tc>
          <w:tcPr>
            <w:tcW w:type="dxa" w:w="25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Patrón</w:t>
            </w:r>
          </w:p>
        </w:tc>
        <w:tc>
          <w:tcPr>
            <w:tcW w:type="dxa" w:w="351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Dónde queda en el despliegue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EAC-01 Disponibilidad</w:t>
            </w:r>
          </w:p>
        </w:tc>
        <w:tc>
          <w:tcPr>
            <w:tcW w:type="dxa" w:w="514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Redundancia en dos zonas, base en espera activa, región secundaria; la recepción trabaja sin conexión</w:t>
            </w:r>
          </w:p>
        </w:tc>
        <w:tc>
          <w:tcPr>
            <w:tcW w:type="dxa" w:w="25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Circuit Breaker · Store and forward</w:t>
            </w:r>
          </w:p>
        </w:tc>
        <w:tc>
          <w:tcPr>
            <w:tcW w:type="dxa" w:w="351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Borde · clúster · BD · región secundaria · tableta · agente de planta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EAC-02 Desempeño</w:t>
            </w:r>
          </w:p>
        </w:tc>
        <w:tc>
          <w:tcPr>
            <w:tcW w:type="dxa" w:w="514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Reparto de carga; las consultas analíticas salen de la base transaccional</w:t>
            </w:r>
          </w:p>
        </w:tc>
        <w:tc>
          <w:tcPr>
            <w:tcW w:type="dxa" w:w="25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Load Balance</w:t>
            </w:r>
          </w:p>
        </w:tc>
        <w:tc>
          <w:tcPr>
            <w:tcW w:type="dxa" w:w="351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Borde · almacén analítico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EAC-03 Escalabilidad</w:t>
            </w:r>
          </w:p>
        </w:tc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Servicios sin estado en contenedores; se agregan nodos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Load Balance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Clúster de contenedores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EAC-04 Seguridad</w:t>
            </w:r>
          </w:p>
        </w:tc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Entrada única, doble factor, autorización por suministrador, cifrado en tránsito y en reposo, bitácora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API Gateway · SSO · Access Token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Borde · BD (bitácora)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EAC-05 Usabilidad</w:t>
            </w:r>
          </w:p>
        </w:tc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Una sola aplicación web con catálogo guiado; la interfaz separada de la lógica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-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PC de oficina · portal web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EAC-06 Compatibilidad</w:t>
            </w:r>
          </w:p>
        </w:tc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Adaptadores por sistema, contratos de servicio estables, VPN a los centros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Store and forward · Webhook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Servicio de Integración · agente de planta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EAC-07 Modificabilidad</w:t>
            </w:r>
          </w:p>
        </w:tc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Un servicio por proceso, capas dentro de cada uno, reglas por configuración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Log aggregation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Clúster de contenedores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EAC-08 Portabilidad</w:t>
            </w:r>
          </w:p>
        </w:tc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Contenedores e infraestructura como código; base de datos relacional estándar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-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Clúster · BD</w:t>
            </w:r>
          </w:p>
        </w:tc>
      </w:tr>
      <w:tr>
        <w:trPr>
          <w:cantSplit/>
        </w:trPr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EAC-09 Fiabilidad</w:t>
            </w:r>
          </w:p>
        </w:tc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Mensajes idempotentes, reintentos, transacciones y conciliación a tres bandas</w:t>
            </w:r>
          </w:p>
        </w:tc>
        <w:tc>
          <w:tcPr>
            <w:tcW w:type="dxa" w:w="25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Store and forward</w:t>
            </w:r>
          </w:p>
        </w:tc>
        <w:tc>
          <w:tcPr>
            <w:tcW w:type="dxa" w:w="351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Clúster de mensajería · BD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6.3 Las restricciones incorporadas a la solución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5144"/>
        <w:gridCol w:w="8392"/>
      </w:tblGrid>
      <w:tr>
        <w:trPr>
          <w:tblHeader w:val="true"/>
        </w:trPr>
        <w:tc>
          <w:tcPr>
            <w:tcW w:type="dxa" w:w="514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Restricción</w:t>
            </w:r>
          </w:p>
        </w:tc>
        <w:tc>
          <w:tcPr>
            <w:tcW w:type="dxa" w:w="839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Decisión que impone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RE-01 · RE-13 · RE-14 (compatibilidad e integración)</w:t>
            </w:r>
          </w:p>
        </w:tc>
        <w:tc>
          <w:tcPr>
            <w:tcW w:type="dxa" w:w="839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Servicio de Integración y agente en cada planta; los sistemas existentes no se modifican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RE-02 (paquete de mercado)</w:t>
            </w:r>
          </w:p>
        </w:tc>
        <w:tc>
          <w:tcPr>
            <w:tcW w:type="dxa" w:w="839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El paquete queda detrás de los contratos de servicio: se configura, no se personaliza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RE-03 (acceso por Internet)</w:t>
            </w:r>
          </w:p>
        </w:tc>
        <w:tc>
          <w:tcPr>
            <w:tcW w:type="dxa" w:w="839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Portal y API públicos detrás del API Gateway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RE-04 (no es un ERP)</w:t>
            </w:r>
          </w:p>
        </w:tc>
        <w:tc>
          <w:tcPr>
            <w:tcW w:type="dxa" w:w="839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Solo los cuatro servicios del ámbito; lo demás se integra, no se reemplaza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RE-05 · RE-12 (fases, sin parar la línea)</w:t>
            </w:r>
          </w:p>
        </w:tc>
        <w:tc>
          <w:tcPr>
            <w:tcW w:type="dxa" w:w="839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Un servicio por fase, desplegado sin interrupción; los eventos aíslan a la planta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RE-06 · RE-07 (coste y soporte)</w:t>
            </w:r>
          </w:p>
        </w:tc>
        <w:tc>
          <w:tcPr>
            <w:tcW w:type="dxa" w:w="839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Infraestructura que crece por demanda; un proveedor con hoja de ruta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RE-08 (proceso común)</w:t>
            </w:r>
          </w:p>
        </w:tc>
        <w:tc>
          <w:tcPr>
            <w:tcW w:type="dxa" w:w="839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Un solo servicio por proceso para todos los centros, con reglas configurables por división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RE-10 (cambio y formación)</w:t>
            </w:r>
          </w:p>
        </w:tc>
        <w:tc>
          <w:tcPr>
            <w:tcW w:type="dxa" w:w="839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Una interfaz única y guiada; entornos de formación por fase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RE-11 (centros y filiales)</w:t>
            </w:r>
          </w:p>
        </w:tc>
        <w:tc>
          <w:tcPr>
            <w:tcW w:type="dxa" w:w="839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Acceso web desde cualquier centro; región secundaria</w:t>
            </w:r>
          </w:p>
        </w:tc>
      </w:tr>
      <w:tr>
        <w:trPr>
          <w:cantSplit/>
        </w:trPr>
        <w:tc>
          <w:tcPr>
            <w:tcW w:type="dxa" w:w="51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RE-15 · RE-16 (control interno y datos personales)</w:t>
            </w:r>
          </w:p>
        </w:tc>
        <w:tc>
          <w:tcPr>
            <w:tcW w:type="dxa" w:w="839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Bitácora de solo inserción, segregación de funciones y cifrado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6.4 Determinación del modelo de calidad</w:t>
      </w:r>
    </w:p>
    <w:p>
      <w:pPr>
        <w:keepNext w:val="0"/>
      </w:pPr>
      <w:r>
        <w:rPr>
          <w:b w:val="0"/>
          <w:i w:val="0"/>
          <w:sz w:val="21"/>
        </w:rPr>
        <w:t xml:space="preserve">Un </w:t>
      </w:r>
      <w:r>
        <w:rPr>
          <w:b/>
          <w:i w:val="0"/>
          <w:sz w:val="21"/>
        </w:rPr>
        <w:t>modelo de calidad</w:t>
      </w:r>
      <w:r>
        <w:rPr>
          <w:b w:val="0"/>
          <w:i w:val="0"/>
          <w:sz w:val="21"/>
        </w:rPr>
        <w:t xml:space="preserve"> descompone la calidad del producto en características y subcaracterísticas que se pueden medir. El pensamiento ISO no es una norma suelta, es una </w:t>
      </w:r>
      <w:r>
        <w:rPr>
          <w:b/>
          <w:i w:val="0"/>
          <w:sz w:val="21"/>
        </w:rPr>
        <w:t>familia</w:t>
      </w:r>
      <w:r>
        <w:rPr>
          <w:b w:val="0"/>
          <w:i w:val="0"/>
          <w:sz w:val="21"/>
        </w:rPr>
        <w:t>: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2978"/>
        <w:gridCol w:w="6768"/>
        <w:gridCol w:w="3790"/>
      </w:tblGrid>
      <w:tr>
        <w:trPr>
          <w:tblHeader w:val="true"/>
        </w:trPr>
        <w:tc>
          <w:tcPr>
            <w:tcW w:type="dxa" w:w="297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Norma</w:t>
            </w:r>
          </w:p>
        </w:tc>
        <w:tc>
          <w:tcPr>
            <w:tcW w:type="dxa" w:w="676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Qué aporta</w:t>
            </w:r>
          </w:p>
        </w:tc>
        <w:tc>
          <w:tcPr>
            <w:tcW w:type="dxa" w:w="379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Uso en SiL'K</w:t>
            </w:r>
          </w:p>
        </w:tc>
      </w:tr>
      <w:tr>
        <w:trPr>
          <w:cantSplit/>
        </w:trPr>
        <w:tc>
          <w:tcPr>
            <w:tcW w:type="dxa" w:w="2978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ISO/IEC 9126</w:t>
            </w:r>
            <w:r>
              <w:rPr>
                <w:b w:val="0"/>
                <w:i w:val="0"/>
                <w:sz w:val="18"/>
              </w:rPr>
              <w:t xml:space="preserve"> (2001)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El modelo clásico: seis características (funcionalidad, fiabilidad, usabilidad, eficiencia, mantenibilidad, portabilidad) y métricas internas, externas y en uso</w:t>
            </w:r>
          </w:p>
        </w:tc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Es el modelo del programa del curso; sirve de referencia y de puente</w:t>
            </w:r>
          </w:p>
        </w:tc>
      </w:tr>
      <w:tr>
        <w:trPr>
          <w:cantSplit/>
        </w:trPr>
        <w:tc>
          <w:tcPr>
            <w:tcW w:type="dxa" w:w="2978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ISO/IEC 25000</w:t>
            </w:r>
            <w:r>
              <w:rPr>
                <w:b w:val="0"/>
                <w:i w:val="0"/>
                <w:sz w:val="18"/>
              </w:rPr>
              <w:t xml:space="preserve"> (SQuaRE)</w:t>
            </w:r>
          </w:p>
        </w:tc>
        <w:tc>
          <w:tcPr>
            <w:tcW w:type="dxa" w:w="676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La familia que la sucede, en cinco divisiones: 2500n gestión, 2501n modelo, 2502n medición, 2503n requisitos, 2504n evaluación</w:t>
            </w:r>
          </w:p>
        </w:tc>
        <w:tc>
          <w:tcPr>
            <w:tcW w:type="dxa" w:w="379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Marco general</w:t>
            </w:r>
          </w:p>
        </w:tc>
      </w:tr>
      <w:tr>
        <w:trPr>
          <w:cantSplit/>
        </w:trPr>
        <w:tc>
          <w:tcPr>
            <w:tcW w:type="dxa" w:w="297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ISO/IEC 25010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El modelo de calidad del producto: ocho características</w:t>
            </w:r>
          </w:p>
        </w:tc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Modelo adoptado</w:t>
            </w:r>
          </w:p>
        </w:tc>
      </w:tr>
      <w:tr>
        <w:trPr>
          <w:cantSplit/>
        </w:trPr>
        <w:tc>
          <w:tcPr>
            <w:tcW w:type="dxa" w:w="297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ISO/IEC 25023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Medidas para cada característica</w:t>
            </w:r>
          </w:p>
        </w:tc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Origen de las métricas</w:t>
            </w:r>
          </w:p>
        </w:tc>
      </w:tr>
      <w:tr>
        <w:trPr>
          <w:cantSplit/>
        </w:trPr>
        <w:tc>
          <w:tcPr>
            <w:tcW w:type="dxa" w:w="297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ISO/IEC 25040</w:t>
            </w:r>
          </w:p>
        </w:tc>
        <w:tc>
          <w:tcPr>
            <w:tcW w:type="dxa" w:w="676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El proceso de evaluación</w:t>
            </w:r>
          </w:p>
        </w:tc>
        <w:tc>
          <w:tcPr>
            <w:tcW w:type="dxa" w:w="379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Cómo se aplica en los pasos 5 y 7</w:t>
            </w:r>
          </w:p>
        </w:tc>
      </w:tr>
    </w:tbl>
    <w:p>
      <w:pPr>
        <w:spacing w:after="40"/>
      </w:pPr>
    </w:p>
    <w:p>
      <w:pPr>
        <w:spacing w:after="60"/>
        <w:ind w:left="432"/>
      </w:pPr>
      <w:r>
        <w:rPr>
          <w:b/>
          <w:i w:val="0"/>
          <w:sz w:val="20"/>
        </w:rPr>
        <w:t>Por qué 25010 y no 9126</w:t>
      </w:r>
    </w:p>
    <w:p>
      <w:pPr>
        <w:spacing w:after="200"/>
        <w:ind w:left="432"/>
      </w:pPr>
      <w:r>
        <w:rPr>
          <w:b w:val="0"/>
          <w:i w:val="0"/>
          <w:sz w:val="19"/>
        </w:rPr>
        <w:t>La consigna pide métodos actuales, y la 25010 sustituye a la 9126. Además, lo que más pesa en este caso (</w:t>
      </w:r>
      <w:r>
        <w:rPr>
          <w:b/>
          <w:i w:val="0"/>
          <w:sz w:val="19"/>
        </w:rPr>
        <w:t>seguridad</w:t>
      </w:r>
      <w:r>
        <w:rPr>
          <w:b w:val="0"/>
          <w:i w:val="0"/>
          <w:sz w:val="19"/>
        </w:rPr>
        <w:t xml:space="preserve"> y </w:t>
      </w:r>
      <w:r>
        <w:rPr>
          <w:b/>
          <w:i w:val="0"/>
          <w:sz w:val="19"/>
        </w:rPr>
        <w:t>compatibilidad</w:t>
      </w:r>
      <w:r>
        <w:rPr>
          <w:b w:val="0"/>
          <w:i w:val="0"/>
          <w:sz w:val="19"/>
        </w:rPr>
        <w:t xml:space="preserve">) en la 9126 eran subcaracterísticas de </w:t>
      </w:r>
      <w:r>
        <w:rPr>
          <w:b w:val="0"/>
          <w:i/>
          <w:sz w:val="19"/>
        </w:rPr>
        <w:t>funcionalidad</w:t>
      </w:r>
      <w:r>
        <w:rPr>
          <w:b w:val="0"/>
          <w:i w:val="0"/>
          <w:sz w:val="19"/>
        </w:rPr>
        <w:t>; en la 25010 son características de primer nivel. El caso mismo eliminó a un proveedor por compatibilidad.</w:t>
      </w:r>
    </w:p>
    <w:p>
      <w:pPr>
        <w:keepNext w:val="0"/>
      </w:pPr>
      <w:r>
        <w:rPr>
          <w:b/>
          <w:i w:val="0"/>
          <w:sz w:val="21"/>
        </w:rPr>
        <w:t>El modelo determinado para SiL'K.</w:t>
      </w:r>
      <w:r>
        <w:rPr>
          <w:b w:val="0"/>
          <w:i w:val="0"/>
          <w:sz w:val="21"/>
        </w:rPr>
        <w:t xml:space="preserve"> Cada característica se concreta en una subcaracterística, una métrica y un umbral, y se traza al driver del §3. Es el árbol que se mide en los pasos 5 y 7.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type="dxa" w:w="13535"/>
      </w:tblPr>
      <w:tblGrid>
        <w:gridCol w:w="2030"/>
        <w:gridCol w:w="2301"/>
        <w:gridCol w:w="2301"/>
        <w:gridCol w:w="1760"/>
        <w:gridCol w:w="3249"/>
        <w:gridCol w:w="1895"/>
      </w:tblGrid>
      <w:tr>
        <w:trPr>
          <w:tblHeader w:val="true"/>
        </w:trPr>
        <w:tc>
          <w:tcPr>
            <w:tcW w:type="dxa" w:w="203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Característica ISO/IEC 25010</w:t>
            </w:r>
          </w:p>
        </w:tc>
        <w:tc>
          <w:tcPr>
            <w:tcW w:type="dxa" w:w="230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Subcaracterística</w:t>
            </w:r>
          </w:p>
        </w:tc>
        <w:tc>
          <w:tcPr>
            <w:tcW w:type="dxa" w:w="230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Equivalente en ISO/IEC 9126</w:t>
            </w:r>
          </w:p>
        </w:tc>
        <w:tc>
          <w:tcPr>
            <w:tcW w:type="dxa" w:w="176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Driver</w:t>
            </w:r>
          </w:p>
        </w:tc>
        <w:tc>
          <w:tcPr>
            <w:tcW w:type="dxa" w:w="324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Métrica</w:t>
            </w:r>
          </w:p>
        </w:tc>
        <w:tc>
          <w:tcPr>
            <w:tcW w:type="dxa" w:w="189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Umbral</w:t>
            </w:r>
          </w:p>
        </w:tc>
      </w:tr>
      <w:tr>
        <w:trPr>
          <w:cantSplit/>
        </w:trPr>
        <w:tc>
          <w:tcPr>
            <w:tcW w:type="dxa" w:w="203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Adecuación funcional</w:t>
            </w:r>
          </w:p>
        </w:tc>
        <w:tc>
          <w:tcPr>
            <w:tcW w:type="dxa" w:w="230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Completitud funcional</w:t>
            </w:r>
          </w:p>
        </w:tc>
        <w:tc>
          <w:tcPr>
            <w:tcW w:type="dxa" w:w="230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Funcionalidad › adecuación</w:t>
            </w:r>
          </w:p>
        </w:tc>
        <w:tc>
          <w:tcPr>
            <w:tcW w:type="dxa" w:w="176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RF-01 a RF-18</w:t>
            </w:r>
          </w:p>
        </w:tc>
        <w:tc>
          <w:tcPr>
            <w:tcW w:type="dxa" w:w="324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% de los criterios de la especificación funcional cubiertos sin personalizar</w:t>
            </w:r>
          </w:p>
        </w:tc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≥ 95 % (el caso exigía 90 %)</w:t>
            </w:r>
          </w:p>
        </w:tc>
      </w:tr>
      <w:tr>
        <w:trPr>
          <w:cantSplit/>
        </w:trPr>
        <w:tc>
          <w:tcPr>
            <w:tcW w:type="dxa" w:w="203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Eficiencia de desempeño</w:t>
            </w:r>
          </w:p>
        </w:tc>
        <w:tc>
          <w:tcPr>
            <w:tcW w:type="dxa" w:w="230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Comportamiento temporal</w:t>
            </w:r>
          </w:p>
        </w:tc>
        <w:tc>
          <w:tcPr>
            <w:tcW w:type="dxa" w:w="230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Eficiencia › comportamiento temporal</w:t>
            </w:r>
          </w:p>
        </w:tc>
        <w:tc>
          <w:tcPr>
            <w:tcW w:type="dxa" w:w="176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EAC-02</w:t>
            </w:r>
          </w:p>
        </w:tc>
        <w:tc>
          <w:tcPr>
            <w:tcW w:type="dxa" w:w="324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Tiempo de respuesta, percentil 95</w:t>
            </w:r>
          </w:p>
        </w:tc>
        <w:tc>
          <w:tcPr>
            <w:tcW w:type="dxa" w:w="189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≤ 2 s con 800 usuarios</w:t>
            </w:r>
          </w:p>
        </w:tc>
      </w:tr>
      <w:tr>
        <w:trPr>
          <w:cantSplit/>
        </w:trPr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Eficiencia de desempeño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Capacidad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Eficiencia › utilización de recursos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EAC-03</w:t>
            </w:r>
          </w:p>
        </w:tc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Usuarios soportados sin cambio de código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3.000</w:t>
            </w:r>
          </w:p>
        </w:tc>
      </w:tr>
      <w:tr>
        <w:trPr>
          <w:cantSplit/>
        </w:trPr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Compatibilidad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Interoperabilidad · coexistencia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Funcionalidad › interoperabilidad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EAC-06 · RE-13 · RE-14</w:t>
            </w:r>
          </w:p>
        </w:tc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% de interfaces estándar; esfuerzo de integrar un sistema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100 % · ≤ 10 días-persona</w:t>
            </w:r>
          </w:p>
        </w:tc>
      </w:tr>
      <w:tr>
        <w:trPr>
          <w:cantSplit/>
        </w:trPr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Usabilidad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Capacidad de aprendizaje · operabilidad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Usabilidad › facilidad de aprendizaje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EAC-05</w:t>
            </w:r>
          </w:p>
        </w:tc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Tiempo y pasos de la primera solicitud; % de éxito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≤ 3 min · ≤ 5 pasos · 90 %</w:t>
            </w:r>
          </w:p>
        </w:tc>
      </w:tr>
      <w:tr>
        <w:trPr>
          <w:cantSplit/>
        </w:trPr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Fiabilidad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Disponibilidad · recuperabilidad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Fiabilidad › recuperabilidad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EAC-01</w:t>
            </w:r>
          </w:p>
        </w:tc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% de disponibilidad mensual; tiempo de relevo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99,9 % · ≤ 15 min</w:t>
            </w:r>
          </w:p>
        </w:tc>
      </w:tr>
      <w:tr>
        <w:trPr>
          <w:cantSplit/>
        </w:trPr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Fiabilidad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Tolerancia a fallos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Fiabilidad › tolerancia a fallos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EAC-09</w:t>
            </w:r>
          </w:p>
        </w:tc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Registros duplicados ante reintentos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Seguridad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Confidencialidad · autenticidad · responsabilidad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Funcionalidad › seguridad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EAC-04 · RE-15 · RE-16</w:t>
            </w:r>
          </w:p>
        </w:tc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Lecturas cruzadas; % de accesos con doble factor; % de operaciones en bitácora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0 · 100 % · 100 %</w:t>
            </w:r>
          </w:p>
        </w:tc>
      </w:tr>
      <w:tr>
        <w:trPr>
          <w:cantSplit/>
        </w:trPr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Mantenibilidad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Modularidad · capacidad de ser modificado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Mantenibilidad › facilidad de cambio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EAC-07</w:t>
            </w:r>
          </w:p>
        </w:tc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Tiempo de un cambio de regla; servicios tocados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≤ 1 día hábil · 1</w:t>
            </w:r>
          </w:p>
        </w:tc>
      </w:tr>
      <w:tr>
        <w:trPr>
          <w:cantSplit/>
        </w:trPr>
        <w:tc>
          <w:tcPr>
            <w:tcW w:type="dxa" w:w="203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Portabilidad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Adaptabilidad · capacidad de ser instalado</w:t>
            </w:r>
          </w:p>
        </w:tc>
        <w:tc>
          <w:tcPr>
            <w:tcW w:type="dxa" w:w="2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Portabilidad › adaptabilidad</w:t>
            </w:r>
          </w:p>
        </w:tc>
        <w:tc>
          <w:tcPr>
            <w:tcW w:type="dxa" w:w="176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EAC-08</w:t>
            </w:r>
          </w:p>
        </w:tc>
        <w:tc>
          <w:tcPr>
            <w:tcW w:type="dxa" w:w="324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Tiempo de levantar la solución en otro entorno</w:t>
            </w:r>
          </w:p>
        </w:tc>
        <w:tc>
          <w:tcPr>
            <w:tcW w:type="dxa" w:w="189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≤ 5 días hábiles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21"/>
        </w:rPr>
        <w:t>Cómo se usa.</w:t>
      </w:r>
      <w:r>
        <w:rPr>
          <w:b w:val="0"/>
          <w:i w:val="0"/>
          <w:sz w:val="21"/>
        </w:rPr>
        <w:t xml:space="preserve"> En el paso 5 se evalúa la arquitectura contra los diez umbrales antes de construir; en el paso 7 se vuelve a medir al cerrar cada una de las tres fases. Una característica por debajo de su umbral bloquea el paso a la fase siguiente. Las ocho características de la norma están cubiertas; las tres con más peso para este caso son </w:t>
      </w:r>
      <w:r>
        <w:rPr>
          <w:b/>
          <w:i w:val="0"/>
          <w:sz w:val="21"/>
        </w:rPr>
        <w:t>compatibilidad, seguridad y fiabilidad</w:t>
      </w:r>
      <w:r>
        <w:rPr>
          <w:b w:val="0"/>
          <w:i w:val="0"/>
          <w:sz w:val="21"/>
        </w:rPr>
        <w:t>, las mismas que la prioridad del §3.2.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7. Supuestos y límites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Las medidas de calidad, las dos restricciones regulatorias y el dimensionamiento son </w:t>
      </w:r>
      <w:r>
        <w:rPr>
          <w:b/>
          <w:i w:val="0"/>
          <w:sz w:val="19"/>
        </w:rPr>
        <w:t>supuestos de diseño</w:t>
      </w:r>
      <w:r>
        <w:rPr>
          <w:b w:val="0"/>
          <w:i w:val="0"/>
          <w:sz w:val="19"/>
        </w:rPr>
        <w:t>; el caso no trae esos datos.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No se elige proveedor de software: el caso termina sin decidirlo y la rúbrica no lo pide. La arquitectura vale para cualquiera de los tres finalistas, porque el paquete queda detrás de los contratos de servicio.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No se incluye un diagrama de componentes aparte: los componentes van dentro de sus nodos en el despliegue.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Las medidas de las descripciones textuales (por ejemplo, dos días hábiles para responder un reclamo) son reglas de negocio propuestas.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8. Referencias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Austin, R. D., Sole, D. y Cotteleer, M. J. (2003). </w:t>
      </w:r>
      <w:r>
        <w:rPr>
          <w:b w:val="0"/>
          <w:i/>
          <w:sz w:val="19"/>
        </w:rPr>
        <w:t>La selección de software empresarial de Harley Davidson Motor Company</w:t>
      </w:r>
      <w:r>
        <w:rPr>
          <w:b w:val="0"/>
          <w:i w:val="0"/>
          <w:sz w:val="19"/>
        </w:rPr>
        <w:t xml:space="preserve"> (caso 606-S14). Harvard Business School.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Bass, L., Clements, P. y Kazman, R. (2021). </w:t>
      </w:r>
      <w:r>
        <w:rPr>
          <w:b w:val="0"/>
          <w:i/>
          <w:sz w:val="19"/>
        </w:rPr>
        <w:t>Software Architecture in Practice</w:t>
      </w:r>
      <w:r>
        <w:rPr>
          <w:b w:val="0"/>
          <w:i w:val="0"/>
          <w:sz w:val="19"/>
        </w:rPr>
        <w:t xml:space="preserve"> (4.ª ed.). Addison-Wesley.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ISO/IEC 9126-1:2001. </w:t>
      </w:r>
      <w:r>
        <w:rPr>
          <w:b w:val="0"/>
          <w:i/>
          <w:sz w:val="19"/>
        </w:rPr>
        <w:t>Software engineering. Product quality. Part 1: Quality model</w:t>
      </w:r>
      <w:r>
        <w:rPr>
          <w:b w:val="0"/>
          <w:i w:val="0"/>
          <w:sz w:val="19"/>
        </w:rPr>
        <w:t>. International Organization for Standardization.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ISO/IEC 25010:2011. </w:t>
      </w:r>
      <w:r>
        <w:rPr>
          <w:b w:val="0"/>
          <w:i/>
          <w:sz w:val="19"/>
        </w:rPr>
        <w:t>Systems and software engineering. Systems and software Quality Requirements and Evaluation (SQuaRE). System and software quality models</w:t>
      </w:r>
      <w:r>
        <w:rPr>
          <w:b w:val="0"/>
          <w:i w:val="0"/>
          <w:sz w:val="19"/>
        </w:rPr>
        <w:t>. International Organization for Standardization.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Montoya-Suárez, Monsalve-Gómez y Sepúlveda-Castaño (2015). Un caso de estudio para la adopción de un modelo de trazabilidad de requisitos en el sector energético. </w:t>
      </w:r>
      <w:r>
        <w:rPr>
          <w:b w:val="0"/>
          <w:i/>
          <w:sz w:val="19"/>
        </w:rPr>
        <w:t>Lámpsakos</w:t>
      </w:r>
      <w:r>
        <w:rPr>
          <w:b w:val="0"/>
          <w:i w:val="0"/>
          <w:sz w:val="19"/>
        </w:rPr>
        <w:t>, (13), 88-100. Nota técnica del curso.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Rojas de Morán, C. (2026). Presentaciones del curso Análisis y Diseño de Sistemas II: </w:t>
      </w:r>
      <w:r>
        <w:rPr>
          <w:b w:val="0"/>
          <w:i/>
          <w:sz w:val="19"/>
        </w:rPr>
        <w:t>Arquitectura de Software</w:t>
      </w:r>
      <w:r>
        <w:rPr>
          <w:b w:val="0"/>
          <w:i w:val="0"/>
          <w:sz w:val="19"/>
        </w:rPr>
        <w:t xml:space="preserve">, </w:t>
      </w:r>
      <w:r>
        <w:rPr>
          <w:b w:val="0"/>
          <w:i/>
          <w:sz w:val="19"/>
        </w:rPr>
        <w:t>CDU Negocio: modelado de drivers RF</w:t>
      </w:r>
      <w:r>
        <w:rPr>
          <w:b w:val="0"/>
          <w:i w:val="0"/>
          <w:sz w:val="19"/>
        </w:rPr>
        <w:t xml:space="preserve"> y </w:t>
      </w:r>
      <w:r>
        <w:rPr>
          <w:b w:val="0"/>
          <w:i/>
          <w:sz w:val="19"/>
        </w:rPr>
        <w:t>Calidad del Software</w:t>
      </w:r>
      <w:r>
        <w:rPr>
          <w:b w:val="0"/>
          <w:i w:val="0"/>
          <w:sz w:val="19"/>
        </w:rPr>
        <w:t>. ECYS, Universidad de San Carlos de Guatemala.</w:t>
      </w:r>
    </w:p>
    <w:sectPr w:rsidR="00FC693F" w:rsidRPr="0006063C" w:rsidSect="00034616">
      <w:footerReference w:type="default" r:id="rId9"/>
      <w:pgSz w:w="15840" w:h="12240" w:orient="landscape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Caso Harley-Davidson, proyecto SiL'K · Grupo 2   · 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Harley-Davidson: arquitectura del proyecto SiL'K</dc:title>
  <dc:subject>Análisis y Diseño de Sistemas II</dc:subject>
  <dc:creator>Santiago Barrera</dc:creator>
  <cp:keywords/>
  <dc:description/>
  <cp:lastModifiedBy>Santiago Barrera</cp:lastModifiedBy>
  <cp:revision>1</cp:revision>
  <dcterms:created xsi:type="dcterms:W3CDTF">2013-12-23T23:15:00Z</dcterms:created>
  <dcterms:modified xsi:type="dcterms:W3CDTF">2013-12-23T23:15:00Z</dcterms:modified>
  <cp:category/>
</cp:coreProperties>
</file>