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8"/>
        </w:rPr>
        <w:t>Caso FarmaHosp — Tarea 2 (continuación)</w:t>
      </w:r>
    </w:p>
    <w:p>
      <w:pPr>
        <w:spacing w:after="40"/>
        <w:jc w:val="center"/>
      </w:pPr>
      <w:r>
        <w:rPr>
          <w:sz w:val="20"/>
        </w:rPr>
        <w:t>Análisis y Diseño de Sistemas II (785) · ECYS, USAC · MBA. MSc. Claudia Rojas de Morán</w:t>
      </w:r>
    </w:p>
    <w:p>
      <w:pPr>
        <w:spacing w:after="40"/>
        <w:jc w:val="center"/>
      </w:pPr>
      <w:r>
        <w:rPr>
          <w:sz w:val="20"/>
        </w:rPr>
        <w:t>Santiago Barrera · Carné: ____________________ · 18 de septiembre de 2026</w:t>
      </w:r>
    </w:p>
    <w:p>
      <w:pPr>
        <w:spacing w:after="120"/>
      </w:pPr>
    </w:p>
    <w:p>
      <w:pPr>
        <w:pStyle w:val="Heading2"/>
      </w:pPr>
      <w:r>
        <w:rPr>
          <w:color w:val="000000"/>
        </w:rPr>
      </w:r>
      <w:r>
        <w:rPr>
          <w:b/>
          <w:color w:val="000000"/>
        </w:rPr>
        <w:t>Índice y correspondencia con la rúbrica</w:t>
      </w:r>
    </w:p>
    <w:tbl>
      <w:tblPr>
        <w:tblStyle w:val="TableGrid"/>
        <w:jc w:val="center"/>
        <w:tblLayout w:type="fixed"/>
        <w:tblLook w:firstColumn="1" w:firstRow="1" w:lastColumn="0" w:lastRow="0" w:noHBand="0" w:noVBand="1" w:val="04A0"/>
        <w:tblW w:type="dxa" w:w="9360"/>
      </w:tblPr>
      <w:tblGrid>
        <w:gridCol w:w="562"/>
        <w:gridCol w:w="5990"/>
        <w:gridCol w:w="936"/>
        <w:gridCol w:w="1872"/>
      </w:tblGrid>
      <w:tr>
        <w:trPr>
          <w:tblHeader w:val="true"/>
        </w:trPr>
        <w:tc>
          <w:tcPr>
            <w:tcW w:type="dxa" w:w="562"/>
            <w:shd w:val="clear" w:color="auto" w:fill="EDEFF2"/>
          </w:tcPr>
          <w:p>
            <w:pPr>
              <w:keepNext w:val="0"/>
              <w:spacing w:after="20"/>
            </w:pPr>
            <w:r>
              <w:rPr>
                <w:b/>
                <w:sz w:val="20"/>
              </w:rPr>
              <w:t>#</w:t>
            </w:r>
          </w:p>
        </w:tc>
        <w:tc>
          <w:tcPr>
            <w:tcW w:type="dxa" w:w="5990"/>
            <w:shd w:val="clear" w:color="auto" w:fill="EDEFF2"/>
          </w:tcPr>
          <w:p>
            <w:pPr>
              <w:keepNext w:val="0"/>
              <w:spacing w:after="20"/>
            </w:pPr>
            <w:r>
              <w:rPr>
                <w:b/>
                <w:sz w:val="20"/>
              </w:rPr>
              <w:t>Criterio de la rúbrica</w:t>
            </w:r>
          </w:p>
        </w:tc>
        <w:tc>
          <w:tcPr>
            <w:tcW w:type="dxa" w:w="936"/>
            <w:shd w:val="clear" w:color="auto" w:fill="EDEFF2"/>
          </w:tcPr>
          <w:p>
            <w:pPr>
              <w:keepNext w:val="0"/>
              <w:spacing w:after="20"/>
            </w:pPr>
            <w:r>
              <w:rPr>
                <w:b/>
                <w:sz w:val="20"/>
              </w:rPr>
              <w:t>Pts</w:t>
            </w:r>
          </w:p>
        </w:tc>
        <w:tc>
          <w:tcPr>
            <w:tcW w:type="dxa" w:w="1872"/>
            <w:shd w:val="clear" w:color="auto" w:fill="EDEFF2"/>
          </w:tcPr>
          <w:p>
            <w:pPr>
              <w:keepNext w:val="0"/>
              <w:spacing w:after="20"/>
            </w:pPr>
            <w:r>
              <w:rPr>
                <w:b/>
                <w:sz w:val="20"/>
              </w:rPr>
              <w:t>Sección</w:t>
            </w:r>
          </w:p>
        </w:tc>
      </w:tr>
      <w:tr>
        <w:tc>
          <w:tcPr>
            <w:tcW w:type="dxa" w:w="562"/>
          </w:tcPr>
          <w:p>
            <w:pPr>
              <w:spacing w:after="20"/>
            </w:pPr>
            <w:r>
              <w:rPr>
                <w:b w:val="0"/>
                <w:sz w:val="20"/>
              </w:rPr>
              <w:t>1</w:t>
            </w:r>
          </w:p>
        </w:tc>
        <w:tc>
          <w:tcPr>
            <w:tcW w:type="dxa" w:w="5990"/>
          </w:tcPr>
          <w:p>
            <w:pPr>
              <w:spacing w:after="20"/>
            </w:pPr>
            <w:r>
              <w:rPr>
                <w:b w:val="0"/>
                <w:sz w:val="20"/>
              </w:rPr>
              <w:t>Caso de negocio: contexto, core y primera descomposición, con descripciones textuales</w:t>
            </w:r>
          </w:p>
        </w:tc>
        <w:tc>
          <w:tcPr>
            <w:tcW w:type="dxa" w:w="936"/>
          </w:tcPr>
          <w:p>
            <w:pPr>
              <w:spacing w:after="20"/>
              <w:jc w:val="center"/>
            </w:pPr>
            <w:r>
              <w:rPr>
                <w:b w:val="0"/>
                <w:sz w:val="20"/>
              </w:rPr>
              <w:t>20</w:t>
            </w:r>
          </w:p>
        </w:tc>
        <w:tc>
          <w:tcPr>
            <w:tcW w:type="dxa" w:w="1872"/>
          </w:tcPr>
          <w:p>
            <w:pPr>
              <w:spacing w:after="20"/>
              <w:jc w:val="center"/>
            </w:pPr>
            <w:r>
              <w:rPr>
                <w:b w:val="0"/>
                <w:sz w:val="20"/>
              </w:rPr>
              <w:t>§2</w:t>
            </w:r>
          </w:p>
        </w:tc>
      </w:tr>
      <w:tr>
        <w:tc>
          <w:tcPr>
            <w:tcW w:type="dxa" w:w="562"/>
          </w:tcPr>
          <w:p>
            <w:pPr>
              <w:spacing w:after="20"/>
            </w:pPr>
            <w:r>
              <w:rPr>
                <w:b w:val="0"/>
                <w:sz w:val="20"/>
              </w:rPr>
              <w:t>2</w:t>
            </w:r>
          </w:p>
        </w:tc>
        <w:tc>
          <w:tcPr>
            <w:tcW w:type="dxa" w:w="5990"/>
          </w:tcPr>
          <w:p>
            <w:pPr>
              <w:spacing w:after="20"/>
            </w:pPr>
            <w:r>
              <w:rPr>
                <w:b w:val="0"/>
                <w:sz w:val="20"/>
              </w:rPr>
              <w:t>Identificación de stakeholders</w:t>
            </w:r>
          </w:p>
        </w:tc>
        <w:tc>
          <w:tcPr>
            <w:tcW w:type="dxa" w:w="936"/>
          </w:tcPr>
          <w:p>
            <w:pPr>
              <w:spacing w:after="20"/>
              <w:jc w:val="center"/>
            </w:pPr>
            <w:r>
              <w:rPr>
                <w:b w:val="0"/>
                <w:sz w:val="20"/>
              </w:rPr>
              <w:t>10</w:t>
            </w:r>
          </w:p>
        </w:tc>
        <w:tc>
          <w:tcPr>
            <w:tcW w:type="dxa" w:w="1872"/>
          </w:tcPr>
          <w:p>
            <w:pPr>
              <w:spacing w:after="20"/>
              <w:jc w:val="center"/>
            </w:pPr>
            <w:r>
              <w:rPr>
                <w:b w:val="0"/>
                <w:sz w:val="20"/>
              </w:rPr>
              <w:t>§1</w:t>
            </w:r>
          </w:p>
        </w:tc>
      </w:tr>
      <w:tr>
        <w:tc>
          <w:tcPr>
            <w:tcW w:type="dxa" w:w="562"/>
          </w:tcPr>
          <w:p>
            <w:pPr>
              <w:spacing w:after="20"/>
            </w:pPr>
            <w:r>
              <w:rPr>
                <w:b w:val="0"/>
                <w:sz w:val="20"/>
              </w:rPr>
              <w:t>3</w:t>
            </w:r>
          </w:p>
        </w:tc>
        <w:tc>
          <w:tcPr>
            <w:tcW w:type="dxa" w:w="5990"/>
          </w:tcPr>
          <w:p>
            <w:pPr>
              <w:spacing w:after="20"/>
            </w:pPr>
            <w:r>
              <w:rPr>
                <w:b w:val="0"/>
                <w:sz w:val="20"/>
              </w:rPr>
              <w:t>Drivers RF, de calidad, de restricción y los 5 más críticos</w:t>
            </w:r>
          </w:p>
        </w:tc>
        <w:tc>
          <w:tcPr>
            <w:tcW w:type="dxa" w:w="936"/>
          </w:tcPr>
          <w:p>
            <w:pPr>
              <w:spacing w:after="20"/>
              <w:jc w:val="center"/>
            </w:pPr>
            <w:r>
              <w:rPr>
                <w:b w:val="0"/>
                <w:sz w:val="20"/>
              </w:rPr>
              <w:t>20</w:t>
            </w:r>
          </w:p>
        </w:tc>
        <w:tc>
          <w:tcPr>
            <w:tcW w:type="dxa" w:w="1872"/>
          </w:tcPr>
          <w:p>
            <w:pPr>
              <w:spacing w:after="20"/>
              <w:jc w:val="center"/>
            </w:pPr>
            <w:r>
              <w:rPr>
                <w:b w:val="0"/>
                <w:sz w:val="20"/>
              </w:rPr>
              <w:t>§3</w:t>
            </w:r>
          </w:p>
        </w:tc>
      </w:tr>
      <w:tr>
        <w:tc>
          <w:tcPr>
            <w:tcW w:type="dxa" w:w="562"/>
          </w:tcPr>
          <w:p>
            <w:pPr>
              <w:spacing w:after="20"/>
            </w:pPr>
            <w:r>
              <w:rPr>
                <w:b w:val="0"/>
                <w:sz w:val="20"/>
              </w:rPr>
              <w:t>4</w:t>
            </w:r>
          </w:p>
        </w:tc>
        <w:tc>
          <w:tcPr>
            <w:tcW w:type="dxa" w:w="5990"/>
          </w:tcPr>
          <w:p>
            <w:pPr>
              <w:spacing w:after="20"/>
            </w:pPr>
            <w:r>
              <w:rPr>
                <w:b w:val="0"/>
                <w:sz w:val="20"/>
              </w:rPr>
              <w:t>Matrices de trazabilidad</w:t>
            </w:r>
          </w:p>
        </w:tc>
        <w:tc>
          <w:tcPr>
            <w:tcW w:type="dxa" w:w="936"/>
          </w:tcPr>
          <w:p>
            <w:pPr>
              <w:spacing w:after="20"/>
              <w:jc w:val="center"/>
            </w:pPr>
            <w:r>
              <w:rPr>
                <w:b w:val="0"/>
                <w:sz w:val="20"/>
              </w:rPr>
              <w:t>10</w:t>
            </w:r>
          </w:p>
        </w:tc>
        <w:tc>
          <w:tcPr>
            <w:tcW w:type="dxa" w:w="1872"/>
          </w:tcPr>
          <w:p>
            <w:pPr>
              <w:spacing w:after="20"/>
              <w:jc w:val="center"/>
            </w:pPr>
            <w:r>
              <w:rPr>
                <w:b w:val="0"/>
                <w:sz w:val="20"/>
              </w:rPr>
              <w:t>§4</w:t>
            </w:r>
          </w:p>
        </w:tc>
      </w:tr>
      <w:tr>
        <w:tc>
          <w:tcPr>
            <w:tcW w:type="dxa" w:w="562"/>
          </w:tcPr>
          <w:p>
            <w:pPr>
              <w:spacing w:after="20"/>
            </w:pPr>
            <w:r>
              <w:rPr>
                <w:b w:val="0"/>
                <w:sz w:val="20"/>
              </w:rPr>
              <w:t>5</w:t>
            </w:r>
          </w:p>
        </w:tc>
        <w:tc>
          <w:tcPr>
            <w:tcW w:type="dxa" w:w="5990"/>
          </w:tcPr>
          <w:p>
            <w:pPr>
              <w:spacing w:after="20"/>
            </w:pPr>
            <w:r>
              <w:rPr>
                <w:b w:val="0"/>
                <w:sz w:val="20"/>
              </w:rPr>
              <w:t>Selección del estilo arquitectónico y su justificación</w:t>
            </w:r>
          </w:p>
        </w:tc>
        <w:tc>
          <w:tcPr>
            <w:tcW w:type="dxa" w:w="936"/>
          </w:tcPr>
          <w:p>
            <w:pPr>
              <w:spacing w:after="20"/>
              <w:jc w:val="center"/>
            </w:pPr>
            <w:r>
              <w:rPr>
                <w:b w:val="0"/>
                <w:sz w:val="20"/>
              </w:rPr>
              <w:t>10</w:t>
            </w:r>
          </w:p>
        </w:tc>
        <w:tc>
          <w:tcPr>
            <w:tcW w:type="dxa" w:w="1872"/>
          </w:tcPr>
          <w:p>
            <w:pPr>
              <w:spacing w:after="20"/>
              <w:jc w:val="center"/>
            </w:pPr>
            <w:r>
              <w:rPr>
                <w:b w:val="0"/>
                <w:sz w:val="20"/>
              </w:rPr>
              <w:t>§5</w:t>
            </w:r>
          </w:p>
        </w:tc>
      </w:tr>
      <w:tr>
        <w:tc>
          <w:tcPr>
            <w:tcW w:type="dxa" w:w="562"/>
          </w:tcPr>
          <w:p>
            <w:pPr>
              <w:spacing w:after="20"/>
            </w:pPr>
            <w:r>
              <w:rPr>
                <w:b w:val="0"/>
                <w:sz w:val="20"/>
              </w:rPr>
              <w:t>6</w:t>
            </w:r>
          </w:p>
        </w:tc>
        <w:tc>
          <w:tcPr>
            <w:tcW w:type="dxa" w:w="5990"/>
          </w:tcPr>
          <w:p>
            <w:pPr>
              <w:spacing w:after="20"/>
            </w:pPr>
            <w:r>
              <w:rPr>
                <w:b w:val="0"/>
                <w:sz w:val="20"/>
              </w:rPr>
              <w:t>Diagrama de bloques y diagrama de despliegue</w:t>
            </w:r>
          </w:p>
        </w:tc>
        <w:tc>
          <w:tcPr>
            <w:tcW w:type="dxa" w:w="936"/>
          </w:tcPr>
          <w:p>
            <w:pPr>
              <w:spacing w:after="20"/>
              <w:jc w:val="center"/>
            </w:pPr>
            <w:r>
              <w:rPr>
                <w:b w:val="0"/>
                <w:sz w:val="20"/>
              </w:rPr>
              <w:t>30</w:t>
            </w:r>
          </w:p>
        </w:tc>
        <w:tc>
          <w:tcPr>
            <w:tcW w:type="dxa" w:w="1872"/>
          </w:tcPr>
          <w:p>
            <w:pPr>
              <w:spacing w:after="20"/>
              <w:jc w:val="center"/>
            </w:pPr>
            <w:r>
              <w:rPr>
                <w:b w:val="0"/>
                <w:sz w:val="20"/>
              </w:rPr>
              <w:t>§6</w:t>
            </w:r>
          </w:p>
        </w:tc>
      </w:tr>
      <w:tr>
        <w:tc>
          <w:tcPr>
            <w:tcW w:type="dxa" w:w="562"/>
          </w:tcPr>
          <w:p>
            <w:pPr>
              <w:spacing w:after="20"/>
            </w:pPr>
          </w:p>
        </w:tc>
        <w:tc>
          <w:tcPr>
            <w:tcW w:type="dxa" w:w="5990"/>
          </w:tcPr>
          <w:p>
            <w:pPr>
              <w:spacing w:after="20"/>
            </w:pPr>
            <w:r>
              <w:rPr>
                <w:b/>
                <w:sz w:val="20"/>
              </w:rPr>
              <w:t>Total</w:t>
            </w:r>
          </w:p>
        </w:tc>
        <w:tc>
          <w:tcPr>
            <w:tcW w:type="dxa" w:w="936"/>
          </w:tcPr>
          <w:p>
            <w:pPr>
              <w:spacing w:after="20"/>
              <w:jc w:val="center"/>
            </w:pPr>
            <w:r>
              <w:rPr>
                <w:b/>
                <w:sz w:val="20"/>
              </w:rPr>
              <w:t>100</w:t>
            </w:r>
          </w:p>
        </w:tc>
        <w:tc>
          <w:tcPr>
            <w:tcW w:type="dxa" w:w="1872"/>
          </w:tcPr>
          <w:p>
            <w:pPr>
              <w:spacing w:after="20"/>
              <w:jc w:val="center"/>
            </w:pPr>
          </w:p>
        </w:tc>
      </w:tr>
    </w:tbl>
    <w:p>
      <w:pPr>
        <w:spacing w:after="40"/>
      </w:pPr>
    </w:p>
    <w:p>
      <w:pPr>
        <w:pStyle w:val="Heading1"/>
        <w:pageBreakBefore/>
      </w:pPr>
      <w:r>
        <w:rPr>
          <w:color w:val="000000"/>
        </w:rPr>
      </w:r>
      <w:r>
        <w:rPr>
          <w:b/>
          <w:color w:val="000000"/>
        </w:rPr>
        <w:t>0. Frontera del negocio (declaración de alcance)</w:t>
      </w:r>
    </w:p>
    <w:p>
      <w:pPr>
        <w:spacing w:after="60"/>
        <w:ind w:left="432"/>
      </w:pPr>
      <w:r>
        <w:rPr>
          <w:b/>
          <w:sz w:val="20"/>
        </w:rPr>
        <w:t>Esta declaración condiciona todo el resto del documento</w:t>
      </w:r>
    </w:p>
    <w:p>
      <w:pPr>
        <w:spacing w:after="60"/>
        <w:ind w:left="432"/>
      </w:pPr>
      <w:r>
        <w:rPr>
          <w:b/>
          <w:sz w:val="19"/>
        </w:rPr>
        <w:t>Entidad de interés (el negocio):</w:t>
      </w:r>
      <w:r>
        <w:rPr>
          <w:b w:val="0"/>
          <w:sz w:val="19"/>
        </w:rPr>
        <w:t xml:space="preserve"> la </w:t>
      </w:r>
      <w:r>
        <w:rPr>
          <w:b/>
          <w:sz w:val="19"/>
        </w:rPr>
        <w:t>gestión del ciclo de vida del medicamento de alto costo (MAC)</w:t>
      </w:r>
      <w:r>
        <w:rPr>
          <w:b w:val="0"/>
          <w:sz w:val="19"/>
        </w:rPr>
        <w:t xml:space="preserve"> del Hospital Universitario «Dr. Juan José Ortega».</w:t>
      </w:r>
    </w:p>
    <w:p>
      <w:pPr>
        <w:spacing w:after="60"/>
        <w:ind w:left="432"/>
      </w:pPr>
      <w:r>
        <w:rPr>
          <w:b/>
          <w:sz w:val="19"/>
        </w:rPr>
        <w:t>Razón de ser:</w:t>
      </w:r>
      <w:r>
        <w:rPr>
          <w:b w:val="0"/>
          <w:sz w:val="19"/>
        </w:rPr>
        <w:t xml:space="preserve"> garantizar que el MAC correcto llegue al paciente correcto, en condiciones de conservación válidas, con trazabilidad completa y auditable desde la compra hasta la farmacovigilancia.</w:t>
      </w:r>
    </w:p>
    <w:p>
      <w:pPr>
        <w:spacing w:after="60"/>
        <w:ind w:left="432"/>
      </w:pPr>
      <w:r>
        <w:rPr>
          <w:b/>
          <w:sz w:val="19"/>
        </w:rPr>
        <w:t>Qué queda adentro:</w:t>
      </w:r>
      <w:r>
        <w:rPr>
          <w:b w:val="0"/>
          <w:sz w:val="19"/>
        </w:rPr>
        <w:t xml:space="preserve"> las 6 etapas del ciclo de vida — adquisición, almacenamiento, prescripción, dispensación, administración, seguimiento y farmacovigilancia.</w:t>
      </w:r>
    </w:p>
    <w:p>
      <w:pPr>
        <w:spacing w:after="60"/>
        <w:ind w:left="432"/>
      </w:pPr>
      <w:r>
        <w:rPr>
          <w:b/>
          <w:sz w:val="19"/>
        </w:rPr>
        <w:t>Qué queda afuera:</w:t>
      </w:r>
      <w:r>
        <w:rPr>
          <w:b w:val="0"/>
          <w:sz w:val="19"/>
        </w:rPr>
        <w:t xml:space="preserve"> el resto de la operación hospitalaria (consulta externa, hospitalización, cirugía, laboratorio), que solo se relaciona con este negocio por sus interfaces.</w:t>
      </w:r>
    </w:p>
    <w:p>
      <w:pPr>
        <w:spacing w:after="60"/>
        <w:ind w:left="432"/>
      </w:pPr>
      <w:r>
        <w:rPr>
          <w:b/>
          <w:sz w:val="19"/>
        </w:rPr>
        <w:t>Consecuencia sobre los actores:</w:t>
      </w:r>
      <w:r>
        <w:rPr>
          <w:b w:val="0"/>
          <w:sz w:val="19"/>
        </w:rPr>
        <w:t xml:space="preserve"> el personal clínico y administrativo que </w:t>
      </w:r>
      <w:r>
        <w:rPr>
          <w:b/>
          <w:sz w:val="19"/>
        </w:rPr>
        <w:t>ejecuta</w:t>
      </w:r>
      <w:r>
        <w:rPr>
          <w:b w:val="0"/>
          <w:sz w:val="19"/>
        </w:rPr>
        <w:t xml:space="preserve"> esas 6 etapas —médico tratante, farmacéutico clínico, enfermero de piso, almacenista, jefe de farmacovigilancia y director administrativo— son </w:t>
      </w:r>
      <w:r>
        <w:rPr>
          <w:b/>
          <w:sz w:val="19"/>
        </w:rPr>
        <w:t>trabajadores del negocio</w:t>
      </w:r>
      <w:r>
        <w:rPr>
          <w:b w:val="0"/>
          <w:sz w:val="19"/>
        </w:rPr>
        <w:t xml:space="preserve">, no actores, porque están dentro de la frontera. Son </w:t>
      </w:r>
      <w:r>
        <w:rPr>
          <w:b/>
          <w:sz w:val="19"/>
        </w:rPr>
        <w:t>actores del negocio</w:t>
      </w:r>
      <w:r>
        <w:rPr>
          <w:b w:val="0"/>
          <w:sz w:val="19"/>
        </w:rPr>
        <w:t xml:space="preserve"> únicamente las entidades que interactúan con él desde afuera: paciente, proveedor de MAC, MSPAS, Contraloría General de Cuentas y sistema legacy de admisiones. </w:t>
      </w:r>
      <w:r>
        <w:rPr>
          <w:b/>
          <w:sz w:val="19"/>
        </w:rPr>
        <w:t>Son cinco</w:t>
      </w:r>
      <w:r>
        <w:rPr>
          <w:b w:val="0"/>
          <w:sz w:val="19"/>
        </w:rPr>
        <w:t>, y son exactamente los cinco del core (§2.2).</w:t>
      </w:r>
    </w:p>
    <w:p>
      <w:pPr>
        <w:spacing w:after="200"/>
        <w:ind w:left="432"/>
      </w:pPr>
      <w:r>
        <w:rPr>
          <w:b w:val="0"/>
          <w:sz w:val="19"/>
        </w:rPr>
        <w:t>Criterio aplicado: «cada actor modela algo fuera del negocio» — Jacobson, modelado de negocio.</w:t>
      </w:r>
    </w:p>
    <w:p>
      <w:pPr>
        <w:pStyle w:val="Heading1"/>
        <w:pageBreakBefore/>
      </w:pPr>
      <w:r>
        <w:rPr>
          <w:color w:val="000000"/>
        </w:rPr>
      </w:r>
      <w:r>
        <w:rPr>
          <w:b/>
          <w:color w:val="000000"/>
        </w:rPr>
        <w:t>1. Identificación de stakeholders · criterio 2 — 10 pts</w:t>
      </w:r>
    </w:p>
    <w:p>
      <w:pPr>
        <w:pStyle w:val="Heading2"/>
      </w:pPr>
      <w:r>
        <w:rPr>
          <w:color w:val="000000"/>
        </w:rPr>
      </w:r>
      <w:r>
        <w:rPr>
          <w:b/>
          <w:color w:val="000000"/>
        </w:rPr>
        <w:t>1.1 Cómo se identificaron</w:t>
      </w:r>
    </w:p>
    <w:p>
      <w:pPr>
        <w:spacing w:after="120"/>
      </w:pPr>
      <w:r>
        <w:rPr>
          <w:b w:val="0"/>
          <w:sz w:val="21"/>
        </w:rPr>
        <w:t xml:space="preserve">Se partió de los </w:t>
      </w:r>
      <w:r>
        <w:rPr>
          <w:b/>
          <w:sz w:val="21"/>
        </w:rPr>
        <w:t>8 stakeholders nombrados en el enunciado</w:t>
      </w:r>
      <w:r>
        <w:rPr>
          <w:b w:val="0"/>
          <w:sz w:val="21"/>
        </w:rPr>
        <w:t xml:space="preserve"> y se completó con tres barridos: los cinco roles genéricos de clase, las categorías de metas de negocio de </w:t>
      </w:r>
      <w:r>
        <w:rPr>
          <w:b/>
          <w:sz w:val="21"/>
        </w:rPr>
        <w:t>PALM</w:t>
      </w:r>
      <w:r>
        <w:rPr>
          <w:b w:val="0"/>
          <w:sz w:val="21"/>
        </w:rPr>
        <w:t xml:space="preserve">, y los internos que no son usuarios (Garland &amp; Anthony). De ahí salieron </w:t>
      </w:r>
      <w:r>
        <w:rPr>
          <w:b/>
          <w:sz w:val="21"/>
        </w:rPr>
        <w:t>5 stakeholders que el enunciado usa en sus escenarios pero no lista en su tabla</w:t>
      </w:r>
      <w:r>
        <w:rPr>
          <w:b w:val="0"/>
          <w:sz w:val="21"/>
        </w:rPr>
        <w:t>.</w:t>
      </w:r>
    </w:p>
    <w:tbl>
      <w:tblPr>
        <w:tblStyle w:val="TableGrid"/>
        <w:jc w:val="center"/>
        <w:tblLayout w:type="fixed"/>
        <w:tblLook w:firstColumn="1" w:firstRow="1" w:lastColumn="0" w:lastRow="0" w:noHBand="0" w:noVBand="1" w:val="04A0"/>
        <w:tblW w:type="dxa" w:w="9360"/>
      </w:tblPr>
      <w:tblGrid>
        <w:gridCol w:w="2059"/>
        <w:gridCol w:w="2246"/>
        <w:gridCol w:w="5054"/>
      </w:tblGrid>
      <w:tr>
        <w:trPr>
          <w:tblHeader w:val="true"/>
        </w:trPr>
        <w:tc>
          <w:tcPr>
            <w:tcW w:type="dxa" w:w="2059"/>
            <w:shd w:val="clear" w:color="auto" w:fill="EDEFF2"/>
          </w:tcPr>
          <w:p>
            <w:pPr>
              <w:keepNext w:val="0"/>
              <w:spacing w:after="20"/>
            </w:pPr>
            <w:r>
              <w:rPr>
                <w:b/>
                <w:sz w:val="18"/>
              </w:rPr>
              <w:t>Agregado</w:t>
            </w:r>
          </w:p>
        </w:tc>
        <w:tc>
          <w:tcPr>
            <w:tcW w:type="dxa" w:w="2246"/>
            <w:shd w:val="clear" w:color="auto" w:fill="EDEFF2"/>
          </w:tcPr>
          <w:p>
            <w:pPr>
              <w:keepNext w:val="0"/>
              <w:spacing w:after="20"/>
            </w:pPr>
            <w:r>
              <w:rPr>
                <w:b/>
                <w:sz w:val="18"/>
              </w:rPr>
              <w:t>Barrido que lo encontró</w:t>
            </w:r>
          </w:p>
        </w:tc>
        <w:tc>
          <w:tcPr>
            <w:tcW w:type="dxa" w:w="5054"/>
            <w:shd w:val="clear" w:color="auto" w:fill="EDEFF2"/>
          </w:tcPr>
          <w:p>
            <w:pPr>
              <w:keepNext w:val="0"/>
              <w:spacing w:after="20"/>
            </w:pPr>
            <w:r>
              <w:rPr>
                <w:b/>
                <w:sz w:val="18"/>
              </w:rPr>
              <w:t>Requisito propio que ningún otro trae</w:t>
            </w:r>
          </w:p>
        </w:tc>
      </w:tr>
      <w:tr>
        <w:tc>
          <w:tcPr>
            <w:tcW w:type="dxa" w:w="2059"/>
          </w:tcPr>
          <w:p>
            <w:pPr>
              <w:spacing w:after="20"/>
            </w:pPr>
            <w:r>
              <w:rPr>
                <w:b/>
                <w:sz w:val="18"/>
              </w:rPr>
              <w:t>Junta Directiva del hospital</w:t>
            </w:r>
          </w:p>
        </w:tc>
        <w:tc>
          <w:tcPr>
            <w:tcW w:type="dxa" w:w="2246"/>
          </w:tcPr>
          <w:p>
            <w:pPr>
              <w:spacing w:after="20"/>
            </w:pPr>
            <w:r>
              <w:rPr>
                <w:b w:val="0"/>
                <w:sz w:val="18"/>
              </w:rPr>
              <w:t>cliente / crecimiento y continuidad</w:t>
            </w:r>
          </w:p>
        </w:tc>
        <w:tc>
          <w:tcPr>
            <w:tcW w:type="dxa" w:w="5054"/>
          </w:tcPr>
          <w:p>
            <w:pPr>
              <w:spacing w:after="20"/>
            </w:pPr>
            <w:r>
              <w:rPr>
                <w:b w:val="0"/>
                <w:sz w:val="18"/>
              </w:rPr>
              <w:t>Aprobó y financia el proyecto: plazo de 12 meses y evidencia de que las pérdidas se detuvieron</w:t>
            </w:r>
          </w:p>
        </w:tc>
      </w:tr>
      <w:tr>
        <w:tc>
          <w:tcPr>
            <w:tcW w:type="dxa" w:w="2059"/>
          </w:tcPr>
          <w:p>
            <w:pPr>
              <w:spacing w:after="20"/>
            </w:pPr>
            <w:r>
              <w:rPr>
                <w:b/>
                <w:sz w:val="18"/>
              </w:rPr>
              <w:t>Contraloría General de Cuentas</w:t>
            </w:r>
          </w:p>
        </w:tc>
        <w:tc>
          <w:tcPr>
            <w:tcW w:type="dxa" w:w="2246"/>
          </w:tcPr>
          <w:p>
            <w:pPr>
              <w:spacing w:after="20"/>
            </w:pPr>
            <w:r>
              <w:rPr>
                <w:b w:val="0"/>
                <w:sz w:val="18"/>
              </w:rPr>
              <w:t>responsabilidad hacia el estado (auditor)</w:t>
            </w:r>
          </w:p>
        </w:tc>
        <w:tc>
          <w:tcPr>
            <w:tcW w:type="dxa" w:w="5054"/>
          </w:tcPr>
          <w:p>
            <w:pPr>
              <w:spacing w:after="20"/>
            </w:pPr>
            <w:r>
              <w:rPr>
                <w:b w:val="0"/>
                <w:sz w:val="18"/>
              </w:rPr>
              <w:t xml:space="preserve">Informe forense de un lote y </w:t>
            </w:r>
            <w:r>
              <w:rPr>
                <w:b/>
                <w:sz w:val="18"/>
              </w:rPr>
              <w:t>registros inmutables</w:t>
            </w:r>
            <w:r>
              <w:rPr>
                <w:b w:val="0"/>
                <w:sz w:val="18"/>
              </w:rPr>
              <w:t xml:space="preserve">. El MSPAS pide reportar; la Contraloría pide </w:t>
            </w:r>
            <w:r>
              <w:rPr>
                <w:b/>
                <w:sz w:val="18"/>
              </w:rPr>
              <w:t>probar</w:t>
            </w:r>
          </w:p>
        </w:tc>
      </w:tr>
      <w:tr>
        <w:tc>
          <w:tcPr>
            <w:tcW w:type="dxa" w:w="2059"/>
          </w:tcPr>
          <w:p>
            <w:pPr>
              <w:spacing w:after="20"/>
            </w:pPr>
            <w:r>
              <w:rPr>
                <w:b/>
                <w:sz w:val="18"/>
              </w:rPr>
              <w:t>Consultora externa (desarrolladores)</w:t>
            </w:r>
          </w:p>
        </w:tc>
        <w:tc>
          <w:tcPr>
            <w:tcW w:type="dxa" w:w="2246"/>
          </w:tcPr>
          <w:p>
            <w:pPr>
              <w:spacing w:after="20"/>
            </w:pPr>
            <w:r>
              <w:rPr>
                <w:b w:val="0"/>
                <w:sz w:val="18"/>
              </w:rPr>
              <w:t>organización de desarrollo</w:t>
            </w:r>
          </w:p>
        </w:tc>
        <w:tc>
          <w:tcPr>
            <w:tcW w:type="dxa" w:w="5054"/>
          </w:tcPr>
          <w:p>
            <w:pPr>
              <w:spacing w:after="20"/>
            </w:pPr>
            <w:r>
              <w:rPr>
                <w:b w:val="0"/>
                <w:sz w:val="18"/>
              </w:rPr>
              <w:t xml:space="preserve">Venía fusionada con el equipo interno en la tabla del enunciado, y el propio enunciado los enfrenta después: Python/PostgreSQL vs. Java/Oracle. </w:t>
            </w:r>
            <w:r>
              <w:rPr>
                <w:b/>
                <w:sz w:val="18"/>
              </w:rPr>
              <w:t>Dos intereses opuestos no pueden ser un mismo stakeholder</w:t>
            </w:r>
          </w:p>
        </w:tc>
      </w:tr>
      <w:tr>
        <w:tc>
          <w:tcPr>
            <w:tcW w:type="dxa" w:w="2059"/>
          </w:tcPr>
          <w:p>
            <w:pPr>
              <w:spacing w:after="20"/>
            </w:pPr>
            <w:r>
              <w:rPr>
                <w:b/>
                <w:sz w:val="18"/>
              </w:rPr>
              <w:t>Proveedor de MAC</w:t>
            </w:r>
          </w:p>
        </w:tc>
        <w:tc>
          <w:tcPr>
            <w:tcW w:type="dxa" w:w="2246"/>
          </w:tcPr>
          <w:p>
            <w:pPr>
              <w:spacing w:after="20"/>
            </w:pPr>
            <w:r>
              <w:rPr>
                <w:b w:val="0"/>
                <w:sz w:val="18"/>
              </w:rPr>
              <w:t>etapa 1 del ciclo de vida</w:t>
            </w:r>
          </w:p>
        </w:tc>
        <w:tc>
          <w:tcPr>
            <w:tcW w:type="dxa" w:w="5054"/>
          </w:tcPr>
          <w:p>
            <w:pPr>
              <w:spacing w:after="20"/>
            </w:pPr>
            <w:r>
              <w:rPr>
                <w:b w:val="0"/>
                <w:sz w:val="18"/>
              </w:rPr>
              <w:t xml:space="preserve">La trazabilidad </w:t>
            </w:r>
            <w:r>
              <w:rPr>
                <w:b/>
                <w:sz w:val="18"/>
              </w:rPr>
              <w:t>arranca en él</w:t>
            </w:r>
            <w:r>
              <w:rPr>
                <w:b w:val="0"/>
                <w:sz w:val="18"/>
              </w:rPr>
              <w:t>: lote, vencimiento y factura entran al sistema desde su entrega</w:t>
            </w:r>
          </w:p>
        </w:tc>
      </w:tr>
      <w:tr>
        <w:tc>
          <w:tcPr>
            <w:tcW w:type="dxa" w:w="2059"/>
          </w:tcPr>
          <w:p>
            <w:pPr>
              <w:spacing w:after="20"/>
            </w:pPr>
            <w:r>
              <w:rPr>
                <w:b/>
                <w:sz w:val="18"/>
              </w:rPr>
              <w:t>Operaciones de TI / data center</w:t>
            </w:r>
          </w:p>
        </w:tc>
        <w:tc>
          <w:tcPr>
            <w:tcW w:type="dxa" w:w="2246"/>
          </w:tcPr>
          <w:p>
            <w:pPr>
              <w:spacing w:after="20"/>
            </w:pPr>
            <w:r>
              <w:rPr>
                <w:b w:val="0"/>
                <w:sz w:val="18"/>
              </w:rPr>
              <w:t>operaciones y gestión del sistema</w:t>
            </w:r>
          </w:p>
        </w:tc>
        <w:tc>
          <w:tcPr>
            <w:tcW w:type="dxa" w:w="5054"/>
          </w:tcPr>
          <w:p>
            <w:pPr>
              <w:spacing w:after="20"/>
            </w:pPr>
            <w:r>
              <w:rPr>
                <w:b w:val="0"/>
                <w:sz w:val="18"/>
              </w:rPr>
              <w:t xml:space="preserve">Techo fijo de 32 vCPU / 128 GB / SAN 10 TB </w:t>
            </w:r>
            <w:r>
              <w:rPr>
                <w:b/>
                <w:sz w:val="18"/>
              </w:rPr>
              <w:t>sin autoescalado</w:t>
            </w:r>
            <w:r>
              <w:rPr>
                <w:b w:val="0"/>
                <w:sz w:val="18"/>
              </w:rPr>
              <w:t>, y 500,000 registros de sensores diarios. Nadie más responde por eso</w:t>
            </w:r>
          </w:p>
        </w:tc>
      </w:tr>
    </w:tbl>
    <w:p>
      <w:pPr>
        <w:spacing w:after="40"/>
      </w:pPr>
    </w:p>
    <w:p>
      <w:pPr>
        <w:spacing w:after="60"/>
        <w:ind w:left="432"/>
      </w:pPr>
      <w:r>
        <w:rPr>
          <w:b/>
          <w:sz w:val="20"/>
        </w:rPr>
        <w:t>Criterio usado para incluir a alguien</w:t>
      </w:r>
    </w:p>
    <w:p>
      <w:pPr>
        <w:spacing w:after="200"/>
        <w:ind w:left="432"/>
      </w:pPr>
      <w:r>
        <w:rPr>
          <w:b w:val="0"/>
          <w:sz w:val="19"/>
        </w:rPr>
        <w:t xml:space="preserve">Un stakeholder entra a la lista solo si se le puede nombrar </w:t>
      </w:r>
      <w:r>
        <w:rPr>
          <w:b/>
          <w:sz w:val="19"/>
        </w:rPr>
        <w:t>un concern propio</w:t>
      </w:r>
      <w:r>
        <w:rPr>
          <w:b w:val="0"/>
          <w:sz w:val="19"/>
        </w:rPr>
        <w:t xml:space="preserve"> que ningún otro de la lista aporte. Roles como INCAP, RRHH o el personal de admisiones tienen exigencias reales, pero no aportan un concern distinto de uno ya listado (cumplimiento normativo, capacitación, confidencialidad): se tratan como </w:t>
      </w:r>
      <w:r>
        <w:rPr>
          <w:b/>
          <w:sz w:val="19"/>
        </w:rPr>
        <w:t>drivers de restricción</w:t>
      </w:r>
      <w:r>
        <w:rPr>
          <w:b w:val="0"/>
          <w:sz w:val="19"/>
        </w:rPr>
        <w:t xml:space="preserve"> en el criterio 3, no como stakeholders separados.</w:t>
      </w:r>
    </w:p>
    <w:p>
      <w:pPr>
        <w:pStyle w:val="Heading2"/>
      </w:pPr>
      <w:r>
        <w:rPr>
          <w:color w:val="000000"/>
        </w:rPr>
      </w:r>
      <w:r>
        <w:rPr>
          <w:b/>
          <w:color w:val="000000"/>
        </w:rPr>
        <w:t>1.2 Tabla de stakeholders</w:t>
      </w:r>
    </w:p>
    <w:p>
      <w:pPr>
        <w:spacing w:after="120"/>
      </w:pPr>
      <w:r>
        <w:rPr>
          <w:b w:val="0"/>
          <w:sz w:val="21"/>
        </w:rPr>
        <w:t xml:space="preserve">Tipo de interés: </w:t>
      </w:r>
      <w:r>
        <w:rPr>
          <w:b/>
          <w:sz w:val="21"/>
        </w:rPr>
        <w:t>usa · paga · mantiene · opera · regula · construye</w:t>
      </w:r>
      <w:r>
        <w:rPr>
          <w:b w:val="0"/>
          <w:sz w:val="21"/>
        </w:rPr>
        <w:t xml:space="preserve"> — cada tipo anticipa la clase de driver que ese stakeholder va a aportar en el criterio 3.</w:t>
      </w:r>
    </w:p>
    <w:tbl>
      <w:tblPr>
        <w:tblStyle w:val="TableGrid"/>
        <w:jc w:val="center"/>
        <w:tblLayout w:type="fixed"/>
        <w:tblLook w:firstColumn="1" w:firstRow="1" w:lastColumn="0" w:lastRow="0" w:noHBand="0" w:noVBand="1" w:val="04A0"/>
        <w:tblW w:type="dxa" w:w="9359"/>
      </w:tblPr>
      <w:tblGrid>
        <w:gridCol w:w="515"/>
        <w:gridCol w:w="1451"/>
        <w:gridCol w:w="702"/>
        <w:gridCol w:w="842"/>
        <w:gridCol w:w="1778"/>
        <w:gridCol w:w="2714"/>
        <w:gridCol w:w="1357"/>
      </w:tblGrid>
      <w:tr>
        <w:trPr>
          <w:tblHeader w:val="true"/>
        </w:trPr>
        <w:tc>
          <w:tcPr>
            <w:tcW w:type="dxa" w:w="515"/>
            <w:shd w:val="clear" w:color="auto" w:fill="EDEFF2"/>
          </w:tcPr>
          <w:p>
            <w:pPr>
              <w:keepNext w:val="0"/>
              <w:spacing w:after="20"/>
            </w:pPr>
            <w:r>
              <w:rPr>
                <w:b/>
                <w:sz w:val="15"/>
              </w:rPr>
              <w:t>ID</w:t>
            </w:r>
          </w:p>
        </w:tc>
        <w:tc>
          <w:tcPr>
            <w:tcW w:type="dxa" w:w="1451"/>
            <w:shd w:val="clear" w:color="auto" w:fill="EDEFF2"/>
          </w:tcPr>
          <w:p>
            <w:pPr>
              <w:keepNext w:val="0"/>
              <w:spacing w:after="20"/>
            </w:pPr>
            <w:r>
              <w:rPr>
                <w:b/>
                <w:sz w:val="15"/>
              </w:rPr>
              <w:t>Stakeholder</w:t>
            </w:r>
          </w:p>
        </w:tc>
        <w:tc>
          <w:tcPr>
            <w:tcW w:type="dxa" w:w="702"/>
            <w:shd w:val="clear" w:color="auto" w:fill="EDEFF2"/>
          </w:tcPr>
          <w:p>
            <w:pPr>
              <w:keepNext w:val="0"/>
              <w:spacing w:after="20"/>
            </w:pPr>
            <w:r>
              <w:rPr>
                <w:b/>
                <w:sz w:val="15"/>
              </w:rPr>
              <w:t>Tipo</w:t>
            </w:r>
          </w:p>
        </w:tc>
        <w:tc>
          <w:tcPr>
            <w:tcW w:type="dxa" w:w="842"/>
            <w:shd w:val="clear" w:color="auto" w:fill="EDEFF2"/>
          </w:tcPr>
          <w:p>
            <w:pPr>
              <w:keepNext w:val="0"/>
              <w:spacing w:after="20"/>
            </w:pPr>
            <w:r>
              <w:rPr>
                <w:b/>
                <w:sz w:val="15"/>
              </w:rPr>
              <w:t>Posición</w:t>
            </w:r>
          </w:p>
        </w:tc>
        <w:tc>
          <w:tcPr>
            <w:tcW w:type="dxa" w:w="1778"/>
            <w:shd w:val="clear" w:color="auto" w:fill="EDEFF2"/>
          </w:tcPr>
          <w:p>
            <w:pPr>
              <w:keepNext w:val="0"/>
              <w:spacing w:after="20"/>
            </w:pPr>
            <w:r>
              <w:rPr>
                <w:b/>
                <w:sz w:val="15"/>
              </w:rPr>
              <w:t>Lo que dice que quiere</w:t>
            </w:r>
          </w:p>
        </w:tc>
        <w:tc>
          <w:tcPr>
            <w:tcW w:type="dxa" w:w="2714"/>
            <w:shd w:val="clear" w:color="auto" w:fill="EDEFF2"/>
          </w:tcPr>
          <w:p>
            <w:pPr>
              <w:keepNext w:val="0"/>
              <w:spacing w:after="20"/>
            </w:pPr>
            <w:r>
              <w:rPr>
                <w:b/>
                <w:sz w:val="15"/>
              </w:rPr>
              <w:t>Necesidad oculta</w:t>
            </w:r>
          </w:p>
        </w:tc>
        <w:tc>
          <w:tcPr>
            <w:tcW w:type="dxa" w:w="1357"/>
            <w:shd w:val="clear" w:color="auto" w:fill="EDEFF2"/>
          </w:tcPr>
          <w:p>
            <w:pPr>
              <w:keepNext w:val="0"/>
              <w:spacing w:after="20"/>
            </w:pPr>
            <w:r>
              <w:rPr>
                <w:b/>
                <w:sz w:val="15"/>
              </w:rPr>
              <w:t>Concern dominante</w:t>
            </w:r>
          </w:p>
        </w:tc>
      </w:tr>
      <w:tr>
        <w:tc>
          <w:tcPr>
            <w:tcW w:type="dxa" w:w="515"/>
          </w:tcPr>
          <w:p>
            <w:pPr>
              <w:spacing w:after="20"/>
            </w:pPr>
            <w:r>
              <w:rPr>
                <w:b w:val="0"/>
                <w:sz w:val="15"/>
              </w:rPr>
              <w:t>STK-01</w:t>
            </w:r>
          </w:p>
        </w:tc>
        <w:tc>
          <w:tcPr>
            <w:tcW w:type="dxa" w:w="1451"/>
          </w:tcPr>
          <w:p>
            <w:pPr>
              <w:spacing w:after="20"/>
            </w:pPr>
            <w:r>
              <w:rPr>
                <w:b w:val="0"/>
                <w:sz w:val="15"/>
              </w:rPr>
              <w:t>Médico tratante (oncólogo)</w:t>
            </w:r>
          </w:p>
        </w:tc>
        <w:tc>
          <w:tcPr>
            <w:tcW w:type="dxa" w:w="702"/>
          </w:tcPr>
          <w:p>
            <w:pPr>
              <w:spacing w:after="20"/>
            </w:pPr>
            <w:r>
              <w:rPr>
                <w:b w:val="0"/>
                <w:sz w:val="15"/>
              </w:rPr>
              <w:t>usa</w:t>
            </w:r>
          </w:p>
        </w:tc>
        <w:tc>
          <w:tcPr>
            <w:tcW w:type="dxa" w:w="842"/>
          </w:tcPr>
          <w:p>
            <w:pPr>
              <w:spacing w:after="20"/>
            </w:pPr>
            <w:r>
              <w:rPr>
                <w:b w:val="0"/>
                <w:sz w:val="15"/>
              </w:rPr>
              <w:t>dentro — trabajador</w:t>
            </w:r>
          </w:p>
        </w:tc>
        <w:tc>
          <w:tcPr>
            <w:tcW w:type="dxa" w:w="1778"/>
          </w:tcPr>
          <w:p>
            <w:pPr>
              <w:spacing w:after="20"/>
            </w:pPr>
            <w:r>
              <w:rPr>
                <w:b w:val="0"/>
                <w:sz w:val="15"/>
              </w:rPr>
              <w:t>«Quiero prescribir rápidamente, en menos de 5 minutos, sin andar buscando papel.»</w:t>
            </w:r>
          </w:p>
        </w:tc>
        <w:tc>
          <w:tcPr>
            <w:tcW w:type="dxa" w:w="2714"/>
          </w:tcPr>
          <w:p>
            <w:pPr>
              <w:spacing w:after="20"/>
            </w:pPr>
            <w:r>
              <w:rPr>
                <w:b w:val="0"/>
                <w:sz w:val="15"/>
              </w:rPr>
              <w:t xml:space="preserve">Que el sistema le </w:t>
            </w:r>
            <w:r>
              <w:rPr>
                <w:b/>
                <w:sz w:val="15"/>
              </w:rPr>
              <w:t>sugiera</w:t>
            </w:r>
            <w:r>
              <w:rPr>
                <w:b w:val="0"/>
                <w:sz w:val="15"/>
              </w:rPr>
              <w:t xml:space="preserve"> el MAC según protocolo, le </w:t>
            </w:r>
            <w:r>
              <w:rPr>
                <w:b/>
                <w:sz w:val="15"/>
              </w:rPr>
              <w:t>alerte</w:t>
            </w:r>
            <w:r>
              <w:rPr>
                <w:b w:val="0"/>
                <w:sz w:val="15"/>
              </w:rPr>
              <w:t xml:space="preserve"> interacciones y contraindicaciones, </w:t>
            </w:r>
            <w:r>
              <w:rPr>
                <w:b/>
                <w:sz w:val="15"/>
              </w:rPr>
              <w:t>valide contra inventario en tiempo real</w:t>
            </w:r>
            <w:r>
              <w:rPr>
                <w:b w:val="0"/>
                <w:sz w:val="15"/>
              </w:rPr>
              <w:t xml:space="preserve"> y —si no hay stock— le permita pedir compra urgente o reemplazo terapéutico desde la misma pantalla. Y que </w:t>
            </w:r>
            <w:r>
              <w:rPr>
                <w:b/>
                <w:sz w:val="15"/>
              </w:rPr>
              <w:t>recuerde su patrón de prescripción</w:t>
            </w:r>
            <w:r>
              <w:rPr>
                <w:b w:val="0"/>
                <w:sz w:val="15"/>
              </w:rPr>
              <w:t>.</w:t>
            </w:r>
          </w:p>
        </w:tc>
        <w:tc>
          <w:tcPr>
            <w:tcW w:type="dxa" w:w="1357"/>
          </w:tcPr>
          <w:p>
            <w:pPr>
              <w:spacing w:after="20"/>
            </w:pPr>
            <w:r>
              <w:rPr>
                <w:b w:val="0"/>
                <w:sz w:val="15"/>
              </w:rPr>
              <w:t>Usabilidad y eficiencia, sobre integridad de datos clínicos</w:t>
            </w:r>
          </w:p>
        </w:tc>
      </w:tr>
      <w:tr>
        <w:tc>
          <w:tcPr>
            <w:tcW w:type="dxa" w:w="515"/>
          </w:tcPr>
          <w:p>
            <w:pPr>
              <w:spacing w:after="20"/>
            </w:pPr>
            <w:r>
              <w:rPr>
                <w:b w:val="0"/>
                <w:sz w:val="15"/>
              </w:rPr>
              <w:t>STK-02</w:t>
            </w:r>
          </w:p>
        </w:tc>
        <w:tc>
          <w:tcPr>
            <w:tcW w:type="dxa" w:w="1451"/>
          </w:tcPr>
          <w:p>
            <w:pPr>
              <w:spacing w:after="20"/>
            </w:pPr>
            <w:r>
              <w:rPr>
                <w:b w:val="0"/>
                <w:sz w:val="15"/>
              </w:rPr>
              <w:t>Farmacéutico/a clínico/a</w:t>
            </w:r>
          </w:p>
        </w:tc>
        <w:tc>
          <w:tcPr>
            <w:tcW w:type="dxa" w:w="702"/>
          </w:tcPr>
          <w:p>
            <w:pPr>
              <w:spacing w:after="20"/>
            </w:pPr>
            <w:r>
              <w:rPr>
                <w:b w:val="0"/>
                <w:sz w:val="15"/>
              </w:rPr>
              <w:t>usa</w:t>
            </w:r>
          </w:p>
        </w:tc>
        <w:tc>
          <w:tcPr>
            <w:tcW w:type="dxa" w:w="842"/>
          </w:tcPr>
          <w:p>
            <w:pPr>
              <w:spacing w:after="20"/>
            </w:pPr>
            <w:r>
              <w:rPr>
                <w:b w:val="0"/>
                <w:sz w:val="15"/>
              </w:rPr>
              <w:t>dentro — trabajador</w:t>
            </w:r>
          </w:p>
        </w:tc>
        <w:tc>
          <w:tcPr>
            <w:tcW w:type="dxa" w:w="1778"/>
          </w:tcPr>
          <w:p>
            <w:pPr>
              <w:spacing w:after="20"/>
            </w:pPr>
            <w:r>
              <w:rPr>
                <w:b w:val="0"/>
                <w:sz w:val="15"/>
              </w:rPr>
              <w:t>«Quiero un sistema que no se caiga, porque si no puedo dispensar, los pacientes no reciben su quimioterapia.»</w:t>
            </w:r>
          </w:p>
        </w:tc>
        <w:tc>
          <w:tcPr>
            <w:tcW w:type="dxa" w:w="2714"/>
          </w:tcPr>
          <w:p>
            <w:pPr>
              <w:spacing w:after="20"/>
            </w:pPr>
            <w:r>
              <w:rPr>
                <w:b w:val="0"/>
                <w:sz w:val="15"/>
              </w:rPr>
              <w:t xml:space="preserve">Operación </w:t>
            </w:r>
            <w:r>
              <w:rPr>
                <w:b/>
                <w:sz w:val="15"/>
              </w:rPr>
              <w:t>&lt; 2 s</w:t>
            </w:r>
            <w:r>
              <w:rPr>
                <w:b w:val="0"/>
                <w:sz w:val="15"/>
              </w:rPr>
              <w:t xml:space="preserve"> y que </w:t>
            </w:r>
            <w:r>
              <w:rPr>
                <w:b/>
                <w:sz w:val="15"/>
              </w:rPr>
              <w:t>funcione aunque falle la red</w:t>
            </w:r>
            <w:r>
              <w:rPr>
                <w:b w:val="0"/>
                <w:sz w:val="15"/>
              </w:rPr>
              <w:t xml:space="preserve"> (la farmacia está en el sótano, con Wi-Fi inestable). Y un </w:t>
            </w:r>
            <w:r>
              <w:rPr>
                <w:b/>
                <w:sz w:val="15"/>
              </w:rPr>
              <w:t>inventario predictivo</w:t>
            </w:r>
            <w:r>
              <w:rPr>
                <w:b w:val="0"/>
                <w:sz w:val="15"/>
              </w:rPr>
              <w:t xml:space="preserve"> que anticipe faltantes con 7 días de vista, según las prescripciones programadas.</w:t>
            </w:r>
          </w:p>
        </w:tc>
        <w:tc>
          <w:tcPr>
            <w:tcW w:type="dxa" w:w="1357"/>
          </w:tcPr>
          <w:p>
            <w:pPr>
              <w:spacing w:after="20"/>
            </w:pPr>
            <w:r>
              <w:rPr>
                <w:b w:val="0"/>
                <w:sz w:val="15"/>
              </w:rPr>
              <w:t>Disponibilidad (operación degradada) y performance</w:t>
            </w:r>
          </w:p>
        </w:tc>
      </w:tr>
      <w:tr>
        <w:tc>
          <w:tcPr>
            <w:tcW w:type="dxa" w:w="515"/>
          </w:tcPr>
          <w:p>
            <w:pPr>
              <w:spacing w:after="20"/>
            </w:pPr>
            <w:r>
              <w:rPr>
                <w:b w:val="0"/>
                <w:sz w:val="15"/>
              </w:rPr>
              <w:t>STK-03</w:t>
            </w:r>
          </w:p>
        </w:tc>
        <w:tc>
          <w:tcPr>
            <w:tcW w:type="dxa" w:w="1451"/>
          </w:tcPr>
          <w:p>
            <w:pPr>
              <w:spacing w:after="20"/>
            </w:pPr>
            <w:r>
              <w:rPr>
                <w:b w:val="0"/>
                <w:sz w:val="15"/>
              </w:rPr>
              <w:t>Enfermero/a de piso</w:t>
            </w:r>
          </w:p>
        </w:tc>
        <w:tc>
          <w:tcPr>
            <w:tcW w:type="dxa" w:w="702"/>
          </w:tcPr>
          <w:p>
            <w:pPr>
              <w:spacing w:after="20"/>
            </w:pPr>
            <w:r>
              <w:rPr>
                <w:b w:val="0"/>
                <w:sz w:val="15"/>
              </w:rPr>
              <w:t>usa</w:t>
            </w:r>
          </w:p>
        </w:tc>
        <w:tc>
          <w:tcPr>
            <w:tcW w:type="dxa" w:w="842"/>
          </w:tcPr>
          <w:p>
            <w:pPr>
              <w:spacing w:after="20"/>
            </w:pPr>
            <w:r>
              <w:rPr>
                <w:b w:val="0"/>
                <w:sz w:val="15"/>
              </w:rPr>
              <w:t>dentro — trabajador</w:t>
            </w:r>
          </w:p>
        </w:tc>
        <w:tc>
          <w:tcPr>
            <w:tcW w:type="dxa" w:w="1778"/>
          </w:tcPr>
          <w:p>
            <w:pPr>
              <w:spacing w:after="20"/>
            </w:pPr>
            <w:r>
              <w:rPr>
                <w:b w:val="0"/>
                <w:sz w:val="15"/>
              </w:rPr>
              <w:t>«Quiero que el escáner funcione rápido y no se trabe.»</w:t>
            </w:r>
          </w:p>
        </w:tc>
        <w:tc>
          <w:tcPr>
            <w:tcW w:type="dxa" w:w="2714"/>
          </w:tcPr>
          <w:p>
            <w:pPr>
              <w:spacing w:after="20"/>
            </w:pPr>
            <w:r>
              <w:rPr>
                <w:b w:val="0"/>
                <w:sz w:val="15"/>
              </w:rPr>
              <w:t xml:space="preserve">Validación paciente-medicamento </w:t>
            </w:r>
            <w:r>
              <w:rPr>
                <w:b/>
                <w:sz w:val="15"/>
              </w:rPr>
              <w:t>&lt; 1 s</w:t>
            </w:r>
            <w:r>
              <w:rPr>
                <w:b w:val="0"/>
                <w:sz w:val="15"/>
              </w:rPr>
              <w:t xml:space="preserve">; poder </w:t>
            </w:r>
            <w:r>
              <w:rPr>
                <w:b/>
                <w:sz w:val="15"/>
              </w:rPr>
              <w:t>administrar offline</w:t>
            </w:r>
            <w:r>
              <w:rPr>
                <w:b w:val="0"/>
                <w:sz w:val="15"/>
              </w:rPr>
              <w:t xml:space="preserve"> si cae la conexión, con trazabilidad que se resuelve al reconectar </w:t>
            </w:r>
            <w:r>
              <w:rPr>
                <w:b/>
                <w:sz w:val="15"/>
              </w:rPr>
              <w:t>sin duplicar registros</w:t>
            </w:r>
            <w:r>
              <w:rPr>
                <w:b w:val="0"/>
                <w:sz w:val="15"/>
              </w:rPr>
              <w:t xml:space="preserve">; y registrar reacciones adversas por </w:t>
            </w:r>
            <w:r>
              <w:rPr>
                <w:b/>
                <w:sz w:val="15"/>
              </w:rPr>
              <w:t>voz a texto</w:t>
            </w:r>
            <w:r>
              <w:rPr>
                <w:b w:val="0"/>
                <w:sz w:val="15"/>
              </w:rPr>
              <w:t>.</w:t>
            </w:r>
          </w:p>
        </w:tc>
        <w:tc>
          <w:tcPr>
            <w:tcW w:type="dxa" w:w="1357"/>
          </w:tcPr>
          <w:p>
            <w:pPr>
              <w:spacing w:after="20"/>
            </w:pPr>
            <w:r>
              <w:rPr>
                <w:b w:val="0"/>
                <w:sz w:val="15"/>
              </w:rPr>
              <w:t>Performance y disponibilidad, con usabilidad bajo presión</w:t>
            </w:r>
          </w:p>
        </w:tc>
      </w:tr>
      <w:tr>
        <w:tc>
          <w:tcPr>
            <w:tcW w:type="dxa" w:w="515"/>
          </w:tcPr>
          <w:p>
            <w:pPr>
              <w:spacing w:after="20"/>
            </w:pPr>
            <w:r>
              <w:rPr>
                <w:b w:val="0"/>
                <w:sz w:val="15"/>
              </w:rPr>
              <w:t>STK-04</w:t>
            </w:r>
          </w:p>
        </w:tc>
        <w:tc>
          <w:tcPr>
            <w:tcW w:type="dxa" w:w="1451"/>
          </w:tcPr>
          <w:p>
            <w:pPr>
              <w:spacing w:after="20"/>
            </w:pPr>
            <w:r>
              <w:rPr>
                <w:b w:val="0"/>
                <w:sz w:val="15"/>
              </w:rPr>
              <w:t>Director Administrativo</w:t>
            </w:r>
          </w:p>
        </w:tc>
        <w:tc>
          <w:tcPr>
            <w:tcW w:type="dxa" w:w="702"/>
          </w:tcPr>
          <w:p>
            <w:pPr>
              <w:spacing w:after="20"/>
            </w:pPr>
            <w:r>
              <w:rPr>
                <w:b w:val="0"/>
                <w:sz w:val="15"/>
              </w:rPr>
              <w:t>paga · usa</w:t>
            </w:r>
          </w:p>
        </w:tc>
        <w:tc>
          <w:tcPr>
            <w:tcW w:type="dxa" w:w="842"/>
          </w:tcPr>
          <w:p>
            <w:pPr>
              <w:spacing w:after="20"/>
            </w:pPr>
            <w:r>
              <w:rPr>
                <w:b w:val="0"/>
                <w:sz w:val="15"/>
              </w:rPr>
              <w:t>dentro — trabajador</w:t>
            </w:r>
          </w:p>
        </w:tc>
        <w:tc>
          <w:tcPr>
            <w:tcW w:type="dxa" w:w="1778"/>
          </w:tcPr>
          <w:p>
            <w:pPr>
              <w:spacing w:after="20"/>
            </w:pPr>
            <w:r>
              <w:rPr>
                <w:b w:val="0"/>
                <w:sz w:val="15"/>
              </w:rPr>
              <w:t>«Quiero ahorrar dinero y evitar pérdidas por caducidad.»</w:t>
            </w:r>
          </w:p>
        </w:tc>
        <w:tc>
          <w:tcPr>
            <w:tcW w:type="dxa" w:w="2714"/>
          </w:tcPr>
          <w:p>
            <w:pPr>
              <w:spacing w:after="20"/>
            </w:pPr>
            <w:r>
              <w:rPr>
                <w:b/>
                <w:sz w:val="15"/>
              </w:rPr>
              <w:t>Tablero financiero</w:t>
            </w:r>
            <w:r>
              <w:rPr>
                <w:b w:val="0"/>
                <w:sz w:val="15"/>
              </w:rPr>
              <w:t xml:space="preserve">: costo por paciente, por servicio y % de desperdicio. Y </w:t>
            </w:r>
            <w:r>
              <w:rPr>
                <w:b/>
                <w:sz w:val="15"/>
              </w:rPr>
              <w:t>auditar quién autorizó cada compra y quién dio de baja un vencido</w:t>
            </w:r>
            <w:r>
              <w:rPr>
                <w:b w:val="0"/>
                <w:sz w:val="15"/>
              </w:rPr>
              <w:t>, de forma transparente para la Contraloría.</w:t>
            </w:r>
          </w:p>
        </w:tc>
        <w:tc>
          <w:tcPr>
            <w:tcW w:type="dxa" w:w="1357"/>
          </w:tcPr>
          <w:p>
            <w:pPr>
              <w:spacing w:after="20"/>
            </w:pPr>
            <w:r>
              <w:rPr>
                <w:b w:val="0"/>
                <w:sz w:val="15"/>
              </w:rPr>
              <w:t>Auditabilidad y observabilidad del negocio</w:t>
            </w:r>
          </w:p>
        </w:tc>
      </w:tr>
      <w:tr>
        <w:tc>
          <w:tcPr>
            <w:tcW w:type="dxa" w:w="515"/>
          </w:tcPr>
          <w:p>
            <w:pPr>
              <w:spacing w:after="20"/>
            </w:pPr>
            <w:r>
              <w:rPr>
                <w:b w:val="0"/>
                <w:sz w:val="15"/>
              </w:rPr>
              <w:t>STK-05</w:t>
            </w:r>
          </w:p>
        </w:tc>
        <w:tc>
          <w:tcPr>
            <w:tcW w:type="dxa" w:w="1451"/>
          </w:tcPr>
          <w:p>
            <w:pPr>
              <w:spacing w:after="20"/>
            </w:pPr>
            <w:r>
              <w:rPr>
                <w:b w:val="0"/>
                <w:sz w:val="15"/>
              </w:rPr>
              <w:t>Jefe de Farmacovigilancia</w:t>
            </w:r>
          </w:p>
        </w:tc>
        <w:tc>
          <w:tcPr>
            <w:tcW w:type="dxa" w:w="702"/>
          </w:tcPr>
          <w:p>
            <w:pPr>
              <w:spacing w:after="20"/>
            </w:pPr>
            <w:r>
              <w:rPr>
                <w:b w:val="0"/>
                <w:sz w:val="15"/>
              </w:rPr>
              <w:t>regula (interno) · usa</w:t>
            </w:r>
          </w:p>
        </w:tc>
        <w:tc>
          <w:tcPr>
            <w:tcW w:type="dxa" w:w="842"/>
          </w:tcPr>
          <w:p>
            <w:pPr>
              <w:spacing w:after="20"/>
            </w:pPr>
            <w:r>
              <w:rPr>
                <w:b w:val="0"/>
                <w:sz w:val="15"/>
              </w:rPr>
              <w:t>dentro — trabajador</w:t>
            </w:r>
          </w:p>
        </w:tc>
        <w:tc>
          <w:tcPr>
            <w:tcW w:type="dxa" w:w="1778"/>
          </w:tcPr>
          <w:p>
            <w:pPr>
              <w:spacing w:after="20"/>
            </w:pPr>
            <w:r>
              <w:rPr>
                <w:b w:val="0"/>
                <w:sz w:val="15"/>
              </w:rPr>
              <w:t>«Quiero cumplir con la ley y reportar efectos adversos.»</w:t>
            </w:r>
          </w:p>
        </w:tc>
        <w:tc>
          <w:tcPr>
            <w:tcW w:type="dxa" w:w="2714"/>
          </w:tcPr>
          <w:p>
            <w:pPr>
              <w:spacing w:after="20"/>
            </w:pPr>
            <w:r>
              <w:rPr>
                <w:b/>
                <w:sz w:val="15"/>
              </w:rPr>
              <w:t>Detección automática de patrones</w:t>
            </w:r>
            <w:r>
              <w:rPr>
                <w:b w:val="0"/>
                <w:sz w:val="15"/>
              </w:rPr>
              <w:t xml:space="preserve"> de efectos adversos (ej. 5 pacientes del mismo lote con náuseas → alerta temprana) y que los reportes al sistema nacional se </w:t>
            </w:r>
            <w:r>
              <w:rPr>
                <w:b/>
                <w:sz w:val="15"/>
              </w:rPr>
              <w:t>generen automáticamente</w:t>
            </w:r>
            <w:r>
              <w:rPr>
                <w:b w:val="0"/>
                <w:sz w:val="15"/>
              </w:rPr>
              <w:t>, sin transcripción manual.</w:t>
            </w:r>
          </w:p>
        </w:tc>
        <w:tc>
          <w:tcPr>
            <w:tcW w:type="dxa" w:w="1357"/>
          </w:tcPr>
          <w:p>
            <w:pPr>
              <w:spacing w:after="20"/>
            </w:pPr>
            <w:r>
              <w:rPr>
                <w:b w:val="0"/>
                <w:sz w:val="15"/>
              </w:rPr>
              <w:t>Cumplimiento normativo e integrabilidad</w:t>
            </w:r>
          </w:p>
        </w:tc>
      </w:tr>
      <w:tr>
        <w:tc>
          <w:tcPr>
            <w:tcW w:type="dxa" w:w="515"/>
          </w:tcPr>
          <w:p>
            <w:pPr>
              <w:spacing w:after="20"/>
            </w:pPr>
            <w:r>
              <w:rPr>
                <w:b w:val="0"/>
                <w:sz w:val="15"/>
              </w:rPr>
              <w:t>STK-06</w:t>
            </w:r>
          </w:p>
        </w:tc>
        <w:tc>
          <w:tcPr>
            <w:tcW w:type="dxa" w:w="1451"/>
          </w:tcPr>
          <w:p>
            <w:pPr>
              <w:spacing w:after="20"/>
            </w:pPr>
            <w:r>
              <w:rPr>
                <w:b w:val="0"/>
                <w:sz w:val="15"/>
              </w:rPr>
              <w:t>Paciente</w:t>
            </w:r>
          </w:p>
        </w:tc>
        <w:tc>
          <w:tcPr>
            <w:tcW w:type="dxa" w:w="702"/>
          </w:tcPr>
          <w:p>
            <w:pPr>
              <w:spacing w:after="20"/>
            </w:pPr>
            <w:r>
              <w:rPr>
                <w:b w:val="0"/>
                <w:sz w:val="15"/>
              </w:rPr>
              <w:t>usa (indirecto)</w:t>
            </w:r>
          </w:p>
        </w:tc>
        <w:tc>
          <w:tcPr>
            <w:tcW w:type="dxa" w:w="842"/>
          </w:tcPr>
          <w:p>
            <w:pPr>
              <w:spacing w:after="20"/>
            </w:pPr>
            <w:r>
              <w:rPr>
                <w:b/>
                <w:sz w:val="15"/>
              </w:rPr>
              <w:t>fuera — actor</w:t>
            </w:r>
          </w:p>
        </w:tc>
        <w:tc>
          <w:tcPr>
            <w:tcW w:type="dxa" w:w="1778"/>
          </w:tcPr>
          <w:p>
            <w:pPr>
              <w:spacing w:after="20"/>
            </w:pPr>
            <w:r>
              <w:rPr>
                <w:b w:val="0"/>
                <w:sz w:val="15"/>
              </w:rPr>
              <w:t>«Quiero que me den mi medicamento rápido y no me equivoquen.»</w:t>
            </w:r>
          </w:p>
        </w:tc>
        <w:tc>
          <w:tcPr>
            <w:tcW w:type="dxa" w:w="2714"/>
          </w:tcPr>
          <w:p>
            <w:pPr>
              <w:spacing w:after="20"/>
            </w:pPr>
            <w:r>
              <w:rPr>
                <w:b/>
                <w:sz w:val="15"/>
              </w:rPr>
              <w:t>Trazabilidad verificable por él mismo</w:t>
            </w:r>
            <w:r>
              <w:rPr>
                <w:b w:val="0"/>
                <w:sz w:val="15"/>
              </w:rPr>
              <w:t xml:space="preserve"> (escanear el QR y confirmar medicamento y dosis), </w:t>
            </w:r>
            <w:r>
              <w:rPr>
                <w:b/>
                <w:sz w:val="15"/>
              </w:rPr>
              <w:t>notificación de la próxima dosis</w:t>
            </w:r>
            <w:r>
              <w:rPr>
                <w:b w:val="0"/>
                <w:sz w:val="15"/>
              </w:rPr>
              <w:t xml:space="preserve"> por SMS/WhatsApp en tratamiento ambulatorio, y </w:t>
            </w:r>
            <w:r>
              <w:rPr>
                <w:b/>
                <w:sz w:val="15"/>
              </w:rPr>
              <w:t>confidencialidad total</w:t>
            </w:r>
            <w:r>
              <w:rPr>
                <w:b w:val="0"/>
                <w:sz w:val="15"/>
              </w:rPr>
              <w:t xml:space="preserve"> de su diagnóstico.</w:t>
            </w:r>
          </w:p>
        </w:tc>
        <w:tc>
          <w:tcPr>
            <w:tcW w:type="dxa" w:w="1357"/>
          </w:tcPr>
          <w:p>
            <w:pPr>
              <w:spacing w:after="20"/>
            </w:pPr>
            <w:r>
              <w:rPr>
                <w:b w:val="0"/>
                <w:sz w:val="15"/>
              </w:rPr>
              <w:t>Confidencialidad, y trazabilidad de cara al paciente</w:t>
            </w:r>
          </w:p>
        </w:tc>
      </w:tr>
      <w:tr>
        <w:tc>
          <w:tcPr>
            <w:tcW w:type="dxa" w:w="515"/>
          </w:tcPr>
          <w:p>
            <w:pPr>
              <w:spacing w:after="20"/>
            </w:pPr>
            <w:r>
              <w:rPr>
                <w:b w:val="0"/>
                <w:sz w:val="15"/>
              </w:rPr>
              <w:t>STK-07</w:t>
            </w:r>
          </w:p>
        </w:tc>
        <w:tc>
          <w:tcPr>
            <w:tcW w:type="dxa" w:w="1451"/>
          </w:tcPr>
          <w:p>
            <w:pPr>
              <w:spacing w:after="20"/>
            </w:pPr>
            <w:r>
              <w:rPr>
                <w:b w:val="0"/>
                <w:sz w:val="15"/>
              </w:rPr>
              <w:t>Ministerio de Salud (MSPAS)</w:t>
            </w:r>
          </w:p>
        </w:tc>
        <w:tc>
          <w:tcPr>
            <w:tcW w:type="dxa" w:w="702"/>
          </w:tcPr>
          <w:p>
            <w:pPr>
              <w:spacing w:after="20"/>
            </w:pPr>
            <w:r>
              <w:rPr>
                <w:b w:val="0"/>
                <w:sz w:val="15"/>
              </w:rPr>
              <w:t>regula</w:t>
            </w:r>
          </w:p>
        </w:tc>
        <w:tc>
          <w:tcPr>
            <w:tcW w:type="dxa" w:w="842"/>
          </w:tcPr>
          <w:p>
            <w:pPr>
              <w:spacing w:after="20"/>
            </w:pPr>
            <w:r>
              <w:rPr>
                <w:b/>
                <w:sz w:val="15"/>
              </w:rPr>
              <w:t>fuera — actor</w:t>
            </w:r>
          </w:p>
        </w:tc>
        <w:tc>
          <w:tcPr>
            <w:tcW w:type="dxa" w:w="1778"/>
          </w:tcPr>
          <w:p>
            <w:pPr>
              <w:spacing w:after="20"/>
            </w:pPr>
            <w:r>
              <w:rPr>
                <w:b w:val="0"/>
                <w:sz w:val="15"/>
              </w:rPr>
              <w:t>«Queremos estandarizar la trazabilidad a nivel nacional.»</w:t>
            </w:r>
          </w:p>
        </w:tc>
        <w:tc>
          <w:tcPr>
            <w:tcW w:type="dxa" w:w="2714"/>
          </w:tcPr>
          <w:p>
            <w:pPr>
              <w:spacing w:after="20"/>
            </w:pPr>
            <w:r>
              <w:rPr>
                <w:b w:val="0"/>
                <w:sz w:val="15"/>
              </w:rPr>
              <w:t xml:space="preserve">Exportación en </w:t>
            </w:r>
            <w:r>
              <w:rPr>
                <w:b/>
                <w:sz w:val="15"/>
              </w:rPr>
              <w:t>HL7 FHIR</w:t>
            </w:r>
            <w:r>
              <w:rPr>
                <w:b w:val="0"/>
                <w:sz w:val="15"/>
              </w:rPr>
              <w:t xml:space="preserve"> para interoperar con otros hospitales y </w:t>
            </w:r>
            <w:r>
              <w:rPr>
                <w:b/>
                <w:sz w:val="15"/>
              </w:rPr>
              <w:t>APIs seguras</w:t>
            </w:r>
            <w:r>
              <w:rPr>
                <w:b w:val="0"/>
                <w:sz w:val="15"/>
              </w:rPr>
              <w:t xml:space="preserve"> para que el sistema nacional consulte efectos adversos en tiempo real. Reporte obligatorio </w:t>
            </w:r>
            <w:r>
              <w:rPr>
                <w:b/>
                <w:sz w:val="15"/>
              </w:rPr>
              <w:t>≤ 24 h</w:t>
            </w:r>
            <w:r>
              <w:rPr>
                <w:b w:val="0"/>
                <w:sz w:val="15"/>
              </w:rPr>
              <w:t xml:space="preserve"> en XML con la DTD del MSPAS.</w:t>
            </w:r>
          </w:p>
        </w:tc>
        <w:tc>
          <w:tcPr>
            <w:tcW w:type="dxa" w:w="1357"/>
          </w:tcPr>
          <w:p>
            <w:pPr>
              <w:spacing w:after="20"/>
            </w:pPr>
            <w:r>
              <w:rPr>
                <w:b w:val="0"/>
                <w:sz w:val="15"/>
              </w:rPr>
              <w:t>Interoperabilidad y cumplimiento</w:t>
            </w:r>
          </w:p>
        </w:tc>
      </w:tr>
      <w:tr>
        <w:tc>
          <w:tcPr>
            <w:tcW w:type="dxa" w:w="515"/>
          </w:tcPr>
          <w:p>
            <w:pPr>
              <w:spacing w:after="20"/>
            </w:pPr>
            <w:r>
              <w:rPr>
                <w:b w:val="0"/>
                <w:sz w:val="15"/>
              </w:rPr>
              <w:t>STK-08</w:t>
            </w:r>
          </w:p>
        </w:tc>
        <w:tc>
          <w:tcPr>
            <w:tcW w:type="dxa" w:w="1451"/>
          </w:tcPr>
          <w:p>
            <w:pPr>
              <w:spacing w:after="20"/>
            </w:pPr>
            <w:r>
              <w:rPr>
                <w:b w:val="0"/>
                <w:sz w:val="15"/>
              </w:rPr>
              <w:t>Equipo interno de TI del hospital (3 personas: Java 8, Spring Boot, Oracle PL/SQL, Angular)</w:t>
            </w:r>
          </w:p>
        </w:tc>
        <w:tc>
          <w:tcPr>
            <w:tcW w:type="dxa" w:w="702"/>
          </w:tcPr>
          <w:p>
            <w:pPr>
              <w:spacing w:after="20"/>
            </w:pPr>
            <w:r>
              <w:rPr>
                <w:b w:val="0"/>
                <w:sz w:val="15"/>
              </w:rPr>
              <w:t>mantiene</w:t>
            </w:r>
          </w:p>
        </w:tc>
        <w:tc>
          <w:tcPr>
            <w:tcW w:type="dxa" w:w="842"/>
          </w:tcPr>
          <w:p>
            <w:pPr>
              <w:spacing w:after="20"/>
            </w:pPr>
            <w:r>
              <w:rPr>
                <w:b w:val="0"/>
                <w:sz w:val="15"/>
              </w:rPr>
              <w:t>dentro — trabajador</w:t>
            </w:r>
          </w:p>
        </w:tc>
        <w:tc>
          <w:tcPr>
            <w:tcW w:type="dxa" w:w="1778"/>
          </w:tcPr>
          <w:p>
            <w:pPr>
              <w:spacing w:after="20"/>
            </w:pPr>
            <w:r>
              <w:rPr>
                <w:b w:val="0"/>
                <w:sz w:val="15"/>
              </w:rPr>
              <w:t>«Queremos usar tecnologías modernas y entregar rápido.»</w:t>
            </w:r>
          </w:p>
        </w:tc>
        <w:tc>
          <w:tcPr>
            <w:tcW w:type="dxa" w:w="2714"/>
          </w:tcPr>
          <w:p>
            <w:pPr>
              <w:spacing w:after="20"/>
            </w:pPr>
            <w:r>
              <w:rPr>
                <w:b w:val="0"/>
                <w:sz w:val="15"/>
              </w:rPr>
              <w:t xml:space="preserve">Que el stack sea </w:t>
            </w:r>
            <w:r>
              <w:rPr>
                <w:b/>
                <w:sz w:val="15"/>
              </w:rPr>
              <w:t>mantenible por 3 personas con su experiencia real</w:t>
            </w:r>
            <w:r>
              <w:rPr>
                <w:b w:val="0"/>
                <w:sz w:val="15"/>
              </w:rPr>
              <w:t xml:space="preserve"> después de que la consultora se vaya; </w:t>
            </w:r>
            <w:r>
              <w:rPr>
                <w:b/>
                <w:sz w:val="15"/>
              </w:rPr>
              <w:t>evolución incremental</w:t>
            </w:r>
            <w:r>
              <w:rPr>
                <w:b w:val="0"/>
                <w:sz w:val="15"/>
              </w:rPr>
              <w:t xml:space="preserve">; y </w:t>
            </w:r>
            <w:r>
              <w:rPr>
                <w:b/>
                <w:sz w:val="15"/>
              </w:rPr>
              <w:t>documentación viva</w:t>
            </w:r>
            <w:r>
              <w:rPr>
                <w:b w:val="0"/>
                <w:sz w:val="15"/>
              </w:rPr>
              <w:t>, porque la rotación de personal es alta.</w:t>
            </w:r>
          </w:p>
        </w:tc>
        <w:tc>
          <w:tcPr>
            <w:tcW w:type="dxa" w:w="1357"/>
          </w:tcPr>
          <w:p>
            <w:pPr>
              <w:spacing w:after="20"/>
            </w:pPr>
            <w:r>
              <w:rPr>
                <w:b/>
                <w:sz w:val="15"/>
              </w:rPr>
              <w:t>Mantenibilidad y modificabilidad</w:t>
            </w:r>
          </w:p>
        </w:tc>
      </w:tr>
      <w:tr>
        <w:tc>
          <w:tcPr>
            <w:tcW w:type="dxa" w:w="515"/>
          </w:tcPr>
          <w:p>
            <w:pPr>
              <w:spacing w:after="20"/>
            </w:pPr>
            <w:r>
              <w:rPr>
                <w:b w:val="0"/>
                <w:sz w:val="15"/>
              </w:rPr>
              <w:t>STK-09</w:t>
            </w:r>
          </w:p>
        </w:tc>
        <w:tc>
          <w:tcPr>
            <w:tcW w:type="dxa" w:w="1451"/>
          </w:tcPr>
          <w:p>
            <w:pPr>
              <w:spacing w:after="20"/>
            </w:pPr>
            <w:r>
              <w:rPr>
                <w:b w:val="0"/>
                <w:sz w:val="15"/>
              </w:rPr>
              <w:t>Consultora externa — 5 desarrolladores (Python/Django, React, MongoDB, Kafka)</w:t>
            </w:r>
          </w:p>
        </w:tc>
        <w:tc>
          <w:tcPr>
            <w:tcW w:type="dxa" w:w="702"/>
          </w:tcPr>
          <w:p>
            <w:pPr>
              <w:spacing w:after="20"/>
            </w:pPr>
            <w:r>
              <w:rPr>
                <w:b w:val="0"/>
                <w:sz w:val="15"/>
              </w:rPr>
              <w:t>construye</w:t>
            </w:r>
          </w:p>
        </w:tc>
        <w:tc>
          <w:tcPr>
            <w:tcW w:type="dxa" w:w="842"/>
          </w:tcPr>
          <w:p>
            <w:pPr>
              <w:spacing w:after="20"/>
            </w:pPr>
            <w:r>
              <w:rPr>
                <w:b w:val="0"/>
                <w:sz w:val="15"/>
              </w:rPr>
              <w:t>fuera — solo interés</w:t>
            </w:r>
          </w:p>
        </w:tc>
        <w:tc>
          <w:tcPr>
            <w:tcW w:type="dxa" w:w="1778"/>
          </w:tcPr>
          <w:p>
            <w:pPr>
              <w:spacing w:after="20"/>
            </w:pPr>
            <w:r>
              <w:rPr>
                <w:b w:val="0"/>
                <w:sz w:val="15"/>
              </w:rPr>
              <w:t>«Queremos usar tecnologías modernas y entregar rápido.»</w:t>
            </w:r>
          </w:p>
        </w:tc>
        <w:tc>
          <w:tcPr>
            <w:tcW w:type="dxa" w:w="2714"/>
          </w:tcPr>
          <w:p>
            <w:pPr>
              <w:spacing w:after="20"/>
            </w:pPr>
            <w:r>
              <w:rPr>
                <w:b w:val="0"/>
                <w:sz w:val="15"/>
              </w:rPr>
              <w:t xml:space="preserve">Un stack </w:t>
            </w:r>
            <w:r>
              <w:rPr>
                <w:b/>
                <w:sz w:val="15"/>
              </w:rPr>
              <w:t>negociado</w:t>
            </w:r>
            <w:r>
              <w:rPr>
                <w:b w:val="0"/>
                <w:sz w:val="15"/>
              </w:rPr>
              <w:t xml:space="preserve"> que su equipo pueda construir y el interno pueda heredar, y </w:t>
            </w:r>
            <w:r>
              <w:rPr>
                <w:b/>
                <w:sz w:val="15"/>
              </w:rPr>
              <w:t>módulos con límites claros</w:t>
            </w:r>
            <w:r>
              <w:rPr>
                <w:b w:val="0"/>
                <w:sz w:val="15"/>
              </w:rPr>
              <w:t xml:space="preserve"> para entregar por incrementos dentro de los 12 meses de contrato.</w:t>
            </w:r>
          </w:p>
        </w:tc>
        <w:tc>
          <w:tcPr>
            <w:tcW w:type="dxa" w:w="1357"/>
          </w:tcPr>
          <w:p>
            <w:pPr>
              <w:spacing w:after="20"/>
            </w:pPr>
            <w:r>
              <w:rPr>
                <w:b w:val="0"/>
                <w:sz w:val="15"/>
              </w:rPr>
              <w:t>Constructibilidad y velocidad de entrega</w:t>
            </w:r>
          </w:p>
        </w:tc>
      </w:tr>
      <w:tr>
        <w:tc>
          <w:tcPr>
            <w:tcW w:type="dxa" w:w="515"/>
          </w:tcPr>
          <w:p>
            <w:pPr>
              <w:spacing w:after="20"/>
            </w:pPr>
            <w:r>
              <w:rPr>
                <w:b w:val="0"/>
                <w:sz w:val="15"/>
              </w:rPr>
              <w:t>STK-10</w:t>
            </w:r>
          </w:p>
        </w:tc>
        <w:tc>
          <w:tcPr>
            <w:tcW w:type="dxa" w:w="1451"/>
          </w:tcPr>
          <w:p>
            <w:pPr>
              <w:spacing w:after="20"/>
            </w:pPr>
            <w:r>
              <w:rPr>
                <w:b w:val="0"/>
                <w:sz w:val="15"/>
              </w:rPr>
              <w:t>Junta Directiva del hospital</w:t>
            </w:r>
          </w:p>
        </w:tc>
        <w:tc>
          <w:tcPr>
            <w:tcW w:type="dxa" w:w="702"/>
          </w:tcPr>
          <w:p>
            <w:pPr>
              <w:spacing w:after="20"/>
            </w:pPr>
            <w:r>
              <w:rPr>
                <w:b w:val="0"/>
                <w:sz w:val="15"/>
              </w:rPr>
              <w:t>paga</w:t>
            </w:r>
          </w:p>
        </w:tc>
        <w:tc>
          <w:tcPr>
            <w:tcW w:type="dxa" w:w="842"/>
          </w:tcPr>
          <w:p>
            <w:pPr>
              <w:spacing w:after="20"/>
            </w:pPr>
            <w:r>
              <w:rPr>
                <w:b w:val="0"/>
                <w:sz w:val="15"/>
              </w:rPr>
              <w:t>fuera — solo interés</w:t>
            </w:r>
          </w:p>
        </w:tc>
        <w:tc>
          <w:tcPr>
            <w:tcW w:type="dxa" w:w="1778"/>
          </w:tcPr>
          <w:p>
            <w:pPr>
              <w:spacing w:after="20"/>
            </w:pPr>
            <w:r>
              <w:rPr>
                <w:b w:val="0"/>
                <w:sz w:val="15"/>
              </w:rPr>
              <w:t>«Aprobamos la transformación digital: queremos resultados.»</w:t>
            </w:r>
          </w:p>
        </w:tc>
        <w:tc>
          <w:tcPr>
            <w:tcW w:type="dxa" w:w="2714"/>
          </w:tcPr>
          <w:p>
            <w:pPr>
              <w:spacing w:after="20"/>
            </w:pPr>
            <w:r>
              <w:rPr>
                <w:b/>
                <w:sz w:val="15"/>
              </w:rPr>
              <w:t>Hitos visibles dentro de los 12 meses</w:t>
            </w:r>
            <w:r>
              <w:rPr>
                <w:b w:val="0"/>
                <w:sz w:val="15"/>
              </w:rPr>
              <w:t xml:space="preserve"> y evidencia medible de que las pérdidas (Q. 2.5 M por caducidades) y los errores de medicación se detuvieron, sin exponer al hospital a sanciones legales.</w:t>
            </w:r>
          </w:p>
        </w:tc>
        <w:tc>
          <w:tcPr>
            <w:tcW w:type="dxa" w:w="1357"/>
          </w:tcPr>
          <w:p>
            <w:pPr>
              <w:spacing w:after="20"/>
            </w:pPr>
            <w:r>
              <w:rPr>
                <w:b w:val="0"/>
                <w:sz w:val="15"/>
              </w:rPr>
              <w:t>Costo, plazo y continuidad institucional</w:t>
            </w:r>
          </w:p>
        </w:tc>
      </w:tr>
      <w:tr>
        <w:tc>
          <w:tcPr>
            <w:tcW w:type="dxa" w:w="515"/>
          </w:tcPr>
          <w:p>
            <w:pPr>
              <w:spacing w:after="20"/>
            </w:pPr>
            <w:r>
              <w:rPr>
                <w:b w:val="0"/>
                <w:sz w:val="15"/>
              </w:rPr>
              <w:t>STK-11</w:t>
            </w:r>
          </w:p>
        </w:tc>
        <w:tc>
          <w:tcPr>
            <w:tcW w:type="dxa" w:w="1451"/>
          </w:tcPr>
          <w:p>
            <w:pPr>
              <w:spacing w:after="20"/>
            </w:pPr>
            <w:r>
              <w:rPr>
                <w:b w:val="0"/>
                <w:sz w:val="15"/>
              </w:rPr>
              <w:t>Contraloría General de Cuentas</w:t>
            </w:r>
          </w:p>
        </w:tc>
        <w:tc>
          <w:tcPr>
            <w:tcW w:type="dxa" w:w="702"/>
          </w:tcPr>
          <w:p>
            <w:pPr>
              <w:spacing w:after="20"/>
            </w:pPr>
            <w:r>
              <w:rPr>
                <w:b w:val="0"/>
                <w:sz w:val="15"/>
              </w:rPr>
              <w:t>regula (audita)</w:t>
            </w:r>
          </w:p>
        </w:tc>
        <w:tc>
          <w:tcPr>
            <w:tcW w:type="dxa" w:w="842"/>
          </w:tcPr>
          <w:p>
            <w:pPr>
              <w:spacing w:after="20"/>
            </w:pPr>
            <w:r>
              <w:rPr>
                <w:b/>
                <w:sz w:val="15"/>
              </w:rPr>
              <w:t>fuera — actor</w:t>
            </w:r>
          </w:p>
        </w:tc>
        <w:tc>
          <w:tcPr>
            <w:tcW w:type="dxa" w:w="1778"/>
          </w:tcPr>
          <w:p>
            <w:pPr>
              <w:spacing w:after="20"/>
            </w:pPr>
            <w:r>
              <w:rPr>
                <w:b w:val="0"/>
                <w:sz w:val="15"/>
              </w:rPr>
              <w:t>«Exigimos trazabilidad completa desde la compra hasta la administración.»</w:t>
            </w:r>
          </w:p>
        </w:tc>
        <w:tc>
          <w:tcPr>
            <w:tcW w:type="dxa" w:w="2714"/>
          </w:tcPr>
          <w:p>
            <w:pPr>
              <w:spacing w:after="20"/>
            </w:pPr>
            <w:r>
              <w:rPr>
                <w:b/>
                <w:sz w:val="15"/>
              </w:rPr>
              <w:t>Informe forense de un lote en &lt; 10 minutos</w:t>
            </w:r>
            <w:r>
              <w:rPr>
                <w:b w:val="0"/>
                <w:sz w:val="15"/>
              </w:rPr>
              <w:t xml:space="preserve"> —compra, proveedor, factura, temperaturas, pacientes, enfermero, médico, bajas y ajustes— sobre registros </w:t>
            </w:r>
            <w:r>
              <w:rPr>
                <w:b/>
                <w:sz w:val="15"/>
              </w:rPr>
              <w:t>inmutables que nadie pueda alterar, ni el administrador del sistema</w:t>
            </w:r>
            <w:r>
              <w:rPr>
                <w:b w:val="0"/>
                <w:sz w:val="15"/>
              </w:rPr>
              <w:t>.</w:t>
            </w:r>
          </w:p>
        </w:tc>
        <w:tc>
          <w:tcPr>
            <w:tcW w:type="dxa" w:w="1357"/>
          </w:tcPr>
          <w:p>
            <w:pPr>
              <w:spacing w:after="20"/>
            </w:pPr>
            <w:r>
              <w:rPr>
                <w:b/>
                <w:sz w:val="15"/>
              </w:rPr>
              <w:t>Auditabilidad e inmutabilidad</w:t>
            </w:r>
          </w:p>
        </w:tc>
      </w:tr>
      <w:tr>
        <w:tc>
          <w:tcPr>
            <w:tcW w:type="dxa" w:w="515"/>
          </w:tcPr>
          <w:p>
            <w:pPr>
              <w:spacing w:after="20"/>
            </w:pPr>
            <w:r>
              <w:rPr>
                <w:b w:val="0"/>
                <w:sz w:val="15"/>
              </w:rPr>
              <w:t>STK-12</w:t>
            </w:r>
          </w:p>
        </w:tc>
        <w:tc>
          <w:tcPr>
            <w:tcW w:type="dxa" w:w="1451"/>
          </w:tcPr>
          <w:p>
            <w:pPr>
              <w:spacing w:after="20"/>
            </w:pPr>
            <w:r>
              <w:rPr>
                <w:b w:val="0"/>
                <w:sz w:val="15"/>
              </w:rPr>
              <w:t>Proveedor de MAC</w:t>
            </w:r>
          </w:p>
        </w:tc>
        <w:tc>
          <w:tcPr>
            <w:tcW w:type="dxa" w:w="702"/>
          </w:tcPr>
          <w:p>
            <w:pPr>
              <w:spacing w:after="20"/>
            </w:pPr>
            <w:r>
              <w:rPr>
                <w:b w:val="0"/>
                <w:sz w:val="15"/>
              </w:rPr>
              <w:t>provee</w:t>
            </w:r>
          </w:p>
        </w:tc>
        <w:tc>
          <w:tcPr>
            <w:tcW w:type="dxa" w:w="842"/>
          </w:tcPr>
          <w:p>
            <w:pPr>
              <w:spacing w:after="20"/>
            </w:pPr>
            <w:r>
              <w:rPr>
                <w:b/>
                <w:sz w:val="15"/>
              </w:rPr>
              <w:t>fuera — actor</w:t>
            </w:r>
          </w:p>
        </w:tc>
        <w:tc>
          <w:tcPr>
            <w:tcW w:type="dxa" w:w="1778"/>
          </w:tcPr>
          <w:p>
            <w:pPr>
              <w:spacing w:after="20"/>
            </w:pPr>
            <w:r>
              <w:rPr>
                <w:b w:val="0"/>
                <w:sz w:val="15"/>
              </w:rPr>
              <w:t>«Queremos recibir órdenes de compra y que se nos reciba el producto.»</w:t>
            </w:r>
          </w:p>
        </w:tc>
        <w:tc>
          <w:tcPr>
            <w:tcW w:type="dxa" w:w="2714"/>
          </w:tcPr>
          <w:p>
            <w:pPr>
              <w:spacing w:after="20"/>
            </w:pPr>
            <w:r>
              <w:rPr>
                <w:b w:val="0"/>
                <w:sz w:val="15"/>
              </w:rPr>
              <w:t xml:space="preserve">Que el número de lote, el vencimiento y la factura entren al sistema </w:t>
            </w:r>
            <w:r>
              <w:rPr>
                <w:b/>
                <w:sz w:val="15"/>
              </w:rPr>
              <w:t>exactos y sin transcripción manual</w:t>
            </w:r>
            <w:r>
              <w:rPr>
                <w:b w:val="0"/>
                <w:sz w:val="15"/>
              </w:rPr>
              <w:t xml:space="preserve"> (los 3 errores por etiqueta mal transcrita nacen acá), y una vía para </w:t>
            </w:r>
            <w:r>
              <w:rPr>
                <w:b/>
                <w:sz w:val="15"/>
              </w:rPr>
              <w:t>notificar retiros de lote</w:t>
            </w:r>
            <w:r>
              <w:rPr>
                <w:b w:val="0"/>
                <w:sz w:val="15"/>
              </w:rPr>
              <w:t>.</w:t>
            </w:r>
          </w:p>
        </w:tc>
        <w:tc>
          <w:tcPr>
            <w:tcW w:type="dxa" w:w="1357"/>
          </w:tcPr>
          <w:p>
            <w:pPr>
              <w:spacing w:after="20"/>
            </w:pPr>
            <w:r>
              <w:rPr>
                <w:b w:val="0"/>
                <w:sz w:val="15"/>
              </w:rPr>
              <w:t>Integridad del dato de origen</w:t>
            </w:r>
          </w:p>
        </w:tc>
      </w:tr>
      <w:tr>
        <w:tc>
          <w:tcPr>
            <w:tcW w:type="dxa" w:w="515"/>
          </w:tcPr>
          <w:p>
            <w:pPr>
              <w:spacing w:after="20"/>
            </w:pPr>
            <w:r>
              <w:rPr>
                <w:b w:val="0"/>
                <w:sz w:val="15"/>
              </w:rPr>
              <w:t>STK-13</w:t>
            </w:r>
          </w:p>
        </w:tc>
        <w:tc>
          <w:tcPr>
            <w:tcW w:type="dxa" w:w="1451"/>
          </w:tcPr>
          <w:p>
            <w:pPr>
              <w:spacing w:after="20"/>
            </w:pPr>
            <w:r>
              <w:rPr>
                <w:b w:val="0"/>
                <w:sz w:val="15"/>
              </w:rPr>
              <w:t>Operaciones de TI / data center (VMware, SAN, red)</w:t>
            </w:r>
          </w:p>
        </w:tc>
        <w:tc>
          <w:tcPr>
            <w:tcW w:type="dxa" w:w="702"/>
          </w:tcPr>
          <w:p>
            <w:pPr>
              <w:spacing w:after="20"/>
            </w:pPr>
            <w:r>
              <w:rPr>
                <w:b w:val="0"/>
                <w:sz w:val="15"/>
              </w:rPr>
              <w:t>opera</w:t>
            </w:r>
          </w:p>
        </w:tc>
        <w:tc>
          <w:tcPr>
            <w:tcW w:type="dxa" w:w="842"/>
          </w:tcPr>
          <w:p>
            <w:pPr>
              <w:spacing w:after="20"/>
            </w:pPr>
            <w:r>
              <w:rPr>
                <w:b w:val="0"/>
                <w:sz w:val="15"/>
              </w:rPr>
              <w:t>dentro — trabajador</w:t>
            </w:r>
          </w:p>
        </w:tc>
        <w:tc>
          <w:tcPr>
            <w:tcW w:type="dxa" w:w="1778"/>
          </w:tcPr>
          <w:p>
            <w:pPr>
              <w:spacing w:after="20"/>
            </w:pPr>
            <w:r>
              <w:rPr>
                <w:b w:val="0"/>
                <w:sz w:val="15"/>
              </w:rPr>
              <w:t>«Que el servidor no se caiga.»</w:t>
            </w:r>
          </w:p>
        </w:tc>
        <w:tc>
          <w:tcPr>
            <w:tcW w:type="dxa" w:w="2714"/>
          </w:tcPr>
          <w:p>
            <w:pPr>
              <w:spacing w:after="20"/>
            </w:pPr>
            <w:r>
              <w:rPr>
                <w:b w:val="0"/>
                <w:sz w:val="15"/>
              </w:rPr>
              <w:t xml:space="preserve">Que la solución </w:t>
            </w:r>
            <w:r>
              <w:rPr>
                <w:b/>
                <w:sz w:val="15"/>
              </w:rPr>
              <w:t>quepa en 32 vCPU / 128 GB / SAN 10 TB sin autoescalado</w:t>
            </w:r>
            <w:r>
              <w:rPr>
                <w:b w:val="0"/>
                <w:sz w:val="15"/>
              </w:rPr>
              <w:t xml:space="preserve">, absorba el </w:t>
            </w:r>
            <w:r>
              <w:rPr>
                <w:b/>
                <w:sz w:val="15"/>
              </w:rPr>
              <w:t>pico de 10x los lunes 8:30 AM</w:t>
            </w:r>
            <w:r>
              <w:rPr>
                <w:b w:val="0"/>
                <w:sz w:val="15"/>
              </w:rPr>
              <w:t xml:space="preserve">, sobreviva a </w:t>
            </w:r>
            <w:r>
              <w:rPr>
                <w:b/>
                <w:sz w:val="15"/>
              </w:rPr>
              <w:t>500,000 registros de sensores/día</w:t>
            </w:r>
            <w:r>
              <w:rPr>
                <w:b w:val="0"/>
                <w:sz w:val="15"/>
              </w:rPr>
              <w:t xml:space="preserve"> y priorice el tráfico de dispensación.</w:t>
            </w:r>
          </w:p>
        </w:tc>
        <w:tc>
          <w:tcPr>
            <w:tcW w:type="dxa" w:w="1357"/>
          </w:tcPr>
          <w:p>
            <w:pPr>
              <w:spacing w:after="20"/>
            </w:pPr>
            <w:r>
              <w:rPr>
                <w:b/>
                <w:sz w:val="15"/>
              </w:rPr>
              <w:t>Escalabilidad con recursos fijos</w:t>
            </w:r>
            <w:r>
              <w:rPr>
                <w:b w:val="0"/>
                <w:sz w:val="15"/>
              </w:rPr>
              <w:t xml:space="preserve"> y observabilidad</w:t>
            </w:r>
          </w:p>
        </w:tc>
      </w:tr>
    </w:tbl>
    <w:p>
      <w:pPr>
        <w:spacing w:after="40"/>
      </w:pPr>
    </w:p>
    <w:p>
      <w:pPr>
        <w:spacing w:after="60"/>
        <w:ind w:left="432"/>
      </w:pPr>
      <w:r>
        <w:rPr>
          <w:b/>
          <w:sz w:val="20"/>
        </w:rPr>
        <w:t>Por qué STK-08 y STK-13 son stakeholders distintos</w:t>
      </w:r>
    </w:p>
    <w:p>
      <w:pPr>
        <w:spacing w:after="200"/>
        <w:ind w:left="432"/>
      </w:pPr>
      <w:r>
        <w:rPr>
          <w:b w:val="0"/>
          <w:sz w:val="19"/>
        </w:rPr>
        <w:t xml:space="preserve">Son las mismas personas —el hospital tiene 3 en TI—, pero el criterio de identidad de un stakeholder es </w:t>
      </w:r>
      <w:r>
        <w:rPr>
          <w:b/>
          <w:sz w:val="19"/>
        </w:rPr>
        <w:t>el concern, no la persona</w:t>
      </w:r>
      <w:r>
        <w:rPr>
          <w:b w:val="0"/>
          <w:sz w:val="19"/>
        </w:rPr>
        <w:t>: como mantenimiento piden un stack que puedan heredar (Java/Oracle); como operaciones piden que la solución quepa en una capacidad fija. Son dos requisitos independientes y uno puede cumplirse sin el otro.</w:t>
      </w:r>
    </w:p>
    <w:p>
      <w:pPr>
        <w:pStyle w:val="Heading2"/>
      </w:pPr>
      <w:r>
        <w:rPr>
          <w:color w:val="000000"/>
        </w:rPr>
      </w:r>
      <w:r>
        <w:rPr>
          <w:b/>
          <w:color w:val="000000"/>
        </w:rPr>
        <w:t>1.3 Conflictos entre stakeholders</w:t>
      </w:r>
    </w:p>
    <w:p>
      <w:pPr>
        <w:spacing w:after="120"/>
      </w:pPr>
      <w:r>
        <w:rPr>
          <w:b w:val="0"/>
          <w:sz w:val="21"/>
        </w:rPr>
        <w:t xml:space="preserve">Cada tensión es un </w:t>
      </w:r>
      <w:r>
        <w:rPr>
          <w:b/>
          <w:sz w:val="21"/>
        </w:rPr>
        <w:t>tradeoff que la arquitectura tendrá que resolver</w:t>
      </w:r>
      <w:r>
        <w:rPr>
          <w:b w:val="0"/>
          <w:sz w:val="21"/>
        </w:rPr>
        <w:t>, no una falla del análisis.</w:t>
      </w:r>
    </w:p>
    <w:tbl>
      <w:tblPr>
        <w:tblStyle w:val="TableGrid"/>
        <w:jc w:val="center"/>
        <w:tblLayout w:type="fixed"/>
        <w:tblLook w:firstColumn="1" w:firstRow="1" w:lastColumn="0" w:lastRow="0" w:noHBand="0" w:noVBand="1" w:val="04A0"/>
        <w:tblW w:type="dxa" w:w="9360"/>
      </w:tblPr>
      <w:tblGrid>
        <w:gridCol w:w="1217"/>
        <w:gridCol w:w="1591"/>
        <w:gridCol w:w="1217"/>
        <w:gridCol w:w="1591"/>
        <w:gridCol w:w="1872"/>
        <w:gridCol w:w="1872"/>
      </w:tblGrid>
      <w:tr>
        <w:trPr>
          <w:tblHeader w:val="true"/>
        </w:trPr>
        <w:tc>
          <w:tcPr>
            <w:tcW w:type="dxa" w:w="1217"/>
            <w:shd w:val="clear" w:color="auto" w:fill="EDEFF2"/>
          </w:tcPr>
          <w:p>
            <w:pPr>
              <w:keepNext w:val="0"/>
              <w:spacing w:after="20"/>
            </w:pPr>
            <w:r>
              <w:rPr>
                <w:b/>
                <w:sz w:val="16"/>
              </w:rPr>
              <w:t>Stakeholder A</w:t>
            </w:r>
          </w:p>
        </w:tc>
        <w:tc>
          <w:tcPr>
            <w:tcW w:type="dxa" w:w="1591"/>
            <w:shd w:val="clear" w:color="auto" w:fill="EDEFF2"/>
          </w:tcPr>
          <w:p>
            <w:pPr>
              <w:keepNext w:val="0"/>
              <w:spacing w:after="20"/>
            </w:pPr>
            <w:r>
              <w:rPr>
                <w:b/>
                <w:sz w:val="16"/>
              </w:rPr>
              <w:t>pide</w:t>
            </w:r>
          </w:p>
        </w:tc>
        <w:tc>
          <w:tcPr>
            <w:tcW w:type="dxa" w:w="1217"/>
            <w:shd w:val="clear" w:color="auto" w:fill="EDEFF2"/>
          </w:tcPr>
          <w:p>
            <w:pPr>
              <w:keepNext w:val="0"/>
              <w:spacing w:after="20"/>
            </w:pPr>
            <w:r>
              <w:rPr>
                <w:b/>
                <w:sz w:val="16"/>
              </w:rPr>
              <w:t>Stakeholder B</w:t>
            </w:r>
          </w:p>
        </w:tc>
        <w:tc>
          <w:tcPr>
            <w:tcW w:type="dxa" w:w="1591"/>
            <w:shd w:val="clear" w:color="auto" w:fill="EDEFF2"/>
          </w:tcPr>
          <w:p>
            <w:pPr>
              <w:keepNext w:val="0"/>
              <w:spacing w:after="20"/>
            </w:pPr>
            <w:r>
              <w:rPr>
                <w:b/>
                <w:sz w:val="16"/>
              </w:rPr>
              <w:t>pide</w:t>
            </w:r>
          </w:p>
        </w:tc>
        <w:tc>
          <w:tcPr>
            <w:tcW w:type="dxa" w:w="1872"/>
            <w:shd w:val="clear" w:color="auto" w:fill="EDEFF2"/>
          </w:tcPr>
          <w:p>
            <w:pPr>
              <w:keepNext w:val="0"/>
              <w:spacing w:after="20"/>
            </w:pPr>
            <w:r>
              <w:rPr>
                <w:b/>
                <w:sz w:val="16"/>
              </w:rPr>
              <w:t>Tensión</w:t>
            </w:r>
          </w:p>
        </w:tc>
        <w:tc>
          <w:tcPr>
            <w:tcW w:type="dxa" w:w="1872"/>
            <w:shd w:val="clear" w:color="auto" w:fill="EDEFF2"/>
          </w:tcPr>
          <w:p>
            <w:pPr>
              <w:keepNext w:val="0"/>
              <w:spacing w:after="20"/>
            </w:pPr>
            <w:r>
              <w:rPr>
                <w:b/>
                <w:sz w:val="16"/>
              </w:rPr>
              <w:t>Cómo se resuelve</w:t>
            </w:r>
          </w:p>
        </w:tc>
      </w:tr>
      <w:tr>
        <w:tc>
          <w:tcPr>
            <w:tcW w:type="dxa" w:w="1217"/>
          </w:tcPr>
          <w:p>
            <w:pPr>
              <w:spacing w:after="20"/>
            </w:pPr>
            <w:r>
              <w:rPr>
                <w:b w:val="0"/>
                <w:sz w:val="16"/>
              </w:rPr>
              <w:t>STK-08 Equipo interno de TI</w:t>
            </w:r>
          </w:p>
        </w:tc>
        <w:tc>
          <w:tcPr>
            <w:tcW w:type="dxa" w:w="1591"/>
          </w:tcPr>
          <w:p>
            <w:pPr>
              <w:spacing w:after="20"/>
            </w:pPr>
            <w:r>
              <w:rPr>
                <w:b w:val="0"/>
                <w:sz w:val="16"/>
              </w:rPr>
              <w:t>Java + Oracle: es lo que sabe mantener</w:t>
            </w:r>
          </w:p>
        </w:tc>
        <w:tc>
          <w:tcPr>
            <w:tcW w:type="dxa" w:w="1217"/>
          </w:tcPr>
          <w:p>
            <w:pPr>
              <w:spacing w:after="20"/>
            </w:pPr>
            <w:r>
              <w:rPr>
                <w:b w:val="0"/>
                <w:sz w:val="16"/>
              </w:rPr>
              <w:t>STK-09 Consultora externa</w:t>
            </w:r>
          </w:p>
        </w:tc>
        <w:tc>
          <w:tcPr>
            <w:tcW w:type="dxa" w:w="1591"/>
          </w:tcPr>
          <w:p>
            <w:pPr>
              <w:spacing w:after="20"/>
            </w:pPr>
            <w:r>
              <w:rPr>
                <w:b w:val="0"/>
                <w:sz w:val="16"/>
              </w:rPr>
              <w:t>Python + PostgreSQL + MongoDB: es lo que sabe construir</w:t>
            </w:r>
          </w:p>
        </w:tc>
        <w:tc>
          <w:tcPr>
            <w:tcW w:type="dxa" w:w="1872"/>
          </w:tcPr>
          <w:p>
            <w:pPr>
              <w:spacing w:after="20"/>
            </w:pPr>
            <w:r>
              <w:rPr>
                <w:b/>
                <w:sz w:val="16"/>
              </w:rPr>
              <w:t>Constructibilidad vs. mantenibilidad</w:t>
            </w:r>
            <w:r>
              <w:rPr>
                <w:b w:val="0"/>
                <w:sz w:val="16"/>
              </w:rPr>
              <w:t>, agravada porque el hospital exige que el interno lo mantenga solo tras 12 meses</w:t>
            </w:r>
          </w:p>
        </w:tc>
        <w:tc>
          <w:tcPr>
            <w:tcW w:type="dxa" w:w="1872"/>
          </w:tcPr>
          <w:p>
            <w:pPr>
              <w:spacing w:after="20"/>
            </w:pPr>
            <w:r>
              <w:rPr>
                <w:b w:val="0"/>
                <w:sz w:val="16"/>
              </w:rPr>
              <w:t xml:space="preserve">Decide </w:t>
            </w:r>
            <w:r>
              <w:rPr>
                <w:b/>
                <w:sz w:val="16"/>
              </w:rPr>
              <w:t>quién se queda</w:t>
            </w:r>
            <w:r>
              <w:rPr>
                <w:b w:val="0"/>
                <w:sz w:val="16"/>
              </w:rPr>
              <w:t>: manda la mantenibilidad del equipo interno. La consultora aporta velocidad dentro de ese stack</w:t>
            </w:r>
          </w:p>
        </w:tc>
      </w:tr>
      <w:tr>
        <w:tc>
          <w:tcPr>
            <w:tcW w:type="dxa" w:w="1217"/>
          </w:tcPr>
          <w:p>
            <w:pPr>
              <w:spacing w:after="20"/>
            </w:pPr>
            <w:r>
              <w:rPr>
                <w:b w:val="0"/>
                <w:sz w:val="16"/>
              </w:rPr>
              <w:t>STK-06 Paciente</w:t>
            </w:r>
          </w:p>
        </w:tc>
        <w:tc>
          <w:tcPr>
            <w:tcW w:type="dxa" w:w="1591"/>
          </w:tcPr>
          <w:p>
            <w:pPr>
              <w:spacing w:after="20"/>
            </w:pPr>
            <w:r>
              <w:rPr>
                <w:b w:val="0"/>
                <w:sz w:val="16"/>
              </w:rPr>
              <w:t>Confidencialidad máxima: nadie no autorizado ve su diagnóstico</w:t>
            </w:r>
          </w:p>
        </w:tc>
        <w:tc>
          <w:tcPr>
            <w:tcW w:type="dxa" w:w="1217"/>
          </w:tcPr>
          <w:p>
            <w:pPr>
              <w:spacing w:after="20"/>
            </w:pPr>
            <w:r>
              <w:rPr>
                <w:b w:val="0"/>
                <w:sz w:val="16"/>
              </w:rPr>
              <w:t>STK-04 Director Administrativo</w:t>
            </w:r>
          </w:p>
        </w:tc>
        <w:tc>
          <w:tcPr>
            <w:tcW w:type="dxa" w:w="1591"/>
          </w:tcPr>
          <w:p>
            <w:pPr>
              <w:spacing w:after="20"/>
            </w:pPr>
            <w:r>
              <w:rPr>
                <w:b w:val="0"/>
                <w:sz w:val="16"/>
              </w:rPr>
              <w:t>Auditar todo lo que ocurre en el sistema</w:t>
            </w:r>
          </w:p>
        </w:tc>
        <w:tc>
          <w:tcPr>
            <w:tcW w:type="dxa" w:w="1872"/>
          </w:tcPr>
          <w:p>
            <w:pPr>
              <w:spacing w:after="20"/>
            </w:pPr>
            <w:r>
              <w:rPr>
                <w:b/>
                <w:sz w:val="16"/>
              </w:rPr>
              <w:t>Confidencialidad vs. auditabilidad</w:t>
            </w:r>
          </w:p>
        </w:tc>
        <w:tc>
          <w:tcPr>
            <w:tcW w:type="dxa" w:w="1872"/>
          </w:tcPr>
          <w:p>
            <w:pPr>
              <w:spacing w:after="20"/>
            </w:pPr>
            <w:r>
              <w:rPr>
                <w:b w:val="0"/>
                <w:sz w:val="16"/>
              </w:rPr>
              <w:t xml:space="preserve">El enunciado ya la resuelve: se audita </w:t>
            </w:r>
            <w:r>
              <w:rPr>
                <w:b/>
                <w:sz w:val="16"/>
              </w:rPr>
              <w:t>el acceso y la transacción</w:t>
            </w:r>
            <w:r>
              <w:rPr>
                <w:b w:val="0"/>
                <w:sz w:val="16"/>
              </w:rPr>
              <w:t>, no el diagnóstico. Ni el director lo ve sin orden judicial</w:t>
            </w:r>
          </w:p>
        </w:tc>
      </w:tr>
      <w:tr>
        <w:tc>
          <w:tcPr>
            <w:tcW w:type="dxa" w:w="1217"/>
          </w:tcPr>
          <w:p>
            <w:pPr>
              <w:spacing w:after="20"/>
            </w:pPr>
            <w:r>
              <w:rPr>
                <w:b w:val="0"/>
                <w:sz w:val="16"/>
              </w:rPr>
              <w:t>STK-03 Enfermero</w:t>
            </w:r>
          </w:p>
        </w:tc>
        <w:tc>
          <w:tcPr>
            <w:tcW w:type="dxa" w:w="1591"/>
          </w:tcPr>
          <w:p>
            <w:pPr>
              <w:spacing w:after="20"/>
            </w:pPr>
            <w:r>
              <w:rPr>
                <w:b w:val="0"/>
                <w:sz w:val="16"/>
              </w:rPr>
              <w:t xml:space="preserve">Poder administrar </w:t>
            </w:r>
            <w:r>
              <w:rPr>
                <w:b/>
                <w:sz w:val="16"/>
              </w:rPr>
              <w:t>offline</w:t>
            </w:r>
            <w:r>
              <w:rPr>
                <w:b w:val="0"/>
                <w:sz w:val="16"/>
              </w:rPr>
              <w:t xml:space="preserve"> cuando cae la red</w:t>
            </w:r>
          </w:p>
        </w:tc>
        <w:tc>
          <w:tcPr>
            <w:tcW w:type="dxa" w:w="1217"/>
          </w:tcPr>
          <w:p>
            <w:pPr>
              <w:spacing w:after="20"/>
            </w:pPr>
            <w:r>
              <w:rPr>
                <w:b w:val="0"/>
                <w:sz w:val="16"/>
              </w:rPr>
              <w:t>STK-11 Contraloría</w:t>
            </w:r>
          </w:p>
        </w:tc>
        <w:tc>
          <w:tcPr>
            <w:tcW w:type="dxa" w:w="1591"/>
          </w:tcPr>
          <w:p>
            <w:pPr>
              <w:spacing w:after="20"/>
            </w:pPr>
            <w:r>
              <w:rPr>
                <w:b w:val="0"/>
                <w:sz w:val="16"/>
              </w:rPr>
              <w:t>Registro inmutable, sin duplicados ni huecos</w:t>
            </w:r>
          </w:p>
        </w:tc>
        <w:tc>
          <w:tcPr>
            <w:tcW w:type="dxa" w:w="1872"/>
          </w:tcPr>
          <w:p>
            <w:pPr>
              <w:spacing w:after="20"/>
            </w:pPr>
            <w:r>
              <w:rPr>
                <w:b/>
                <w:sz w:val="16"/>
              </w:rPr>
              <w:t>Disponibilidad vs. consistencia e integridad</w:t>
            </w:r>
          </w:p>
        </w:tc>
        <w:tc>
          <w:tcPr>
            <w:tcW w:type="dxa" w:w="1872"/>
          </w:tcPr>
          <w:p>
            <w:pPr>
              <w:spacing w:after="20"/>
            </w:pPr>
            <w:r>
              <w:rPr>
                <w:b w:val="0"/>
                <w:sz w:val="16"/>
              </w:rPr>
              <w:t xml:space="preserve">Escritura local con </w:t>
            </w:r>
            <w:r>
              <w:rPr>
                <w:b/>
                <w:sz w:val="16"/>
              </w:rPr>
              <w:t>resolución idempotente</w:t>
            </w:r>
            <w:r>
              <w:rPr>
                <w:b w:val="0"/>
                <w:sz w:val="16"/>
              </w:rPr>
              <w:t xml:space="preserve"> al reconectar (acuerdo de calidad #2)</w:t>
            </w:r>
          </w:p>
        </w:tc>
      </w:tr>
      <w:tr>
        <w:tc>
          <w:tcPr>
            <w:tcW w:type="dxa" w:w="1217"/>
          </w:tcPr>
          <w:p>
            <w:pPr>
              <w:spacing w:after="20"/>
            </w:pPr>
            <w:r>
              <w:rPr>
                <w:b w:val="0"/>
                <w:sz w:val="16"/>
              </w:rPr>
              <w:t>STK-01 Médico</w:t>
            </w:r>
          </w:p>
        </w:tc>
        <w:tc>
          <w:tcPr>
            <w:tcW w:type="dxa" w:w="1591"/>
          </w:tcPr>
          <w:p>
            <w:pPr>
              <w:spacing w:after="20"/>
            </w:pPr>
            <w:r>
              <w:rPr>
                <w:b w:val="0"/>
                <w:sz w:val="16"/>
              </w:rPr>
              <w:t>Prescribir en &lt; 5 min con validación en tiempo real</w:t>
            </w:r>
          </w:p>
        </w:tc>
        <w:tc>
          <w:tcPr>
            <w:tcW w:type="dxa" w:w="1217"/>
          </w:tcPr>
          <w:p>
            <w:pPr>
              <w:spacing w:after="20"/>
            </w:pPr>
            <w:r>
              <w:rPr>
                <w:b w:val="0"/>
                <w:sz w:val="16"/>
              </w:rPr>
              <w:t>STK-13 Operaciones de TI</w:t>
            </w:r>
          </w:p>
        </w:tc>
        <w:tc>
          <w:tcPr>
            <w:tcW w:type="dxa" w:w="1591"/>
          </w:tcPr>
          <w:p>
            <w:pPr>
              <w:spacing w:after="20"/>
            </w:pPr>
            <w:r>
              <w:rPr>
                <w:b w:val="0"/>
                <w:sz w:val="16"/>
              </w:rPr>
              <w:t>Presupuesto de infraestructura fijo, sin autoescalado</w:t>
            </w:r>
          </w:p>
        </w:tc>
        <w:tc>
          <w:tcPr>
            <w:tcW w:type="dxa" w:w="1872"/>
          </w:tcPr>
          <w:p>
            <w:pPr>
              <w:spacing w:after="20"/>
            </w:pPr>
            <w:r>
              <w:rPr>
                <w:b/>
                <w:sz w:val="16"/>
              </w:rPr>
              <w:t>Performance vs. costo de infraestructura</w:t>
            </w:r>
          </w:p>
        </w:tc>
        <w:tc>
          <w:tcPr>
            <w:tcW w:type="dxa" w:w="1872"/>
          </w:tcPr>
          <w:p>
            <w:pPr>
              <w:spacing w:after="20"/>
            </w:pPr>
            <w:r>
              <w:rPr>
                <w:b w:val="0"/>
                <w:sz w:val="16"/>
              </w:rPr>
              <w:t>Mitigación arquitectónica (caché, réplicas de lectura, colas) en vez de más hardware (acuerdo de calidad #5)</w:t>
            </w:r>
          </w:p>
        </w:tc>
      </w:tr>
      <w:tr>
        <w:tc>
          <w:tcPr>
            <w:tcW w:type="dxa" w:w="1217"/>
          </w:tcPr>
          <w:p>
            <w:pPr>
              <w:spacing w:after="20"/>
            </w:pPr>
            <w:r>
              <w:rPr>
                <w:b w:val="0"/>
                <w:sz w:val="16"/>
              </w:rPr>
              <w:t>STK-05 Jefe de Farmacovigilancia</w:t>
            </w:r>
          </w:p>
        </w:tc>
        <w:tc>
          <w:tcPr>
            <w:tcW w:type="dxa" w:w="1591"/>
          </w:tcPr>
          <w:p>
            <w:pPr>
              <w:spacing w:after="20"/>
            </w:pPr>
            <w:r>
              <w:rPr>
                <w:b w:val="0"/>
                <w:sz w:val="16"/>
              </w:rPr>
              <w:t xml:space="preserve">Reportar el efecto adverso </w:t>
            </w:r>
            <w:r>
              <w:rPr>
                <w:b/>
                <w:sz w:val="16"/>
              </w:rPr>
              <w:t>≤ 24 h</w:t>
            </w:r>
            <w:r>
              <w:rPr>
                <w:b w:val="0"/>
                <w:sz w:val="16"/>
              </w:rPr>
              <w:t xml:space="preserve"> por ley</w:t>
            </w:r>
          </w:p>
        </w:tc>
        <w:tc>
          <w:tcPr>
            <w:tcW w:type="dxa" w:w="1217"/>
          </w:tcPr>
          <w:p>
            <w:pPr>
              <w:spacing w:after="20"/>
            </w:pPr>
            <w:r>
              <w:rPr>
                <w:b w:val="0"/>
                <w:sz w:val="16"/>
              </w:rPr>
              <w:t>STK-07 MSPAS</w:t>
            </w:r>
          </w:p>
        </w:tc>
        <w:tc>
          <w:tcPr>
            <w:tcW w:type="dxa" w:w="1591"/>
          </w:tcPr>
          <w:p>
            <w:pPr>
              <w:spacing w:after="20"/>
            </w:pPr>
            <w:r>
              <w:rPr>
                <w:b w:val="0"/>
                <w:sz w:val="16"/>
              </w:rPr>
              <w:t>Solo recibe de 8:00 a 16:00, batch diario, XML con DTD</w:t>
            </w:r>
          </w:p>
        </w:tc>
        <w:tc>
          <w:tcPr>
            <w:tcW w:type="dxa" w:w="1872"/>
          </w:tcPr>
          <w:p>
            <w:pPr>
              <w:spacing w:after="20"/>
            </w:pPr>
            <w:r>
              <w:rPr>
                <w:b/>
                <w:sz w:val="16"/>
              </w:rPr>
              <w:t>Cumplimiento vs. disponibilidad del sistema externo</w:t>
            </w:r>
          </w:p>
        </w:tc>
        <w:tc>
          <w:tcPr>
            <w:tcW w:type="dxa" w:w="1872"/>
          </w:tcPr>
          <w:p>
            <w:pPr>
              <w:spacing w:after="20"/>
            </w:pPr>
            <w:r>
              <w:rPr>
                <w:b w:val="0"/>
                <w:sz w:val="16"/>
              </w:rPr>
              <w:t>Desacople asincrónico: se persiste y se reintenta en ventana hábil. El plazo legal lo cumple el registro local</w:t>
            </w:r>
          </w:p>
        </w:tc>
      </w:tr>
      <w:tr>
        <w:tc>
          <w:tcPr>
            <w:tcW w:type="dxa" w:w="1217"/>
          </w:tcPr>
          <w:p>
            <w:pPr>
              <w:spacing w:after="20"/>
            </w:pPr>
            <w:r>
              <w:rPr>
                <w:b w:val="0"/>
                <w:sz w:val="16"/>
              </w:rPr>
              <w:t>STK-10 Junta Directiva</w:t>
            </w:r>
          </w:p>
        </w:tc>
        <w:tc>
          <w:tcPr>
            <w:tcW w:type="dxa" w:w="1591"/>
          </w:tcPr>
          <w:p>
            <w:pPr>
              <w:spacing w:after="20"/>
            </w:pPr>
            <w:r>
              <w:rPr>
                <w:b w:val="0"/>
                <w:sz w:val="16"/>
              </w:rPr>
              <w:t>Resultados visibles dentro de 12 meses</w:t>
            </w:r>
          </w:p>
        </w:tc>
        <w:tc>
          <w:tcPr>
            <w:tcW w:type="dxa" w:w="1217"/>
          </w:tcPr>
          <w:p>
            <w:pPr>
              <w:spacing w:after="20"/>
            </w:pPr>
            <w:r>
              <w:rPr>
                <w:b w:val="0"/>
                <w:sz w:val="16"/>
              </w:rPr>
              <w:t>STK-08 Equipo interno de TI</w:t>
            </w:r>
          </w:p>
        </w:tc>
        <w:tc>
          <w:tcPr>
            <w:tcW w:type="dxa" w:w="1591"/>
          </w:tcPr>
          <w:p>
            <w:pPr>
              <w:spacing w:after="20"/>
            </w:pPr>
            <w:r>
              <w:rPr>
                <w:b w:val="0"/>
                <w:sz w:val="16"/>
              </w:rPr>
              <w:t>Documentación viva y un stack que pueda heredar</w:t>
            </w:r>
          </w:p>
        </w:tc>
        <w:tc>
          <w:tcPr>
            <w:tcW w:type="dxa" w:w="1872"/>
          </w:tcPr>
          <w:p>
            <w:pPr>
              <w:spacing w:after="20"/>
            </w:pPr>
            <w:r>
              <w:rPr>
                <w:b/>
                <w:sz w:val="16"/>
              </w:rPr>
              <w:t>Plazo vs. calidad interna</w:t>
            </w:r>
          </w:p>
        </w:tc>
        <w:tc>
          <w:tcPr>
            <w:tcW w:type="dxa" w:w="1872"/>
          </w:tcPr>
          <w:p>
            <w:pPr>
              <w:spacing w:after="20"/>
            </w:pPr>
            <w:r>
              <w:rPr>
                <w:b w:val="0"/>
                <w:sz w:val="16"/>
              </w:rPr>
              <w:t>Entrega incremental por módulos: dispensación y almacén primero</w:t>
            </w:r>
          </w:p>
        </w:tc>
      </w:tr>
    </w:tbl>
    <w:p>
      <w:pPr>
        <w:spacing w:after="40"/>
      </w:pPr>
    </w:p>
    <w:p>
      <w:pPr>
        <w:pStyle w:val="Heading1"/>
        <w:pageBreakBefore/>
      </w:pPr>
      <w:r>
        <w:rPr>
          <w:color w:val="000000"/>
        </w:rPr>
      </w:r>
      <w:r>
        <w:rPr>
          <w:b/>
          <w:color w:val="000000"/>
        </w:rPr>
        <w:t>2. Caso de negocio · criterio 1 — 20 pts</w:t>
      </w:r>
    </w:p>
    <w:p>
      <w:pPr>
        <w:pStyle w:val="Heading2"/>
      </w:pPr>
      <w:r>
        <w:rPr>
          <w:color w:val="000000"/>
        </w:rPr>
      </w:r>
      <w:r>
        <w:rPr>
          <w:b/>
          <w:color w:val="000000"/>
        </w:rPr>
        <w:t>2.1 Diagrama de contexto</w:t>
      </w:r>
    </w:p>
    <w:p>
      <w:pPr>
        <w:spacing w:after="120"/>
      </w:pPr>
      <w:r>
        <w:rPr>
          <w:b/>
          <w:sz w:val="21"/>
        </w:rPr>
        <w:t>El Producto (único óvalo):</w:t>
      </w:r>
      <w:r>
        <w:rPr>
          <w:b w:val="0"/>
          <w:sz w:val="21"/>
        </w:rPr>
        <w:t xml:space="preserve"> Sistema Integral de Gestión de Medicamentos de Alto Costo — FarmaHosp</w:t>
      </w:r>
    </w:p>
    <w:p>
      <w:pPr>
        <w:spacing w:after="60"/>
        <w:ind w:left="432"/>
      </w:pPr>
      <w:r>
        <w:rPr>
          <w:b/>
          <w:sz w:val="20"/>
        </w:rPr>
        <w:t>Este diagrama es del sistema, no del negocio</w:t>
      </w:r>
    </w:p>
    <w:p>
      <w:pPr>
        <w:spacing w:after="200"/>
        <w:ind w:left="432"/>
      </w:pPr>
      <w:r>
        <w:rPr>
          <w:b w:val="0"/>
          <w:sz w:val="19"/>
        </w:rPr>
        <w:t xml:space="preserve">Frente al </w:t>
      </w:r>
      <w:r>
        <w:rPr>
          <w:b/>
          <w:sz w:val="19"/>
        </w:rPr>
        <w:t>negocio</w:t>
      </w:r>
      <w:r>
        <w:rPr>
          <w:b w:val="0"/>
          <w:sz w:val="19"/>
        </w:rPr>
        <w:t xml:space="preserve"> (§0), el médico, el farmacéutico y el enfermero son trabajadores. Frente al </w:t>
      </w:r>
      <w:r>
        <w:rPr>
          <w:b/>
          <w:sz w:val="19"/>
        </w:rPr>
        <w:t>software</w:t>
      </w:r>
      <w:r>
        <w:rPr>
          <w:b w:val="0"/>
          <w:sz w:val="19"/>
        </w:rPr>
        <w:t xml:space="preserve"> son entidades externas: le entregan y reciben información, pero no viven dentro del producto. Es el mismo criterio del ejemplo de clase, donde el Bibliotecario figura como entidad externa aunque trabaje en la biblioteca.</w:t>
      </w:r>
    </w:p>
    <w:p>
      <w:pPr>
        <w:pStyle w:val="Heading3"/>
      </w:pPr>
      <w:r>
        <w:rPr>
          <w:color w:val="000000"/>
        </w:rPr>
      </w:r>
      <w:r>
        <w:rPr>
          <w:b/>
          <w:color w:val="000000"/>
        </w:rPr>
        <w:t>Entidades y agentes (rectángulos) con sus streamlines</w:t>
      </w:r>
    </w:p>
    <w:tbl>
      <w:tblPr>
        <w:tblStyle w:val="TableGrid"/>
        <w:jc w:val="center"/>
        <w:tblLayout w:type="fixed"/>
        <w:tblLook w:firstColumn="1" w:firstRow="1" w:lastColumn="0" w:lastRow="0" w:noHBand="0" w:noVBand="1" w:val="04A0"/>
        <w:tblW w:type="dxa" w:w="9360"/>
      </w:tblPr>
      <w:tblGrid>
        <w:gridCol w:w="374"/>
        <w:gridCol w:w="2059"/>
        <w:gridCol w:w="936"/>
        <w:gridCol w:w="2995"/>
        <w:gridCol w:w="2995"/>
      </w:tblGrid>
      <w:tr>
        <w:trPr>
          <w:tblHeader w:val="true"/>
        </w:trPr>
        <w:tc>
          <w:tcPr>
            <w:tcW w:type="dxa" w:w="374"/>
            <w:shd w:val="clear" w:color="auto" w:fill="EDEFF2"/>
          </w:tcPr>
          <w:p>
            <w:pPr>
              <w:keepNext w:val="0"/>
              <w:spacing w:after="20"/>
            </w:pPr>
            <w:r>
              <w:rPr>
                <w:b/>
                <w:sz w:val="16"/>
              </w:rPr>
              <w:t>#</w:t>
            </w:r>
          </w:p>
        </w:tc>
        <w:tc>
          <w:tcPr>
            <w:tcW w:type="dxa" w:w="2059"/>
            <w:shd w:val="clear" w:color="auto" w:fill="EDEFF2"/>
          </w:tcPr>
          <w:p>
            <w:pPr>
              <w:keepNext w:val="0"/>
              <w:spacing w:after="20"/>
            </w:pPr>
            <w:r>
              <w:rPr>
                <w:b/>
                <w:sz w:val="16"/>
              </w:rPr>
              <w:t>Entidad o agente</w:t>
            </w:r>
          </w:p>
        </w:tc>
        <w:tc>
          <w:tcPr>
            <w:tcW w:type="dxa" w:w="936"/>
            <w:shd w:val="clear" w:color="auto" w:fill="EDEFF2"/>
          </w:tcPr>
          <w:p>
            <w:pPr>
              <w:keepNext w:val="0"/>
              <w:spacing w:after="20"/>
            </w:pPr>
            <w:r>
              <w:rPr>
                <w:b/>
                <w:sz w:val="16"/>
              </w:rPr>
              <w:t>Origen</w:t>
            </w:r>
          </w:p>
        </w:tc>
        <w:tc>
          <w:tcPr>
            <w:tcW w:type="dxa" w:w="2995"/>
            <w:shd w:val="clear" w:color="auto" w:fill="EDEFF2"/>
          </w:tcPr>
          <w:p>
            <w:pPr>
              <w:keepNext w:val="0"/>
              <w:spacing w:after="20"/>
            </w:pPr>
            <w:r>
              <w:rPr>
                <w:b/>
                <w:sz w:val="16"/>
              </w:rPr>
              <w:t>Entra al sistema</w:t>
            </w:r>
          </w:p>
        </w:tc>
        <w:tc>
          <w:tcPr>
            <w:tcW w:type="dxa" w:w="2995"/>
            <w:shd w:val="clear" w:color="auto" w:fill="EDEFF2"/>
          </w:tcPr>
          <w:p>
            <w:pPr>
              <w:keepNext w:val="0"/>
              <w:spacing w:after="20"/>
            </w:pPr>
            <w:r>
              <w:rPr>
                <w:b/>
                <w:sz w:val="16"/>
              </w:rPr>
              <w:t>Sale del sistema</w:t>
            </w:r>
          </w:p>
        </w:tc>
      </w:tr>
      <w:tr>
        <w:tc>
          <w:tcPr>
            <w:tcW w:type="dxa" w:w="374"/>
          </w:tcPr>
          <w:p>
            <w:pPr>
              <w:spacing w:after="20"/>
            </w:pPr>
            <w:r>
              <w:rPr>
                <w:b w:val="0"/>
                <w:sz w:val="16"/>
              </w:rPr>
              <w:t>1</w:t>
            </w:r>
          </w:p>
        </w:tc>
        <w:tc>
          <w:tcPr>
            <w:tcW w:type="dxa" w:w="2059"/>
          </w:tcPr>
          <w:p>
            <w:pPr>
              <w:spacing w:after="20"/>
            </w:pPr>
            <w:r>
              <w:rPr>
                <w:b/>
                <w:sz w:val="16"/>
              </w:rPr>
              <w:t>Médico tratante</w:t>
            </w:r>
          </w:p>
        </w:tc>
        <w:tc>
          <w:tcPr>
            <w:tcW w:type="dxa" w:w="936"/>
          </w:tcPr>
          <w:p>
            <w:pPr>
              <w:spacing w:after="20"/>
            </w:pPr>
            <w:r>
              <w:rPr>
                <w:b w:val="0"/>
                <w:sz w:val="16"/>
              </w:rPr>
              <w:t>STK-01</w:t>
            </w:r>
          </w:p>
        </w:tc>
        <w:tc>
          <w:tcPr>
            <w:tcW w:type="dxa" w:w="2995"/>
          </w:tcPr>
          <w:p>
            <w:pPr>
              <w:spacing w:after="20"/>
            </w:pPr>
            <w:r>
              <w:rPr>
                <w:b w:val="0"/>
                <w:sz w:val="16"/>
              </w:rPr>
              <w:t>Prescripción médica · Solicitud de compra urgente o reemplazo terapéutico · Ajuste de dosis</w:t>
            </w:r>
          </w:p>
        </w:tc>
        <w:tc>
          <w:tcPr>
            <w:tcW w:type="dxa" w:w="2995"/>
          </w:tcPr>
          <w:p>
            <w:pPr>
              <w:spacing w:after="20"/>
            </w:pPr>
            <w:r>
              <w:rPr>
                <w:b w:val="0"/>
                <w:sz w:val="16"/>
              </w:rPr>
              <w:t>Alerta de interacción y contraindicación · Disponibilidad de inventario en tiempo real · Notificación de efecto adverso de su paciente</w:t>
            </w:r>
          </w:p>
        </w:tc>
      </w:tr>
      <w:tr>
        <w:tc>
          <w:tcPr>
            <w:tcW w:type="dxa" w:w="374"/>
          </w:tcPr>
          <w:p>
            <w:pPr>
              <w:spacing w:after="20"/>
            </w:pPr>
            <w:r>
              <w:rPr>
                <w:b w:val="0"/>
                <w:sz w:val="16"/>
              </w:rPr>
              <w:t>2</w:t>
            </w:r>
          </w:p>
        </w:tc>
        <w:tc>
          <w:tcPr>
            <w:tcW w:type="dxa" w:w="2059"/>
          </w:tcPr>
          <w:p>
            <w:pPr>
              <w:spacing w:after="20"/>
            </w:pPr>
            <w:r>
              <w:rPr>
                <w:b/>
                <w:sz w:val="16"/>
              </w:rPr>
              <w:t>Farmacéutico clínico</w:t>
            </w:r>
          </w:p>
        </w:tc>
        <w:tc>
          <w:tcPr>
            <w:tcW w:type="dxa" w:w="936"/>
          </w:tcPr>
          <w:p>
            <w:pPr>
              <w:spacing w:after="20"/>
            </w:pPr>
            <w:r>
              <w:rPr>
                <w:b w:val="0"/>
                <w:sz w:val="16"/>
              </w:rPr>
              <w:t>STK-02</w:t>
            </w:r>
          </w:p>
        </w:tc>
        <w:tc>
          <w:tcPr>
            <w:tcW w:type="dxa" w:w="2995"/>
          </w:tcPr>
          <w:p>
            <w:pPr>
              <w:spacing w:after="20"/>
            </w:pPr>
            <w:r>
              <w:rPr>
                <w:b w:val="0"/>
                <w:sz w:val="16"/>
              </w:rPr>
              <w:t>Confirmación de dispensación con lote asignado · Dictamen sobre lote afectado</w:t>
            </w:r>
          </w:p>
        </w:tc>
        <w:tc>
          <w:tcPr>
            <w:tcW w:type="dxa" w:w="2995"/>
          </w:tcPr>
          <w:p>
            <w:pPr>
              <w:spacing w:after="20"/>
            </w:pPr>
            <w:r>
              <w:rPr>
                <w:b w:val="0"/>
                <w:sz w:val="16"/>
              </w:rPr>
              <w:t>Cola de órdenes de dispensación · Etiqueta con código de barras/QR · Proyección de faltantes a 7 días · Alerta de ruptura de cadena de frío</w:t>
            </w:r>
          </w:p>
        </w:tc>
      </w:tr>
      <w:tr>
        <w:tc>
          <w:tcPr>
            <w:tcW w:type="dxa" w:w="374"/>
          </w:tcPr>
          <w:p>
            <w:pPr>
              <w:spacing w:after="20"/>
            </w:pPr>
            <w:r>
              <w:rPr>
                <w:b w:val="0"/>
                <w:sz w:val="16"/>
              </w:rPr>
              <w:t>3</w:t>
            </w:r>
          </w:p>
        </w:tc>
        <w:tc>
          <w:tcPr>
            <w:tcW w:type="dxa" w:w="2059"/>
          </w:tcPr>
          <w:p>
            <w:pPr>
              <w:spacing w:after="20"/>
            </w:pPr>
            <w:r>
              <w:rPr>
                <w:b/>
                <w:sz w:val="16"/>
              </w:rPr>
              <w:t>Enfermero de piso</w:t>
            </w:r>
          </w:p>
        </w:tc>
        <w:tc>
          <w:tcPr>
            <w:tcW w:type="dxa" w:w="936"/>
          </w:tcPr>
          <w:p>
            <w:pPr>
              <w:spacing w:after="20"/>
            </w:pPr>
            <w:r>
              <w:rPr>
                <w:b w:val="0"/>
                <w:sz w:val="16"/>
              </w:rPr>
              <w:t>STK-03</w:t>
            </w:r>
          </w:p>
        </w:tc>
        <w:tc>
          <w:tcPr>
            <w:tcW w:type="dxa" w:w="2995"/>
          </w:tcPr>
          <w:p>
            <w:pPr>
              <w:spacing w:after="20"/>
            </w:pPr>
            <w:r>
              <w:rPr>
                <w:b w:val="0"/>
                <w:sz w:val="16"/>
              </w:rPr>
              <w:t>Registro de administración (pulsera, código de lote, credencial biométrica) · Reporte de reacción adversa</w:t>
            </w:r>
          </w:p>
        </w:tc>
        <w:tc>
          <w:tcPr>
            <w:tcW w:type="dxa" w:w="2995"/>
          </w:tcPr>
          <w:p>
            <w:pPr>
              <w:spacing w:after="20"/>
            </w:pPr>
            <w:r>
              <w:rPr>
                <w:b w:val="0"/>
                <w:sz w:val="16"/>
              </w:rPr>
              <w:t>Validación paciente-medicamento · Alerta de discrepancia paciente/lote</w:t>
            </w:r>
          </w:p>
        </w:tc>
      </w:tr>
      <w:tr>
        <w:tc>
          <w:tcPr>
            <w:tcW w:type="dxa" w:w="374"/>
          </w:tcPr>
          <w:p>
            <w:pPr>
              <w:spacing w:after="20"/>
            </w:pPr>
            <w:r>
              <w:rPr>
                <w:b w:val="0"/>
                <w:sz w:val="16"/>
              </w:rPr>
              <w:t>4</w:t>
            </w:r>
          </w:p>
        </w:tc>
        <w:tc>
          <w:tcPr>
            <w:tcW w:type="dxa" w:w="2059"/>
          </w:tcPr>
          <w:p>
            <w:pPr>
              <w:spacing w:after="20"/>
            </w:pPr>
            <w:r>
              <w:rPr>
                <w:b/>
                <w:sz w:val="16"/>
              </w:rPr>
              <w:t>Director Administrativo</w:t>
            </w:r>
          </w:p>
        </w:tc>
        <w:tc>
          <w:tcPr>
            <w:tcW w:type="dxa" w:w="936"/>
          </w:tcPr>
          <w:p>
            <w:pPr>
              <w:spacing w:after="20"/>
            </w:pPr>
            <w:r>
              <w:rPr>
                <w:b w:val="0"/>
                <w:sz w:val="16"/>
              </w:rPr>
              <w:t>STK-04</w:t>
            </w:r>
          </w:p>
        </w:tc>
        <w:tc>
          <w:tcPr>
            <w:tcW w:type="dxa" w:w="2995"/>
          </w:tcPr>
          <w:p>
            <w:pPr>
              <w:spacing w:after="20"/>
            </w:pPr>
            <w:r>
              <w:rPr>
                <w:b w:val="0"/>
                <w:sz w:val="16"/>
              </w:rPr>
              <w:t>Autorización de orden de compra</w:t>
            </w:r>
          </w:p>
        </w:tc>
        <w:tc>
          <w:tcPr>
            <w:tcW w:type="dxa" w:w="2995"/>
          </w:tcPr>
          <w:p>
            <w:pPr>
              <w:spacing w:after="20"/>
            </w:pPr>
            <w:r>
              <w:rPr>
                <w:b w:val="0"/>
                <w:sz w:val="16"/>
              </w:rPr>
              <w:t>Tablero de costo por paciente y % de desperdicio · Reporte de pérdida estimada</w:t>
            </w:r>
          </w:p>
        </w:tc>
      </w:tr>
      <w:tr>
        <w:tc>
          <w:tcPr>
            <w:tcW w:type="dxa" w:w="374"/>
          </w:tcPr>
          <w:p>
            <w:pPr>
              <w:spacing w:after="20"/>
            </w:pPr>
            <w:r>
              <w:rPr>
                <w:b w:val="0"/>
                <w:sz w:val="16"/>
              </w:rPr>
              <w:t>5</w:t>
            </w:r>
          </w:p>
        </w:tc>
        <w:tc>
          <w:tcPr>
            <w:tcW w:type="dxa" w:w="2059"/>
          </w:tcPr>
          <w:p>
            <w:pPr>
              <w:spacing w:after="20"/>
            </w:pPr>
            <w:r>
              <w:rPr>
                <w:b/>
                <w:sz w:val="16"/>
              </w:rPr>
              <w:t>Jefe de Farmacovigilancia</w:t>
            </w:r>
          </w:p>
        </w:tc>
        <w:tc>
          <w:tcPr>
            <w:tcW w:type="dxa" w:w="936"/>
          </w:tcPr>
          <w:p>
            <w:pPr>
              <w:spacing w:after="20"/>
            </w:pPr>
            <w:r>
              <w:rPr>
                <w:b w:val="0"/>
                <w:sz w:val="16"/>
              </w:rPr>
              <w:t>STK-05</w:t>
            </w:r>
          </w:p>
        </w:tc>
        <w:tc>
          <w:tcPr>
            <w:tcW w:type="dxa" w:w="2995"/>
          </w:tcPr>
          <w:p>
            <w:pPr>
              <w:spacing w:after="20"/>
            </w:pPr>
            <w:r>
              <w:rPr>
                <w:b w:val="0"/>
                <w:sz w:val="16"/>
              </w:rPr>
              <w:t>Seguimiento farmacoterapéutico · Dictamen de causalidad</w:t>
            </w:r>
          </w:p>
        </w:tc>
        <w:tc>
          <w:tcPr>
            <w:tcW w:type="dxa" w:w="2995"/>
          </w:tcPr>
          <w:p>
            <w:pPr>
              <w:spacing w:after="20"/>
            </w:pPr>
            <w:r>
              <w:rPr>
                <w:b w:val="0"/>
                <w:sz w:val="16"/>
              </w:rPr>
              <w:t>Alerta temprana de patrón de efectos adversos por lote</w:t>
            </w:r>
          </w:p>
        </w:tc>
      </w:tr>
      <w:tr>
        <w:tc>
          <w:tcPr>
            <w:tcW w:type="dxa" w:w="374"/>
          </w:tcPr>
          <w:p>
            <w:pPr>
              <w:spacing w:after="20"/>
            </w:pPr>
            <w:r>
              <w:rPr>
                <w:b w:val="0"/>
                <w:sz w:val="16"/>
              </w:rPr>
              <w:t>6</w:t>
            </w:r>
          </w:p>
        </w:tc>
        <w:tc>
          <w:tcPr>
            <w:tcW w:type="dxa" w:w="2059"/>
          </w:tcPr>
          <w:p>
            <w:pPr>
              <w:spacing w:after="20"/>
            </w:pPr>
            <w:r>
              <w:rPr>
                <w:b/>
                <w:sz w:val="16"/>
              </w:rPr>
              <w:t>Paciente</w:t>
            </w:r>
          </w:p>
        </w:tc>
        <w:tc>
          <w:tcPr>
            <w:tcW w:type="dxa" w:w="936"/>
          </w:tcPr>
          <w:p>
            <w:pPr>
              <w:spacing w:after="20"/>
            </w:pPr>
            <w:r>
              <w:rPr>
                <w:b w:val="0"/>
                <w:sz w:val="16"/>
              </w:rPr>
              <w:t>STK-06</w:t>
            </w:r>
          </w:p>
        </w:tc>
        <w:tc>
          <w:tcPr>
            <w:tcW w:type="dxa" w:w="2995"/>
          </w:tcPr>
          <w:p>
            <w:pPr>
              <w:spacing w:after="20"/>
            </w:pPr>
            <w:r>
              <w:rPr>
                <w:b w:val="0"/>
                <w:sz w:val="16"/>
              </w:rPr>
              <w:t>Consulta de trazabilidad por QR</w:t>
            </w:r>
          </w:p>
        </w:tc>
        <w:tc>
          <w:tcPr>
            <w:tcW w:type="dxa" w:w="2995"/>
          </w:tcPr>
          <w:p>
            <w:pPr>
              <w:spacing w:after="20"/>
            </w:pPr>
            <w:r>
              <w:rPr>
                <w:b w:val="0"/>
                <w:sz w:val="16"/>
              </w:rPr>
              <w:t>Confirmación de medicamento y dosis · Recordatorio de próxima dosis</w:t>
            </w:r>
          </w:p>
        </w:tc>
      </w:tr>
      <w:tr>
        <w:tc>
          <w:tcPr>
            <w:tcW w:type="dxa" w:w="374"/>
          </w:tcPr>
          <w:p>
            <w:pPr>
              <w:spacing w:after="20"/>
            </w:pPr>
            <w:r>
              <w:rPr>
                <w:b w:val="0"/>
                <w:sz w:val="16"/>
              </w:rPr>
              <w:t>7</w:t>
            </w:r>
          </w:p>
        </w:tc>
        <w:tc>
          <w:tcPr>
            <w:tcW w:type="dxa" w:w="2059"/>
          </w:tcPr>
          <w:p>
            <w:pPr>
              <w:spacing w:after="20"/>
            </w:pPr>
            <w:r>
              <w:rPr>
                <w:b/>
                <w:sz w:val="16"/>
              </w:rPr>
              <w:t>Proveedor de MAC</w:t>
            </w:r>
          </w:p>
        </w:tc>
        <w:tc>
          <w:tcPr>
            <w:tcW w:type="dxa" w:w="936"/>
          </w:tcPr>
          <w:p>
            <w:pPr>
              <w:spacing w:after="20"/>
            </w:pPr>
            <w:r>
              <w:rPr>
                <w:b w:val="0"/>
                <w:sz w:val="16"/>
              </w:rPr>
              <w:t>STK-12</w:t>
            </w:r>
          </w:p>
        </w:tc>
        <w:tc>
          <w:tcPr>
            <w:tcW w:type="dxa" w:w="2995"/>
          </w:tcPr>
          <w:p>
            <w:pPr>
              <w:spacing w:after="20"/>
            </w:pPr>
            <w:r>
              <w:rPr>
                <w:b w:val="0"/>
                <w:sz w:val="16"/>
              </w:rPr>
              <w:t>Datos de lote, fecha de vencimiento y factura</w:t>
            </w:r>
          </w:p>
        </w:tc>
        <w:tc>
          <w:tcPr>
            <w:tcW w:type="dxa" w:w="2995"/>
          </w:tcPr>
          <w:p>
            <w:pPr>
              <w:spacing w:after="20"/>
            </w:pPr>
            <w:r>
              <w:rPr>
                <w:b w:val="0"/>
                <w:sz w:val="16"/>
              </w:rPr>
              <w:t>Orden de compra</w:t>
            </w:r>
          </w:p>
        </w:tc>
      </w:tr>
      <w:tr>
        <w:tc>
          <w:tcPr>
            <w:tcW w:type="dxa" w:w="374"/>
          </w:tcPr>
          <w:p>
            <w:pPr>
              <w:spacing w:after="20"/>
            </w:pPr>
            <w:r>
              <w:rPr>
                <w:b w:val="0"/>
                <w:sz w:val="16"/>
              </w:rPr>
              <w:t>8</w:t>
            </w:r>
          </w:p>
        </w:tc>
        <w:tc>
          <w:tcPr>
            <w:tcW w:type="dxa" w:w="2059"/>
          </w:tcPr>
          <w:p>
            <w:pPr>
              <w:spacing w:after="20"/>
            </w:pPr>
            <w:r>
              <w:rPr>
                <w:b/>
                <w:sz w:val="16"/>
              </w:rPr>
              <w:t>Contraloría General de Cuentas</w:t>
            </w:r>
          </w:p>
        </w:tc>
        <w:tc>
          <w:tcPr>
            <w:tcW w:type="dxa" w:w="936"/>
          </w:tcPr>
          <w:p>
            <w:pPr>
              <w:spacing w:after="20"/>
            </w:pPr>
            <w:r>
              <w:rPr>
                <w:b w:val="0"/>
                <w:sz w:val="16"/>
              </w:rPr>
              <w:t>STK-11</w:t>
            </w:r>
          </w:p>
        </w:tc>
        <w:tc>
          <w:tcPr>
            <w:tcW w:type="dxa" w:w="2995"/>
          </w:tcPr>
          <w:p>
            <w:pPr>
              <w:spacing w:after="20"/>
            </w:pPr>
            <w:r>
              <w:rPr>
                <w:b w:val="0"/>
                <w:sz w:val="16"/>
              </w:rPr>
              <w:t>Solicitud de auditoría de lote</w:t>
            </w:r>
          </w:p>
        </w:tc>
        <w:tc>
          <w:tcPr>
            <w:tcW w:type="dxa" w:w="2995"/>
          </w:tcPr>
          <w:p>
            <w:pPr>
              <w:spacing w:after="20"/>
            </w:pPr>
            <w:r>
              <w:rPr>
                <w:b w:val="0"/>
                <w:sz w:val="16"/>
              </w:rPr>
              <w:t>Informe forense de trazabilidad</w:t>
            </w:r>
          </w:p>
        </w:tc>
      </w:tr>
      <w:tr>
        <w:tc>
          <w:tcPr>
            <w:tcW w:type="dxa" w:w="374"/>
          </w:tcPr>
          <w:p>
            <w:pPr>
              <w:spacing w:after="20"/>
            </w:pPr>
            <w:r>
              <w:rPr>
                <w:b w:val="0"/>
                <w:sz w:val="16"/>
              </w:rPr>
              <w:t>9</w:t>
            </w:r>
          </w:p>
        </w:tc>
        <w:tc>
          <w:tcPr>
            <w:tcW w:type="dxa" w:w="2059"/>
          </w:tcPr>
          <w:p>
            <w:pPr>
              <w:spacing w:after="20"/>
            </w:pPr>
            <w:r>
              <w:rPr>
                <w:b/>
                <w:sz w:val="16"/>
              </w:rPr>
              <w:t>Operaciones de TI / data center</w:t>
            </w:r>
          </w:p>
        </w:tc>
        <w:tc>
          <w:tcPr>
            <w:tcW w:type="dxa" w:w="936"/>
          </w:tcPr>
          <w:p>
            <w:pPr>
              <w:spacing w:after="20"/>
            </w:pPr>
            <w:r>
              <w:rPr>
                <w:b w:val="0"/>
                <w:sz w:val="16"/>
              </w:rPr>
              <w:t>STK-13</w:t>
            </w:r>
          </w:p>
        </w:tc>
        <w:tc>
          <w:tcPr>
            <w:tcW w:type="dxa" w:w="2995"/>
          </w:tcPr>
          <w:p>
            <w:pPr>
              <w:spacing w:after="20"/>
            </w:pPr>
            <w:r>
              <w:rPr>
                <w:b w:val="0"/>
                <w:sz w:val="16"/>
              </w:rPr>
              <w:t>Parámetros de operación</w:t>
            </w:r>
          </w:p>
        </w:tc>
        <w:tc>
          <w:tcPr>
            <w:tcW w:type="dxa" w:w="2995"/>
          </w:tcPr>
          <w:p>
            <w:pPr>
              <w:spacing w:after="20"/>
            </w:pPr>
            <w:r>
              <w:rPr>
                <w:b w:val="0"/>
                <w:sz w:val="16"/>
              </w:rPr>
              <w:t>Métricas de capacidad y alertas de operación</w:t>
            </w:r>
          </w:p>
        </w:tc>
      </w:tr>
      <w:tr>
        <w:tc>
          <w:tcPr>
            <w:tcW w:type="dxa" w:w="374"/>
          </w:tcPr>
          <w:p>
            <w:pPr>
              <w:spacing w:after="20"/>
            </w:pPr>
            <w:r>
              <w:rPr>
                <w:b w:val="0"/>
                <w:sz w:val="16"/>
              </w:rPr>
              <w:t>10</w:t>
            </w:r>
          </w:p>
        </w:tc>
        <w:tc>
          <w:tcPr>
            <w:tcW w:type="dxa" w:w="2059"/>
          </w:tcPr>
          <w:p>
            <w:pPr>
              <w:spacing w:after="20"/>
            </w:pPr>
            <w:r>
              <w:rPr>
                <w:b/>
                <w:sz w:val="16"/>
              </w:rPr>
              <w:t>Sistema legacy de admisiones</w:t>
            </w:r>
            <w:r>
              <w:rPr>
                <w:b w:val="0"/>
                <w:sz w:val="16"/>
              </w:rPr>
              <w:t xml:space="preserve"> (COBOL/SOAP, 7:00-17:00)</w:t>
            </w:r>
          </w:p>
        </w:tc>
        <w:tc>
          <w:tcPr>
            <w:tcW w:type="dxa" w:w="936"/>
          </w:tcPr>
          <w:p>
            <w:pPr>
              <w:spacing w:after="20"/>
            </w:pPr>
            <w:r>
              <w:rPr>
                <w:b w:val="0"/>
                <w:sz w:val="16"/>
              </w:rPr>
              <w:t>sistema externo</w:t>
            </w:r>
          </w:p>
        </w:tc>
        <w:tc>
          <w:tcPr>
            <w:tcW w:type="dxa" w:w="2995"/>
          </w:tcPr>
          <w:p>
            <w:pPr>
              <w:spacing w:after="20"/>
            </w:pPr>
            <w:r>
              <w:rPr>
                <w:b w:val="0"/>
                <w:sz w:val="16"/>
              </w:rPr>
              <w:t>Datos demográficos del paciente</w:t>
            </w:r>
          </w:p>
        </w:tc>
        <w:tc>
          <w:tcPr>
            <w:tcW w:type="dxa" w:w="2995"/>
          </w:tcPr>
          <w:p>
            <w:pPr>
              <w:spacing w:after="20"/>
            </w:pPr>
            <w:r>
              <w:rPr>
                <w:b w:val="0"/>
                <w:sz w:val="16"/>
              </w:rPr>
              <w:t>Consulta de identificación de paciente</w:t>
            </w:r>
          </w:p>
        </w:tc>
      </w:tr>
      <w:tr>
        <w:tc>
          <w:tcPr>
            <w:tcW w:type="dxa" w:w="374"/>
          </w:tcPr>
          <w:p>
            <w:pPr>
              <w:spacing w:after="20"/>
            </w:pPr>
            <w:r>
              <w:rPr>
                <w:b w:val="0"/>
                <w:sz w:val="16"/>
              </w:rPr>
              <w:t>11</w:t>
            </w:r>
          </w:p>
        </w:tc>
        <w:tc>
          <w:tcPr>
            <w:tcW w:type="dxa" w:w="2059"/>
          </w:tcPr>
          <w:p>
            <w:pPr>
              <w:spacing w:after="20"/>
            </w:pPr>
            <w:r>
              <w:rPr>
                <w:b/>
                <w:sz w:val="16"/>
              </w:rPr>
              <w:t>Sistema nacional de farmacovigilancia</w:t>
            </w:r>
            <w:r>
              <w:rPr>
                <w:b w:val="0"/>
                <w:sz w:val="16"/>
              </w:rPr>
              <w:t xml:space="preserve"> (MSPAS, XML/DTD, 8:00-16:00)</w:t>
            </w:r>
          </w:p>
        </w:tc>
        <w:tc>
          <w:tcPr>
            <w:tcW w:type="dxa" w:w="936"/>
          </w:tcPr>
          <w:p>
            <w:pPr>
              <w:spacing w:after="20"/>
            </w:pPr>
            <w:r>
              <w:rPr>
                <w:b w:val="0"/>
                <w:sz w:val="16"/>
              </w:rPr>
              <w:t>sistema externo</w:t>
            </w:r>
          </w:p>
        </w:tc>
        <w:tc>
          <w:tcPr>
            <w:tcW w:type="dxa" w:w="2995"/>
          </w:tcPr>
          <w:p>
            <w:pPr>
              <w:spacing w:after="20"/>
            </w:pPr>
            <w:r>
              <w:rPr>
                <w:b w:val="0"/>
                <w:sz w:val="16"/>
              </w:rPr>
              <w:t>Alerta nacional de retiro de lote · Consulta de efectos adversos vía API</w:t>
            </w:r>
          </w:p>
        </w:tc>
        <w:tc>
          <w:tcPr>
            <w:tcW w:type="dxa" w:w="2995"/>
          </w:tcPr>
          <w:p>
            <w:pPr>
              <w:spacing w:after="20"/>
            </w:pPr>
            <w:r>
              <w:rPr>
                <w:b w:val="0"/>
                <w:sz w:val="16"/>
              </w:rPr>
              <w:t>Reporte de efecto adverso en formato XML/DTD</w:t>
            </w:r>
          </w:p>
        </w:tc>
      </w:tr>
      <w:tr>
        <w:tc>
          <w:tcPr>
            <w:tcW w:type="dxa" w:w="374"/>
          </w:tcPr>
          <w:p>
            <w:pPr>
              <w:spacing w:after="20"/>
            </w:pPr>
            <w:r>
              <w:rPr>
                <w:b w:val="0"/>
                <w:sz w:val="16"/>
              </w:rPr>
              <w:t>12</w:t>
            </w:r>
          </w:p>
        </w:tc>
        <w:tc>
          <w:tcPr>
            <w:tcW w:type="dxa" w:w="2059"/>
          </w:tcPr>
          <w:p>
            <w:pPr>
              <w:spacing w:after="20"/>
            </w:pPr>
            <w:r>
              <w:rPr>
                <w:b/>
                <w:sz w:val="16"/>
              </w:rPr>
              <w:t>Directorio activo / LDAP</w:t>
            </w:r>
          </w:p>
        </w:tc>
        <w:tc>
          <w:tcPr>
            <w:tcW w:type="dxa" w:w="936"/>
          </w:tcPr>
          <w:p>
            <w:pPr>
              <w:spacing w:after="20"/>
            </w:pPr>
            <w:r>
              <w:rPr>
                <w:b w:val="0"/>
                <w:sz w:val="16"/>
              </w:rPr>
              <w:t>sistema externo</w:t>
            </w:r>
          </w:p>
        </w:tc>
        <w:tc>
          <w:tcPr>
            <w:tcW w:type="dxa" w:w="2995"/>
          </w:tcPr>
          <w:p>
            <w:pPr>
              <w:spacing w:after="20"/>
            </w:pPr>
            <w:r>
              <w:rPr>
                <w:b w:val="0"/>
                <w:sz w:val="16"/>
              </w:rPr>
              <w:t>Credenciales validadas</w:t>
            </w:r>
          </w:p>
        </w:tc>
        <w:tc>
          <w:tcPr>
            <w:tcW w:type="dxa" w:w="2995"/>
          </w:tcPr>
          <w:p>
            <w:pPr>
              <w:spacing w:after="20"/>
            </w:pPr>
            <w:r>
              <w:rPr>
                <w:b w:val="0"/>
                <w:sz w:val="16"/>
              </w:rPr>
              <w:t>Solicitud de autenticación</w:t>
            </w:r>
          </w:p>
        </w:tc>
      </w:tr>
      <w:tr>
        <w:tc>
          <w:tcPr>
            <w:tcW w:type="dxa" w:w="374"/>
          </w:tcPr>
          <w:p>
            <w:pPr>
              <w:spacing w:after="20"/>
            </w:pPr>
            <w:r>
              <w:rPr>
                <w:b w:val="0"/>
                <w:sz w:val="16"/>
              </w:rPr>
              <w:t>13</w:t>
            </w:r>
          </w:p>
        </w:tc>
        <w:tc>
          <w:tcPr>
            <w:tcW w:type="dxa" w:w="2059"/>
          </w:tcPr>
          <w:p>
            <w:pPr>
              <w:spacing w:after="20"/>
            </w:pPr>
            <w:r>
              <w:rPr>
                <w:b/>
                <w:sz w:val="16"/>
              </w:rPr>
              <w:t>Sensores IoT de cámaras</w:t>
            </w:r>
            <w:r>
              <w:rPr>
                <w:b w:val="0"/>
                <w:sz w:val="16"/>
              </w:rPr>
              <w:t xml:space="preserve"> (2-8 °C, -20 °C, ambiente)</w:t>
            </w:r>
          </w:p>
        </w:tc>
        <w:tc>
          <w:tcPr>
            <w:tcW w:type="dxa" w:w="936"/>
          </w:tcPr>
          <w:p>
            <w:pPr>
              <w:spacing w:after="20"/>
            </w:pPr>
            <w:r>
              <w:rPr>
                <w:b w:val="0"/>
                <w:sz w:val="16"/>
              </w:rPr>
              <w:t>agente</w:t>
            </w:r>
          </w:p>
        </w:tc>
        <w:tc>
          <w:tcPr>
            <w:tcW w:type="dxa" w:w="2995"/>
          </w:tcPr>
          <w:p>
            <w:pPr>
              <w:spacing w:after="20"/>
            </w:pPr>
            <w:r>
              <w:rPr>
                <w:b w:val="0"/>
                <w:sz w:val="16"/>
              </w:rPr>
              <w:t>Lecturas de temperatura y humedad cada 5 minutos</w:t>
            </w:r>
          </w:p>
        </w:tc>
        <w:tc>
          <w:tcPr>
            <w:tcW w:type="dxa" w:w="2995"/>
          </w:tcPr>
          <w:p>
            <w:pPr>
              <w:spacing w:after="20"/>
            </w:pPr>
            <w:r>
              <w:rPr>
                <w:b w:val="0"/>
                <w:sz w:val="16"/>
              </w:rPr>
              <w:t>—</w:t>
            </w:r>
          </w:p>
        </w:tc>
      </w:tr>
      <w:tr>
        <w:tc>
          <w:tcPr>
            <w:tcW w:type="dxa" w:w="374"/>
          </w:tcPr>
          <w:p>
            <w:pPr>
              <w:spacing w:after="20"/>
            </w:pPr>
            <w:r>
              <w:rPr>
                <w:b w:val="0"/>
                <w:sz w:val="16"/>
              </w:rPr>
              <w:t>14</w:t>
            </w:r>
          </w:p>
        </w:tc>
        <w:tc>
          <w:tcPr>
            <w:tcW w:type="dxa" w:w="2059"/>
          </w:tcPr>
          <w:p>
            <w:pPr>
              <w:spacing w:after="20"/>
            </w:pPr>
            <w:r>
              <w:rPr>
                <w:b/>
                <w:sz w:val="16"/>
              </w:rPr>
              <w:t>Pasarela de SMS / WhatsApp</w:t>
            </w:r>
          </w:p>
        </w:tc>
        <w:tc>
          <w:tcPr>
            <w:tcW w:type="dxa" w:w="936"/>
          </w:tcPr>
          <w:p>
            <w:pPr>
              <w:spacing w:after="20"/>
            </w:pPr>
            <w:r>
              <w:rPr>
                <w:b w:val="0"/>
                <w:sz w:val="16"/>
              </w:rPr>
              <w:t>sistema externo</w:t>
            </w:r>
          </w:p>
        </w:tc>
        <w:tc>
          <w:tcPr>
            <w:tcW w:type="dxa" w:w="2995"/>
          </w:tcPr>
          <w:p>
            <w:pPr>
              <w:spacing w:after="20"/>
            </w:pPr>
            <w:r>
              <w:rPr>
                <w:b w:val="0"/>
                <w:sz w:val="16"/>
              </w:rPr>
              <w:t>Acuse de entrega del mensaje</w:t>
            </w:r>
          </w:p>
        </w:tc>
        <w:tc>
          <w:tcPr>
            <w:tcW w:type="dxa" w:w="2995"/>
          </w:tcPr>
          <w:p>
            <w:pPr>
              <w:spacing w:after="20"/>
            </w:pPr>
            <w:r>
              <w:rPr>
                <w:b w:val="0"/>
                <w:sz w:val="16"/>
              </w:rPr>
              <w:t>Mensaje de notificación (alerta de guardia, recordatorio de dosis, OTP)</w:t>
            </w:r>
          </w:p>
        </w:tc>
      </w:tr>
    </w:tbl>
    <w:p>
      <w:pPr>
        <w:spacing w:after="40"/>
      </w:pPr>
    </w:p>
    <w:p>
      <w:pPr>
        <w:spacing w:after="60"/>
        <w:ind w:left="432"/>
      </w:pPr>
      <w:r>
        <w:rPr>
          <w:b/>
          <w:sz w:val="20"/>
        </w:rPr>
        <w:t>Quién quedó fuera del contexto y por qué</w:t>
      </w:r>
    </w:p>
    <w:p>
      <w:pPr>
        <w:spacing w:after="200"/>
        <w:ind w:left="432"/>
      </w:pPr>
      <w:r>
        <w:rPr>
          <w:b w:val="0"/>
          <w:sz w:val="19"/>
        </w:rPr>
        <w:t xml:space="preserve">STK-09 </w:t>
      </w:r>
      <w:r>
        <w:rPr>
          <w:b/>
          <w:sz w:val="19"/>
        </w:rPr>
        <w:t>Consultora externa</w:t>
      </w:r>
      <w:r>
        <w:rPr>
          <w:b w:val="0"/>
          <w:sz w:val="19"/>
        </w:rPr>
        <w:t xml:space="preserve"> y STK-10 </w:t>
      </w:r>
      <w:r>
        <w:rPr>
          <w:b/>
          <w:sz w:val="19"/>
        </w:rPr>
        <w:t>Junta Directiva</w:t>
      </w:r>
      <w:r>
        <w:rPr>
          <w:b w:val="0"/>
          <w:sz w:val="19"/>
        </w:rPr>
        <w:t xml:space="preserve"> son stakeholders con requisitos fuertes, pero </w:t>
      </w:r>
      <w:r>
        <w:rPr>
          <w:b/>
          <w:sz w:val="19"/>
        </w:rPr>
        <w:t>no intercambian información con el sistema en operación</w:t>
      </w:r>
      <w:r>
        <w:rPr>
          <w:b w:val="0"/>
          <w:sz w:val="19"/>
        </w:rPr>
        <w:t>. Confirma la regla: todo actor es stakeholder, pero no todo stakeholder es actor.</w:t>
      </w:r>
    </w:p>
    <w:p>
      <w:pPr>
        <w:jc w:val="center"/>
      </w:pPr>
      <w:r>
        <w:drawing>
          <wp:inline xmlns:a="http://schemas.openxmlformats.org/drawingml/2006/main" xmlns:pic="http://schemas.openxmlformats.org/drawingml/2006/picture">
            <wp:extent cx="5852160" cy="4222865"/>
            <wp:docPr id="1" name="Picture 1"/>
            <wp:cNvGraphicFramePr>
              <a:graphicFrameLocks noChangeAspect="1"/>
            </wp:cNvGraphicFramePr>
            <a:graphic>
              <a:graphicData uri="http://schemas.openxmlformats.org/drawingml/2006/picture">
                <pic:pic>
                  <pic:nvPicPr>
                    <pic:cNvPr id="0" name="contexto-farmahosp.png"/>
                    <pic:cNvPicPr/>
                  </pic:nvPicPr>
                  <pic:blipFill>
                    <a:blip r:embed="rId9"/>
                    <a:stretch>
                      <a:fillRect/>
                    </a:stretch>
                  </pic:blipFill>
                  <pic:spPr>
                    <a:xfrm>
                      <a:off x="0" y="0"/>
                      <a:ext cx="5852160" cy="4222865"/>
                    </a:xfrm>
                    <a:prstGeom prst="rect"/>
                  </pic:spPr>
                </pic:pic>
              </a:graphicData>
            </a:graphic>
          </wp:inline>
        </w:drawing>
      </w:r>
    </w:p>
    <w:p>
      <w:pPr>
        <w:jc w:val="center"/>
      </w:pPr>
      <w:r>
        <w:rPr>
          <w:b w:val="0"/>
          <w:i/>
          <w:color w:val="555555"/>
          <w:sz w:val="18"/>
        </w:rPr>
        <w:t>Diagrama de contexto — 14 entidades, 27 streamlines. Un óvalo (El Producto), rectángulos para entidades y agentes, y una flecha con nombre por sentido.</w:t>
      </w:r>
    </w:p>
    <w:p>
      <w:pPr>
        <w:spacing w:after="120"/>
      </w:pPr>
      <w:r>
        <w:rPr>
          <w:b/>
          <w:sz w:val="21"/>
        </w:rPr>
        <w:t>14 entidades · 27 streamlines.</w:t>
      </w:r>
      <w:r>
        <w:rPr>
          <w:b w:val="0"/>
          <w:sz w:val="21"/>
        </w:rPr>
        <w:t xml:space="preserve"> Distribución por canasta: 4 usuarios directos, 4 del negocio (decide / insumo / audita), 6 dispositivos y sistemas externos.</w:t>
      </w:r>
    </w:p>
    <w:tbl>
      <w:tblPr>
        <w:tblStyle w:val="TableGrid"/>
        <w:jc w:val="center"/>
        <w:tblLayout w:type="fixed"/>
        <w:tblLook w:firstColumn="1" w:firstRow="1" w:lastColumn="0" w:lastRow="0" w:noHBand="0" w:noVBand="1" w:val="04A0"/>
        <w:tblW w:type="dxa" w:w="9360"/>
      </w:tblPr>
      <w:tblGrid>
        <w:gridCol w:w="2340"/>
        <w:gridCol w:w="7020"/>
      </w:tblGrid>
      <w:tr>
        <w:trPr>
          <w:tblHeader w:val="true"/>
        </w:trPr>
        <w:tc>
          <w:tcPr>
            <w:tcW w:type="dxa" w:w="2340"/>
            <w:shd w:val="clear" w:color="auto" w:fill="EDEFF2"/>
          </w:tcPr>
          <w:p>
            <w:pPr>
              <w:keepNext w:val="0"/>
              <w:spacing w:after="20"/>
            </w:pPr>
            <w:r>
              <w:rPr>
                <w:b/>
                <w:sz w:val="18"/>
              </w:rPr>
              <w:t>Canasta</w:t>
            </w:r>
          </w:p>
        </w:tc>
        <w:tc>
          <w:tcPr>
            <w:tcW w:type="dxa" w:w="7020"/>
            <w:shd w:val="clear" w:color="auto" w:fill="EDEFF2"/>
          </w:tcPr>
          <w:p>
            <w:pPr>
              <w:keepNext w:val="0"/>
              <w:spacing w:after="20"/>
            </w:pPr>
            <w:r>
              <w:rPr>
                <w:b/>
                <w:sz w:val="18"/>
              </w:rPr>
              <w:t>Entidades</w:t>
            </w:r>
          </w:p>
        </w:tc>
      </w:tr>
      <w:tr>
        <w:tc>
          <w:tcPr>
            <w:tcW w:type="dxa" w:w="2340"/>
          </w:tcPr>
          <w:p>
            <w:pPr>
              <w:spacing w:after="20"/>
            </w:pPr>
            <w:r>
              <w:rPr>
                <w:b/>
                <w:sz w:val="18"/>
              </w:rPr>
              <w:t>Usa</w:t>
            </w:r>
          </w:p>
        </w:tc>
        <w:tc>
          <w:tcPr>
            <w:tcW w:type="dxa" w:w="7020"/>
          </w:tcPr>
          <w:p>
            <w:pPr>
              <w:spacing w:after="20"/>
            </w:pPr>
            <w:r>
              <w:rPr>
                <w:b w:val="0"/>
                <w:sz w:val="18"/>
              </w:rPr>
              <w:t>Médico tratante, Farmacéutico clínico, Enfermero de piso, Paciente</w:t>
            </w:r>
          </w:p>
        </w:tc>
      </w:tr>
      <w:tr>
        <w:tc>
          <w:tcPr>
            <w:tcW w:type="dxa" w:w="2340"/>
          </w:tcPr>
          <w:p>
            <w:pPr>
              <w:spacing w:after="20"/>
            </w:pPr>
            <w:r>
              <w:rPr>
                <w:b/>
                <w:sz w:val="18"/>
              </w:rPr>
              <w:t>Decide y controla</w:t>
            </w:r>
          </w:p>
        </w:tc>
        <w:tc>
          <w:tcPr>
            <w:tcW w:type="dxa" w:w="7020"/>
          </w:tcPr>
          <w:p>
            <w:pPr>
              <w:spacing w:after="20"/>
            </w:pPr>
            <w:r>
              <w:rPr>
                <w:b w:val="0"/>
                <w:sz w:val="18"/>
              </w:rPr>
              <w:t>Director Administrativo, Jefe de Farmacovigilancia</w:t>
            </w:r>
          </w:p>
        </w:tc>
      </w:tr>
      <w:tr>
        <w:tc>
          <w:tcPr>
            <w:tcW w:type="dxa" w:w="2340"/>
          </w:tcPr>
          <w:p>
            <w:pPr>
              <w:spacing w:after="20"/>
            </w:pPr>
            <w:r>
              <w:rPr>
                <w:b/>
                <w:sz w:val="18"/>
              </w:rPr>
              <w:t>Insumo</w:t>
            </w:r>
          </w:p>
        </w:tc>
        <w:tc>
          <w:tcPr>
            <w:tcW w:type="dxa" w:w="7020"/>
          </w:tcPr>
          <w:p>
            <w:pPr>
              <w:spacing w:after="20"/>
            </w:pPr>
            <w:r>
              <w:rPr>
                <w:b w:val="0"/>
                <w:sz w:val="18"/>
              </w:rPr>
              <w:t>Proveedor de MAC</w:t>
            </w:r>
          </w:p>
        </w:tc>
      </w:tr>
      <w:tr>
        <w:tc>
          <w:tcPr>
            <w:tcW w:type="dxa" w:w="2340"/>
          </w:tcPr>
          <w:p>
            <w:pPr>
              <w:spacing w:after="20"/>
            </w:pPr>
            <w:r>
              <w:rPr>
                <w:b/>
                <w:sz w:val="18"/>
              </w:rPr>
              <w:t>Audita</w:t>
            </w:r>
          </w:p>
        </w:tc>
        <w:tc>
          <w:tcPr>
            <w:tcW w:type="dxa" w:w="7020"/>
          </w:tcPr>
          <w:p>
            <w:pPr>
              <w:spacing w:after="20"/>
            </w:pPr>
            <w:r>
              <w:rPr>
                <w:b w:val="0"/>
                <w:sz w:val="18"/>
              </w:rPr>
              <w:t>Contraloría General de Cuentas</w:t>
            </w:r>
          </w:p>
        </w:tc>
      </w:tr>
      <w:tr>
        <w:tc>
          <w:tcPr>
            <w:tcW w:type="dxa" w:w="2340"/>
          </w:tcPr>
          <w:p>
            <w:pPr>
              <w:spacing w:after="20"/>
            </w:pPr>
            <w:r>
              <w:rPr>
                <w:b/>
                <w:sz w:val="18"/>
              </w:rPr>
              <w:t>Agente</w:t>
            </w:r>
          </w:p>
        </w:tc>
        <w:tc>
          <w:tcPr>
            <w:tcW w:type="dxa" w:w="7020"/>
          </w:tcPr>
          <w:p>
            <w:pPr>
              <w:spacing w:after="20"/>
            </w:pPr>
            <w:r>
              <w:rPr>
                <w:b w:val="0"/>
                <w:sz w:val="18"/>
              </w:rPr>
              <w:t>Sensores IoT de cámaras (cada 5 min)</w:t>
            </w:r>
          </w:p>
        </w:tc>
      </w:tr>
      <w:tr>
        <w:tc>
          <w:tcPr>
            <w:tcW w:type="dxa" w:w="2340"/>
          </w:tcPr>
          <w:p>
            <w:pPr>
              <w:spacing w:after="20"/>
            </w:pPr>
            <w:r>
              <w:rPr>
                <w:b/>
                <w:sz w:val="18"/>
              </w:rPr>
              <w:t>Sistemas externos</w:t>
            </w:r>
          </w:p>
        </w:tc>
        <w:tc>
          <w:tcPr>
            <w:tcW w:type="dxa" w:w="7020"/>
          </w:tcPr>
          <w:p>
            <w:pPr>
              <w:spacing w:after="20"/>
            </w:pPr>
            <w:r>
              <w:rPr>
                <w:b w:val="0"/>
                <w:sz w:val="18"/>
              </w:rPr>
              <w:t>Legacy de admisiones (COBOL/SOAP, 7-17 h), Directorio activo LDAP, Sistema nacional de farmacovigilancia (XML/DTD, 8-16 h), Pasarela SMS/WhatsApp</w:t>
            </w:r>
          </w:p>
        </w:tc>
      </w:tr>
      <w:tr>
        <w:tc>
          <w:tcPr>
            <w:tcW w:type="dxa" w:w="2340"/>
          </w:tcPr>
          <w:p>
            <w:pPr>
              <w:spacing w:after="20"/>
            </w:pPr>
            <w:r>
              <w:rPr>
                <w:b/>
                <w:sz w:val="18"/>
              </w:rPr>
              <w:t>Opera</w:t>
            </w:r>
          </w:p>
        </w:tc>
        <w:tc>
          <w:tcPr>
            <w:tcW w:type="dxa" w:w="7020"/>
          </w:tcPr>
          <w:p>
            <w:pPr>
              <w:spacing w:after="20"/>
            </w:pPr>
            <w:r>
              <w:rPr>
                <w:b w:val="0"/>
                <w:sz w:val="18"/>
              </w:rPr>
              <w:t>Operaciones de TI / data center</w:t>
            </w:r>
          </w:p>
        </w:tc>
      </w:tr>
    </w:tbl>
    <w:p>
      <w:pPr>
        <w:spacing w:after="40"/>
      </w:pPr>
    </w:p>
    <w:p>
      <w:pPr>
        <w:pStyle w:val="Heading2"/>
      </w:pPr>
      <w:r>
        <w:rPr>
          <w:color w:val="000000"/>
        </w:rPr>
      </w:r>
      <w:r>
        <w:rPr>
          <w:b/>
          <w:color w:val="000000"/>
        </w:rPr>
        <w:t>2.2 Diagrama de CDU de alto nivel (core del negocio)</w:t>
      </w:r>
    </w:p>
    <w:p>
      <w:pPr>
        <w:spacing w:after="120"/>
      </w:pPr>
      <w:r>
        <w:rPr>
          <w:b/>
          <w:sz w:val="21"/>
        </w:rPr>
        <w:t>La única elipse:</w:t>
      </w:r>
      <w:r>
        <w:rPr>
          <w:b w:val="0"/>
          <w:sz w:val="21"/>
        </w:rPr>
        <w:t xml:space="preserve"> Gestión del Ciclo de Vida del Medicamento de Alto Costo (MAC) — el negocio completo, con el nombre de la frontera declarada en §0. El core </w:t>
      </w:r>
      <w:r>
        <w:rPr>
          <w:b/>
          <w:sz w:val="21"/>
        </w:rPr>
        <w:t>no lista procesos</w:t>
      </w:r>
      <w:r>
        <w:rPr>
          <w:b w:val="0"/>
          <w:sz w:val="21"/>
        </w:rPr>
        <w:t>: es el negocio visto como una sola cosa; abrirlo en procesos es trabajo de la primera descomposición (§2.3).</w:t>
      </w:r>
    </w:p>
    <w:p>
      <w:pPr>
        <w:pStyle w:val="Heading3"/>
      </w:pPr>
      <w:r>
        <w:rPr>
          <w:color w:val="000000"/>
        </w:rPr>
      </w:r>
      <w:r>
        <w:rPr>
          <w:b/>
          <w:color w:val="000000"/>
        </w:rPr>
        <w:t>Quién es actor y quién no — la decisión, defendida</w:t>
      </w:r>
    </w:p>
    <w:tbl>
      <w:tblPr>
        <w:tblStyle w:val="TableGrid"/>
        <w:jc w:val="center"/>
        <w:tblLayout w:type="fixed"/>
        <w:tblLook w:firstColumn="1" w:firstRow="1" w:lastColumn="0" w:lastRow="0" w:noHBand="0" w:noVBand="1" w:val="04A0"/>
        <w:tblW w:type="dxa" w:w="9360"/>
      </w:tblPr>
      <w:tblGrid>
        <w:gridCol w:w="2808"/>
        <w:gridCol w:w="6552"/>
      </w:tblGrid>
      <w:tr>
        <w:trPr>
          <w:tblHeader w:val="true"/>
        </w:trPr>
        <w:tc>
          <w:tcPr>
            <w:tcW w:type="dxa" w:w="2808"/>
            <w:shd w:val="clear" w:color="auto" w:fill="EDEFF2"/>
          </w:tcPr>
          <w:p>
            <w:pPr>
              <w:keepNext w:val="0"/>
              <w:spacing w:after="20"/>
            </w:pPr>
            <w:r>
              <w:rPr>
                <w:b/>
                <w:sz w:val="18"/>
              </w:rPr>
              <w:t>Actor del core</w:t>
            </w:r>
          </w:p>
        </w:tc>
        <w:tc>
          <w:tcPr>
            <w:tcW w:type="dxa" w:w="6552"/>
            <w:shd w:val="clear" w:color="auto" w:fill="EDEFF2"/>
          </w:tcPr>
          <w:p>
            <w:pPr>
              <w:keepNext w:val="0"/>
              <w:spacing w:after="20"/>
            </w:pPr>
            <w:r>
              <w:rPr>
                <w:b/>
                <w:sz w:val="18"/>
              </w:rPr>
              <w:t>Por qué está fuera del campo de acción</w:t>
            </w:r>
          </w:p>
        </w:tc>
      </w:tr>
      <w:tr>
        <w:tc>
          <w:tcPr>
            <w:tcW w:type="dxa" w:w="2808"/>
          </w:tcPr>
          <w:p>
            <w:pPr>
              <w:spacing w:after="20"/>
            </w:pPr>
            <w:r>
              <w:rPr>
                <w:b/>
                <w:sz w:val="18"/>
              </w:rPr>
              <w:t>Paciente</w:t>
            </w:r>
          </w:p>
        </w:tc>
        <w:tc>
          <w:tcPr>
            <w:tcW w:type="dxa" w:w="6552"/>
          </w:tcPr>
          <w:p>
            <w:pPr>
              <w:spacing w:after="20"/>
            </w:pPr>
            <w:r>
              <w:rPr>
                <w:b w:val="0"/>
                <w:sz w:val="18"/>
              </w:rPr>
              <w:t>Recibe el resultado de valor del negocio; no ejecuta ninguna etapa</w:t>
            </w:r>
          </w:p>
        </w:tc>
      </w:tr>
      <w:tr>
        <w:tc>
          <w:tcPr>
            <w:tcW w:type="dxa" w:w="2808"/>
          </w:tcPr>
          <w:p>
            <w:pPr>
              <w:spacing w:after="20"/>
            </w:pPr>
            <w:r>
              <w:rPr>
                <w:b/>
                <w:sz w:val="18"/>
              </w:rPr>
              <w:t>Proveedor de MAC</w:t>
            </w:r>
          </w:p>
        </w:tc>
        <w:tc>
          <w:tcPr>
            <w:tcW w:type="dxa" w:w="6552"/>
          </w:tcPr>
          <w:p>
            <w:pPr>
              <w:spacing w:after="20"/>
            </w:pPr>
            <w:r>
              <w:rPr>
                <w:b w:val="0"/>
                <w:sz w:val="18"/>
              </w:rPr>
              <w:t>Entrega los lotes desde afuera; con él arranca la trazabilidad</w:t>
            </w:r>
          </w:p>
        </w:tc>
      </w:tr>
      <w:tr>
        <w:tc>
          <w:tcPr>
            <w:tcW w:type="dxa" w:w="2808"/>
          </w:tcPr>
          <w:p>
            <w:pPr>
              <w:spacing w:after="20"/>
            </w:pPr>
            <w:r>
              <w:rPr>
                <w:b/>
                <w:sz w:val="18"/>
              </w:rPr>
              <w:t>MSPAS</w:t>
            </w:r>
          </w:p>
        </w:tc>
        <w:tc>
          <w:tcPr>
            <w:tcW w:type="dxa" w:w="6552"/>
          </w:tcPr>
          <w:p>
            <w:pPr>
              <w:spacing w:after="20"/>
            </w:pPr>
            <w:r>
              <w:rPr>
                <w:b w:val="0"/>
                <w:sz w:val="18"/>
              </w:rPr>
              <w:t>Regulador externo; recibe los reportes de farmacovigilancia (su sistema nacional es su canal)</w:t>
            </w:r>
          </w:p>
        </w:tc>
      </w:tr>
      <w:tr>
        <w:tc>
          <w:tcPr>
            <w:tcW w:type="dxa" w:w="2808"/>
          </w:tcPr>
          <w:p>
            <w:pPr>
              <w:spacing w:after="20"/>
            </w:pPr>
            <w:r>
              <w:rPr>
                <w:b/>
                <w:sz w:val="18"/>
              </w:rPr>
              <w:t>Contraloría General de Cuentas</w:t>
            </w:r>
          </w:p>
        </w:tc>
        <w:tc>
          <w:tcPr>
            <w:tcW w:type="dxa" w:w="6552"/>
          </w:tcPr>
          <w:p>
            <w:pPr>
              <w:spacing w:after="20"/>
            </w:pPr>
            <w:r>
              <w:rPr>
                <w:b w:val="0"/>
                <w:sz w:val="18"/>
              </w:rPr>
              <w:t>Auditor externo; exige el informe forense</w:t>
            </w:r>
          </w:p>
        </w:tc>
      </w:tr>
      <w:tr>
        <w:tc>
          <w:tcPr>
            <w:tcW w:type="dxa" w:w="2808"/>
          </w:tcPr>
          <w:p>
            <w:pPr>
              <w:spacing w:after="20"/>
            </w:pPr>
            <w:r>
              <w:rPr>
                <w:b/>
                <w:sz w:val="18"/>
              </w:rPr>
              <w:t>Sistema legacy de admisiones</w:t>
            </w:r>
          </w:p>
        </w:tc>
        <w:tc>
          <w:tcPr>
            <w:tcW w:type="dxa" w:w="6552"/>
          </w:tcPr>
          <w:p>
            <w:pPr>
              <w:spacing w:after="20"/>
            </w:pPr>
            <w:r>
              <w:rPr>
                <w:b w:val="0"/>
                <w:sz w:val="18"/>
              </w:rPr>
              <w:t>Sistema externo al ciclo del MAC; provee la identidad del paciente</w:t>
            </w:r>
          </w:p>
        </w:tc>
      </w:tr>
    </w:tbl>
    <w:p>
      <w:pPr>
        <w:spacing w:after="40"/>
      </w:pPr>
    </w:p>
    <w:p>
      <w:pPr>
        <w:spacing w:after="120"/>
      </w:pPr>
      <w:r>
        <w:rPr>
          <w:b/>
          <w:sz w:val="21"/>
        </w:rPr>
        <w:t>Quién NO se dibuja, y por qué</w:t>
      </w:r>
      <w:r>
        <w:rPr>
          <w:b w:val="0"/>
          <w:sz w:val="21"/>
        </w:rPr>
        <w:t xml:space="preserve"> (esto vale tantos puntos como el dibujo):</w:t>
      </w:r>
    </w:p>
    <w:tbl>
      <w:tblPr>
        <w:tblStyle w:val="TableGrid"/>
        <w:jc w:val="center"/>
        <w:tblLayout w:type="fixed"/>
        <w:tblLook w:firstColumn="1" w:firstRow="1" w:lastColumn="0" w:lastRow="0" w:noHBand="0" w:noVBand="1" w:val="04A0"/>
        <w:tblW w:type="dxa" w:w="9360"/>
      </w:tblPr>
      <w:tblGrid>
        <w:gridCol w:w="3089"/>
        <w:gridCol w:w="6271"/>
      </w:tblGrid>
      <w:tr>
        <w:trPr>
          <w:tblHeader w:val="true"/>
        </w:trPr>
        <w:tc>
          <w:tcPr>
            <w:tcW w:type="dxa" w:w="3089"/>
            <w:shd w:val="clear" w:color="auto" w:fill="EDEFF2"/>
          </w:tcPr>
          <w:p>
            <w:pPr>
              <w:keepNext w:val="0"/>
              <w:spacing w:after="20"/>
            </w:pPr>
            <w:r>
              <w:rPr>
                <w:b/>
                <w:sz w:val="18"/>
              </w:rPr>
              <w:t>Excluido</w:t>
            </w:r>
          </w:p>
        </w:tc>
        <w:tc>
          <w:tcPr>
            <w:tcW w:type="dxa" w:w="6271"/>
            <w:shd w:val="clear" w:color="auto" w:fill="EDEFF2"/>
          </w:tcPr>
          <w:p>
            <w:pPr>
              <w:keepNext w:val="0"/>
              <w:spacing w:after="20"/>
            </w:pPr>
            <w:r>
              <w:rPr>
                <w:b/>
                <w:sz w:val="18"/>
              </w:rPr>
              <w:t>Razón</w:t>
            </w:r>
          </w:p>
        </w:tc>
      </w:tr>
      <w:tr>
        <w:tc>
          <w:tcPr>
            <w:tcW w:type="dxa" w:w="3089"/>
          </w:tcPr>
          <w:p>
            <w:pPr>
              <w:spacing w:after="20"/>
            </w:pPr>
            <w:r>
              <w:rPr>
                <w:b w:val="0"/>
                <w:sz w:val="18"/>
              </w:rPr>
              <w:t>Médico, farmacéutico, enfermero, director, jefe de farmacovigilancia</w:t>
            </w:r>
          </w:p>
        </w:tc>
        <w:tc>
          <w:tcPr>
            <w:tcW w:type="dxa" w:w="6271"/>
          </w:tcPr>
          <w:p>
            <w:pPr>
              <w:spacing w:after="20"/>
            </w:pPr>
            <w:r>
              <w:rPr>
                <w:b/>
                <w:sz w:val="18"/>
              </w:rPr>
              <w:t>Trabajadores del negocio</w:t>
            </w:r>
            <w:r>
              <w:rPr>
                <w:b w:val="0"/>
                <w:sz w:val="18"/>
              </w:rPr>
              <w:t>: ejecutan las 6 etapas desde adentro de la frontera (§0). Van en las realizaciones, no como actores</w:t>
            </w:r>
          </w:p>
        </w:tc>
      </w:tr>
      <w:tr>
        <w:tc>
          <w:tcPr>
            <w:tcW w:type="dxa" w:w="3089"/>
          </w:tcPr>
          <w:p>
            <w:pPr>
              <w:spacing w:after="20"/>
            </w:pPr>
            <w:r>
              <w:rPr>
                <w:b w:val="0"/>
                <w:sz w:val="18"/>
              </w:rPr>
              <w:t>Sensores IoT</w:t>
            </w:r>
          </w:p>
        </w:tc>
        <w:tc>
          <w:tcPr>
            <w:tcW w:type="dxa" w:w="6271"/>
          </w:tcPr>
          <w:p>
            <w:pPr>
              <w:spacing w:after="20"/>
            </w:pPr>
            <w:r>
              <w:rPr>
                <w:b w:val="0"/>
                <w:sz w:val="18"/>
              </w:rPr>
              <w:t xml:space="preserve">Equipamiento </w:t>
            </w:r>
            <w:r>
              <w:rPr>
                <w:b/>
                <w:sz w:val="18"/>
              </w:rPr>
              <w:t>del proceso de almacenamiento</w:t>
            </w:r>
            <w:r>
              <w:rPr>
                <w:b w:val="0"/>
                <w:sz w:val="18"/>
              </w:rPr>
              <w:t>: herramienta interna del negocio, no un tercero que interactúe con él</w:t>
            </w:r>
          </w:p>
        </w:tc>
      </w:tr>
      <w:tr>
        <w:tc>
          <w:tcPr>
            <w:tcW w:type="dxa" w:w="3089"/>
          </w:tcPr>
          <w:p>
            <w:pPr>
              <w:spacing w:after="20"/>
            </w:pPr>
            <w:r>
              <w:rPr>
                <w:b w:val="0"/>
                <w:sz w:val="18"/>
              </w:rPr>
              <w:t>LDAP y pasarela SMS/WhatsApp</w:t>
            </w:r>
          </w:p>
        </w:tc>
        <w:tc>
          <w:tcPr>
            <w:tcW w:type="dxa" w:w="6271"/>
          </w:tcPr>
          <w:p>
            <w:pPr>
              <w:spacing w:after="20"/>
            </w:pPr>
            <w:r>
              <w:rPr>
                <w:b w:val="0"/>
                <w:sz w:val="18"/>
              </w:rPr>
              <w:t xml:space="preserve">Infraestructura </w:t>
            </w:r>
            <w:r>
              <w:rPr>
                <w:b/>
                <w:sz w:val="18"/>
              </w:rPr>
              <w:t>del software</w:t>
            </w:r>
            <w:r>
              <w:rPr>
                <w:b w:val="0"/>
                <w:sz w:val="18"/>
              </w:rPr>
              <w:t>, no del negocio: aparecen en el contexto (plano del sistema), no acá</w:t>
            </w:r>
          </w:p>
        </w:tc>
      </w:tr>
      <w:tr>
        <w:tc>
          <w:tcPr>
            <w:tcW w:type="dxa" w:w="3089"/>
          </w:tcPr>
          <w:p>
            <w:pPr>
              <w:spacing w:after="20"/>
            </w:pPr>
            <w:r>
              <w:rPr>
                <w:b w:val="0"/>
                <w:sz w:val="18"/>
              </w:rPr>
              <w:t>Junta Directiva y consultora externa</w:t>
            </w:r>
          </w:p>
        </w:tc>
        <w:tc>
          <w:tcPr>
            <w:tcW w:type="dxa" w:w="6271"/>
          </w:tcPr>
          <w:p>
            <w:pPr>
              <w:spacing w:after="20"/>
            </w:pPr>
            <w:r>
              <w:rPr>
                <w:b w:val="0"/>
                <w:sz w:val="18"/>
              </w:rPr>
              <w:t>Stakeholders que no interactúan con el negocio en operación</w:t>
            </w:r>
          </w:p>
        </w:tc>
      </w:tr>
    </w:tbl>
    <w:p>
      <w:pPr>
        <w:spacing w:after="40"/>
      </w:pPr>
    </w:p>
    <w:p>
      <w:pPr>
        <w:spacing w:after="60"/>
        <w:ind w:left="432"/>
      </w:pPr>
      <w:r>
        <w:rPr>
          <w:b/>
          <w:sz w:val="20"/>
        </w:rPr>
        <w:t>El contraste con el diagrama de contexto (§2.1) es deliberado</w:t>
      </w:r>
    </w:p>
    <w:p>
      <w:pPr>
        <w:spacing w:after="200"/>
        <w:ind w:left="432"/>
      </w:pPr>
      <w:r>
        <w:rPr>
          <w:b w:val="0"/>
          <w:sz w:val="19"/>
        </w:rPr>
        <w:t xml:space="preserve">En el contexto el enfermero y los sensores </w:t>
      </w:r>
      <w:r>
        <w:rPr>
          <w:b/>
          <w:sz w:val="19"/>
        </w:rPr>
        <w:t>sí</w:t>
      </w:r>
      <w:r>
        <w:rPr>
          <w:b w:val="0"/>
          <w:sz w:val="19"/>
        </w:rPr>
        <w:t xml:space="preserve"> aparecen, porque el límite ahí es el software. Acá el límite es el negocio, y quienes lo ejecutan por dentro desaparecen del dibujo. Son dos planos distintos con dos fronteras distintas.</w:t>
      </w:r>
    </w:p>
    <w:p>
      <w:pPr>
        <w:jc w:val="center"/>
      </w:pPr>
      <w:r>
        <w:drawing>
          <wp:inline xmlns:a="http://schemas.openxmlformats.org/drawingml/2006/main" xmlns:pic="http://schemas.openxmlformats.org/drawingml/2006/picture">
            <wp:extent cx="5486400" cy="3528964"/>
            <wp:docPr id="2" name="Picture 2"/>
            <wp:cNvGraphicFramePr>
              <a:graphicFrameLocks noChangeAspect="1"/>
            </wp:cNvGraphicFramePr>
            <a:graphic>
              <a:graphicData uri="http://schemas.openxmlformats.org/drawingml/2006/picture">
                <pic:pic>
                  <pic:nvPicPr>
                    <pic:cNvPr id="0" name="cdu-core-farmahosp.png"/>
                    <pic:cNvPicPr/>
                  </pic:nvPicPr>
                  <pic:blipFill>
                    <a:blip r:embed="rId10"/>
                    <a:stretch>
                      <a:fillRect/>
                    </a:stretch>
                  </pic:blipFill>
                  <pic:spPr>
                    <a:xfrm>
                      <a:off x="0" y="0"/>
                      <a:ext cx="5486400" cy="3528964"/>
                    </a:xfrm>
                    <a:prstGeom prst="rect"/>
                  </pic:spPr>
                </pic:pic>
              </a:graphicData>
            </a:graphic>
          </wp:inline>
        </w:drawing>
      </w:r>
    </w:p>
    <w:p>
      <w:pPr>
        <w:jc w:val="center"/>
      </w:pPr>
      <w:r>
        <w:rPr>
          <w:b w:val="0"/>
          <w:i/>
          <w:color w:val="555555"/>
          <w:sz w:val="18"/>
        </w:rPr>
        <w:t>Core del negocio — una sola elipse, los cinco actores alrededor, notación de negocio (barras diagonales) y líneas sin punta.</w:t>
      </w:r>
    </w:p>
    <w:p>
      <w:pPr>
        <w:pStyle w:val="Heading2"/>
      </w:pPr>
      <w:r>
        <w:rPr>
          <w:color w:val="000000"/>
        </w:rPr>
      </w:r>
      <w:r>
        <w:rPr>
          <w:b/>
          <w:color w:val="000000"/>
        </w:rPr>
        <w:t>2.3 Primera descomposición — los procesos del negocio</w:t>
      </w:r>
    </w:p>
    <w:p>
      <w:pPr>
        <w:spacing w:after="120"/>
      </w:pPr>
      <w:r>
        <w:rPr>
          <w:b w:val="0"/>
          <w:sz w:val="21"/>
        </w:rPr>
        <w:t xml:space="preserve">La única elipse del core (§2.2) se abre en </w:t>
      </w:r>
      <w:r>
        <w:rPr>
          <w:b/>
          <w:sz w:val="21"/>
        </w:rPr>
        <w:t>los procesos que la realizan</w:t>
      </w:r>
      <w:r>
        <w:rPr>
          <w:b w:val="0"/>
          <w:sz w:val="21"/>
        </w:rPr>
        <w:t xml:space="preserve">: </w:t>
      </w:r>
      <w:r>
        <w:rPr>
          <w:b/>
          <w:sz w:val="21"/>
        </w:rPr>
        <w:t>un solo diagrama</w:t>
      </w:r>
      <w:r>
        <w:rPr>
          <w:b w:val="0"/>
          <w:sz w:val="21"/>
        </w:rPr>
        <w:t xml:space="preserve">, los CUN en columna al centro y </w:t>
      </w:r>
      <w:r>
        <w:rPr>
          <w:b/>
          <w:sz w:val="21"/>
        </w:rPr>
        <w:t>el mismo juego de actores del core</w:t>
      </w:r>
      <w:r>
        <w:rPr>
          <w:b w:val="0"/>
          <w:sz w:val="21"/>
        </w:rPr>
        <w:t xml:space="preserve"> a los lados — el molde de la Tienda Electrónica y la Fábrica de Materiales.</w:t>
      </w:r>
    </w:p>
    <w:p>
      <w:pPr>
        <w:pStyle w:val="Heading3"/>
      </w:pPr>
      <w:r>
        <w:rPr>
          <w:color w:val="000000"/>
        </w:rPr>
      </w:r>
      <w:r>
        <w:rPr>
          <w:b/>
          <w:color w:val="000000"/>
        </w:rPr>
        <w:t>Los procesos, con su clasificación (criterio de la nota técnica)</w:t>
      </w:r>
    </w:p>
    <w:p>
      <w:pPr>
        <w:spacing w:after="120"/>
      </w:pPr>
      <w:r>
        <w:rPr>
          <w:b w:val="0"/>
          <w:sz w:val="21"/>
        </w:rPr>
        <w:t xml:space="preserve">Los seis primeros son </w:t>
      </w:r>
      <w:r>
        <w:rPr>
          <w:b/>
          <w:sz w:val="21"/>
        </w:rPr>
        <w:t>las 6 etapas del ciclo de vida que el enunciado fija textualmente</w:t>
      </w:r>
      <w:r>
        <w:rPr>
          <w:b w:val="0"/>
          <w:sz w:val="21"/>
        </w:rPr>
        <w:t xml:space="preserve"> — por eso son seis y no los 3-5 del patrón observado en clase: el número lo dicta el enunciado, no el patrón. El séptimo cubre la categoría </w:t>
      </w:r>
      <w:r>
        <w:rPr>
          <w:b/>
          <w:sz w:val="21"/>
        </w:rPr>
        <w:t>gerencial</w:t>
      </w:r>
      <w:r>
        <w:rPr>
          <w:b w:val="0"/>
          <w:sz w:val="21"/>
        </w:rPr>
        <w:t xml:space="preserve"> de la NT, que las etapas no traen y el enunciado exige a gritos (el tablero del Director, la auditoría de la Contraloría).</w:t>
      </w:r>
    </w:p>
    <w:tbl>
      <w:tblPr>
        <w:tblStyle w:val="TableGrid"/>
        <w:jc w:val="center"/>
        <w:tblLayout w:type="fixed"/>
        <w:tblLook w:firstColumn="1" w:firstRow="1" w:lastColumn="0" w:lastRow="0" w:noHBand="0" w:noVBand="1" w:val="04A0"/>
        <w:tblW w:type="dxa" w:w="9360"/>
      </w:tblPr>
      <w:tblGrid>
        <w:gridCol w:w="842"/>
        <w:gridCol w:w="2808"/>
        <w:gridCol w:w="1217"/>
        <w:gridCol w:w="4493"/>
      </w:tblGrid>
      <w:tr>
        <w:trPr>
          <w:tblHeader w:val="true"/>
        </w:trPr>
        <w:tc>
          <w:tcPr>
            <w:tcW w:type="dxa" w:w="842"/>
            <w:shd w:val="clear" w:color="auto" w:fill="EDEFF2"/>
          </w:tcPr>
          <w:p>
            <w:pPr>
              <w:keepNext w:val="0"/>
              <w:spacing w:after="20"/>
            </w:pPr>
            <w:r>
              <w:rPr>
                <w:b/>
                <w:sz w:val="18"/>
              </w:rPr>
              <w:t>ID</w:t>
            </w:r>
          </w:p>
        </w:tc>
        <w:tc>
          <w:tcPr>
            <w:tcW w:type="dxa" w:w="2808"/>
            <w:shd w:val="clear" w:color="auto" w:fill="EDEFF2"/>
          </w:tcPr>
          <w:p>
            <w:pPr>
              <w:keepNext w:val="0"/>
              <w:spacing w:after="20"/>
            </w:pPr>
            <w:r>
              <w:rPr>
                <w:b/>
                <w:sz w:val="18"/>
              </w:rPr>
              <w:t>Proceso de negocio</w:t>
            </w:r>
          </w:p>
        </w:tc>
        <w:tc>
          <w:tcPr>
            <w:tcW w:type="dxa" w:w="1217"/>
            <w:shd w:val="clear" w:color="auto" w:fill="EDEFF2"/>
          </w:tcPr>
          <w:p>
            <w:pPr>
              <w:keepNext w:val="0"/>
              <w:spacing w:after="20"/>
            </w:pPr>
            <w:r>
              <w:rPr>
                <w:b/>
                <w:sz w:val="18"/>
              </w:rPr>
              <w:t>Categoría</w:t>
            </w:r>
          </w:p>
        </w:tc>
        <w:tc>
          <w:tcPr>
            <w:tcW w:type="dxa" w:w="4493"/>
            <w:shd w:val="clear" w:color="auto" w:fill="EDEFF2"/>
          </w:tcPr>
          <w:p>
            <w:pPr>
              <w:keepNext w:val="0"/>
              <w:spacing w:after="20"/>
            </w:pPr>
            <w:r>
              <w:rPr>
                <w:b/>
                <w:sz w:val="18"/>
              </w:rPr>
              <w:t>¿Por qué esa categoría?</w:t>
            </w:r>
          </w:p>
        </w:tc>
      </w:tr>
      <w:tr>
        <w:tc>
          <w:tcPr>
            <w:tcW w:type="dxa" w:w="842"/>
          </w:tcPr>
          <w:p>
            <w:pPr>
              <w:spacing w:after="20"/>
            </w:pPr>
            <w:r>
              <w:rPr>
                <w:b w:val="0"/>
                <w:sz w:val="18"/>
              </w:rPr>
              <w:t>CDU-01</w:t>
            </w:r>
          </w:p>
        </w:tc>
        <w:tc>
          <w:tcPr>
            <w:tcW w:type="dxa" w:w="2808"/>
          </w:tcPr>
          <w:p>
            <w:pPr>
              <w:spacing w:after="20"/>
            </w:pPr>
            <w:r>
              <w:rPr>
                <w:b w:val="0"/>
                <w:sz w:val="18"/>
              </w:rPr>
              <w:t>Adquisición de MAC</w:t>
            </w:r>
          </w:p>
        </w:tc>
        <w:tc>
          <w:tcPr>
            <w:tcW w:type="dxa" w:w="1217"/>
          </w:tcPr>
          <w:p>
            <w:pPr>
              <w:spacing w:after="20"/>
            </w:pPr>
            <w:r>
              <w:rPr>
                <w:b/>
                <w:sz w:val="18"/>
              </w:rPr>
              <w:t>soporte</w:t>
            </w:r>
          </w:p>
        </w:tc>
        <w:tc>
          <w:tcPr>
            <w:tcW w:type="dxa" w:w="4493"/>
          </w:tcPr>
          <w:p>
            <w:pPr>
              <w:spacing w:after="20"/>
            </w:pPr>
            <w:r>
              <w:rPr>
                <w:b w:val="0"/>
                <w:sz w:val="18"/>
              </w:rPr>
              <w:t>No beneficia al paciente directamente: abastece al núcleo</w:t>
            </w:r>
          </w:p>
        </w:tc>
      </w:tr>
      <w:tr>
        <w:tc>
          <w:tcPr>
            <w:tcW w:type="dxa" w:w="842"/>
          </w:tcPr>
          <w:p>
            <w:pPr>
              <w:spacing w:after="20"/>
            </w:pPr>
            <w:r>
              <w:rPr>
                <w:b w:val="0"/>
                <w:sz w:val="18"/>
              </w:rPr>
              <w:t>CDU-02</w:t>
            </w:r>
          </w:p>
        </w:tc>
        <w:tc>
          <w:tcPr>
            <w:tcW w:type="dxa" w:w="2808"/>
          </w:tcPr>
          <w:p>
            <w:pPr>
              <w:spacing w:after="20"/>
            </w:pPr>
            <w:r>
              <w:rPr>
                <w:b w:val="0"/>
                <w:sz w:val="18"/>
              </w:rPr>
              <w:t>Almacenamiento y conservación de MAC</w:t>
            </w:r>
          </w:p>
        </w:tc>
        <w:tc>
          <w:tcPr>
            <w:tcW w:type="dxa" w:w="1217"/>
          </w:tcPr>
          <w:p>
            <w:pPr>
              <w:spacing w:after="20"/>
            </w:pPr>
            <w:r>
              <w:rPr>
                <w:b/>
                <w:sz w:val="18"/>
              </w:rPr>
              <w:t>soporte</w:t>
            </w:r>
          </w:p>
        </w:tc>
        <w:tc>
          <w:tcPr>
            <w:tcW w:type="dxa" w:w="4493"/>
          </w:tcPr>
          <w:p>
            <w:pPr>
              <w:spacing w:after="20"/>
            </w:pPr>
            <w:r>
              <w:rPr>
                <w:b w:val="0"/>
                <w:sz w:val="18"/>
              </w:rPr>
              <w:t>Sostiene al núcleo (cadena de frío, inventario); el paciente no lo ve</w:t>
            </w:r>
          </w:p>
        </w:tc>
      </w:tr>
      <w:tr>
        <w:tc>
          <w:tcPr>
            <w:tcW w:type="dxa" w:w="842"/>
          </w:tcPr>
          <w:p>
            <w:pPr>
              <w:spacing w:after="20"/>
            </w:pPr>
            <w:r>
              <w:rPr>
                <w:b w:val="0"/>
                <w:sz w:val="18"/>
              </w:rPr>
              <w:t>CDU-03</w:t>
            </w:r>
          </w:p>
        </w:tc>
        <w:tc>
          <w:tcPr>
            <w:tcW w:type="dxa" w:w="2808"/>
          </w:tcPr>
          <w:p>
            <w:pPr>
              <w:spacing w:after="20"/>
            </w:pPr>
            <w:r>
              <w:rPr>
                <w:b w:val="0"/>
                <w:sz w:val="18"/>
              </w:rPr>
              <w:t>Prescripción del tratamiento</w:t>
            </w:r>
          </w:p>
        </w:tc>
        <w:tc>
          <w:tcPr>
            <w:tcW w:type="dxa" w:w="1217"/>
          </w:tcPr>
          <w:p>
            <w:pPr>
              <w:spacing w:after="20"/>
            </w:pPr>
            <w:r>
              <w:rPr>
                <w:b/>
                <w:sz w:val="18"/>
              </w:rPr>
              <w:t>núcleo</w:t>
            </w:r>
          </w:p>
        </w:tc>
        <w:tc>
          <w:tcPr>
            <w:tcW w:type="dxa" w:w="4493"/>
          </w:tcPr>
          <w:p>
            <w:pPr>
              <w:spacing w:after="20"/>
            </w:pPr>
            <w:r>
              <w:rPr>
                <w:b w:val="0"/>
                <w:sz w:val="18"/>
              </w:rPr>
              <w:t>Servicio que el cliente (paciente) recibe del negocio</w:t>
            </w:r>
          </w:p>
        </w:tc>
      </w:tr>
      <w:tr>
        <w:tc>
          <w:tcPr>
            <w:tcW w:type="dxa" w:w="842"/>
          </w:tcPr>
          <w:p>
            <w:pPr>
              <w:spacing w:after="20"/>
            </w:pPr>
            <w:r>
              <w:rPr>
                <w:b w:val="0"/>
                <w:sz w:val="18"/>
              </w:rPr>
              <w:t>CDU-04</w:t>
            </w:r>
          </w:p>
        </w:tc>
        <w:tc>
          <w:tcPr>
            <w:tcW w:type="dxa" w:w="2808"/>
          </w:tcPr>
          <w:p>
            <w:pPr>
              <w:spacing w:after="20"/>
            </w:pPr>
            <w:r>
              <w:rPr>
                <w:b w:val="0"/>
                <w:sz w:val="18"/>
              </w:rPr>
              <w:t>Dispensación del MAC</w:t>
            </w:r>
          </w:p>
        </w:tc>
        <w:tc>
          <w:tcPr>
            <w:tcW w:type="dxa" w:w="1217"/>
          </w:tcPr>
          <w:p>
            <w:pPr>
              <w:spacing w:after="20"/>
            </w:pPr>
            <w:r>
              <w:rPr>
                <w:b/>
                <w:sz w:val="18"/>
              </w:rPr>
              <w:t>núcleo</w:t>
            </w:r>
          </w:p>
        </w:tc>
        <w:tc>
          <w:tcPr>
            <w:tcW w:type="dxa" w:w="4493"/>
          </w:tcPr>
          <w:p>
            <w:pPr>
              <w:spacing w:after="20"/>
            </w:pPr>
            <w:r>
              <w:rPr>
                <w:b w:val="0"/>
                <w:sz w:val="18"/>
              </w:rPr>
              <w:t>Ídem: el lote se asigna nominalmente al paciente</w:t>
            </w:r>
          </w:p>
        </w:tc>
      </w:tr>
      <w:tr>
        <w:tc>
          <w:tcPr>
            <w:tcW w:type="dxa" w:w="842"/>
          </w:tcPr>
          <w:p>
            <w:pPr>
              <w:spacing w:after="20"/>
            </w:pPr>
            <w:r>
              <w:rPr>
                <w:b w:val="0"/>
                <w:sz w:val="18"/>
              </w:rPr>
              <w:t>CDU-05</w:t>
            </w:r>
          </w:p>
        </w:tc>
        <w:tc>
          <w:tcPr>
            <w:tcW w:type="dxa" w:w="2808"/>
          </w:tcPr>
          <w:p>
            <w:pPr>
              <w:spacing w:after="20"/>
            </w:pPr>
            <w:r>
              <w:rPr>
                <w:b w:val="0"/>
                <w:sz w:val="18"/>
              </w:rPr>
              <w:t>Administración del MAC al paciente</w:t>
            </w:r>
          </w:p>
        </w:tc>
        <w:tc>
          <w:tcPr>
            <w:tcW w:type="dxa" w:w="1217"/>
          </w:tcPr>
          <w:p>
            <w:pPr>
              <w:spacing w:after="20"/>
            </w:pPr>
            <w:r>
              <w:rPr>
                <w:b/>
                <w:sz w:val="18"/>
              </w:rPr>
              <w:t>núcleo</w:t>
            </w:r>
          </w:p>
        </w:tc>
        <w:tc>
          <w:tcPr>
            <w:tcW w:type="dxa" w:w="4493"/>
          </w:tcPr>
          <w:p>
            <w:pPr>
              <w:spacing w:after="20"/>
            </w:pPr>
            <w:r>
              <w:rPr>
                <w:b w:val="0"/>
                <w:sz w:val="18"/>
              </w:rPr>
              <w:t>El acto de valor central del ciclo</w:t>
            </w:r>
          </w:p>
        </w:tc>
      </w:tr>
      <w:tr>
        <w:tc>
          <w:tcPr>
            <w:tcW w:type="dxa" w:w="842"/>
          </w:tcPr>
          <w:p>
            <w:pPr>
              <w:spacing w:after="20"/>
            </w:pPr>
            <w:r>
              <w:rPr>
                <w:b w:val="0"/>
                <w:sz w:val="18"/>
              </w:rPr>
              <w:t>CDU-06</w:t>
            </w:r>
          </w:p>
        </w:tc>
        <w:tc>
          <w:tcPr>
            <w:tcW w:type="dxa" w:w="2808"/>
          </w:tcPr>
          <w:p>
            <w:pPr>
              <w:spacing w:after="20"/>
            </w:pPr>
            <w:r>
              <w:rPr>
                <w:b w:val="0"/>
                <w:sz w:val="18"/>
              </w:rPr>
              <w:t>Seguimiento y farmacovigilancia</w:t>
            </w:r>
          </w:p>
        </w:tc>
        <w:tc>
          <w:tcPr>
            <w:tcW w:type="dxa" w:w="1217"/>
          </w:tcPr>
          <w:p>
            <w:pPr>
              <w:spacing w:after="20"/>
            </w:pPr>
            <w:r>
              <w:rPr>
                <w:b/>
                <w:sz w:val="18"/>
              </w:rPr>
              <w:t>núcleo</w:t>
            </w:r>
          </w:p>
        </w:tc>
        <w:tc>
          <w:tcPr>
            <w:tcW w:type="dxa" w:w="4493"/>
          </w:tcPr>
          <w:p>
            <w:pPr>
              <w:spacing w:after="20"/>
            </w:pPr>
            <w:r>
              <w:rPr>
                <w:b w:val="0"/>
                <w:sz w:val="18"/>
              </w:rPr>
              <w:t>El paciente recibe el monitoreo posterior; cierra el ciclo</w:t>
            </w:r>
          </w:p>
        </w:tc>
      </w:tr>
      <w:tr>
        <w:tc>
          <w:tcPr>
            <w:tcW w:type="dxa" w:w="842"/>
          </w:tcPr>
          <w:p>
            <w:pPr>
              <w:spacing w:after="20"/>
            </w:pPr>
            <w:r>
              <w:rPr>
                <w:b w:val="0"/>
                <w:sz w:val="18"/>
              </w:rPr>
              <w:t>CDU-07</w:t>
            </w:r>
          </w:p>
        </w:tc>
        <w:tc>
          <w:tcPr>
            <w:tcW w:type="dxa" w:w="2808"/>
          </w:tcPr>
          <w:p>
            <w:pPr>
              <w:spacing w:after="20"/>
            </w:pPr>
            <w:r>
              <w:rPr>
                <w:b w:val="0"/>
                <w:sz w:val="18"/>
              </w:rPr>
              <w:t>Control y auditoría de la gestión de MAC</w:t>
            </w:r>
          </w:p>
        </w:tc>
        <w:tc>
          <w:tcPr>
            <w:tcW w:type="dxa" w:w="1217"/>
          </w:tcPr>
          <w:p>
            <w:pPr>
              <w:spacing w:after="20"/>
            </w:pPr>
            <w:r>
              <w:rPr>
                <w:b/>
                <w:sz w:val="18"/>
              </w:rPr>
              <w:t>gerencial</w:t>
            </w:r>
          </w:p>
        </w:tc>
        <w:tc>
          <w:tcPr>
            <w:tcW w:type="dxa" w:w="4493"/>
          </w:tcPr>
          <w:p>
            <w:pPr>
              <w:spacing w:after="20"/>
            </w:pPr>
            <w:r>
              <w:rPr>
                <w:b w:val="0"/>
                <w:sz w:val="18"/>
              </w:rPr>
              <w:t>Manejo del negocio en su conjunto: transparencia ante la Contraloría y tablero del Director</w:t>
            </w:r>
          </w:p>
        </w:tc>
      </w:tr>
    </w:tbl>
    <w:p>
      <w:pPr>
        <w:spacing w:after="40"/>
      </w:pPr>
    </w:p>
    <w:p>
      <w:pPr>
        <w:spacing w:after="120"/>
      </w:pPr>
      <w:r>
        <w:rPr>
          <w:b w:val="0"/>
          <w:i/>
          <w:sz w:val="19"/>
        </w:rPr>
        <w:t xml:space="preserve">Nombres según la regla de la NT: </w:t>
      </w:r>
      <w:r>
        <w:rPr>
          <w:b/>
          <w:i/>
          <w:sz w:val="19"/>
        </w:rPr>
        <w:t>sustantivo derivado de verbo + complemento</w:t>
      </w:r>
      <w:r>
        <w:rPr>
          <w:b w:val="0"/>
          <w:i/>
          <w:sz w:val="19"/>
        </w:rPr>
        <w:t xml:space="preserve"> (Adquisición de MAC → adquirir MAC ✓), la misma forma que Procesamiento de Pedidos y Gestión de Inventario en los ejemplos de clase.</w:t>
      </w:r>
    </w:p>
    <w:p>
      <w:pPr>
        <w:pStyle w:val="Heading3"/>
      </w:pPr>
      <w:r>
        <w:rPr>
          <w:color w:val="000000"/>
        </w:rPr>
      </w:r>
      <w:r>
        <w:rPr>
          <w:b/>
          <w:color w:val="000000"/>
        </w:rPr>
        <w:t>Las asociaciones, una por una</w:t>
      </w:r>
    </w:p>
    <w:tbl>
      <w:tblPr>
        <w:tblStyle w:val="TableGrid"/>
        <w:jc w:val="center"/>
        <w:tblLayout w:type="fixed"/>
        <w:tblLook w:firstColumn="1" w:firstRow="1" w:lastColumn="0" w:lastRow="0" w:noHBand="0" w:noVBand="1" w:val="04A0"/>
        <w:tblW w:type="dxa" w:w="9360"/>
      </w:tblPr>
      <w:tblGrid>
        <w:gridCol w:w="2059"/>
        <w:gridCol w:w="2246"/>
        <w:gridCol w:w="5054"/>
      </w:tblGrid>
      <w:tr>
        <w:trPr>
          <w:tblHeader w:val="true"/>
        </w:trPr>
        <w:tc>
          <w:tcPr>
            <w:tcW w:type="dxa" w:w="2059"/>
            <w:shd w:val="clear" w:color="auto" w:fill="EDEFF2"/>
          </w:tcPr>
          <w:p>
            <w:pPr>
              <w:keepNext w:val="0"/>
              <w:spacing w:after="20"/>
            </w:pPr>
            <w:r>
              <w:rPr>
                <w:b/>
                <w:sz w:val="18"/>
              </w:rPr>
              <w:t>Proceso</w:t>
            </w:r>
          </w:p>
        </w:tc>
        <w:tc>
          <w:tcPr>
            <w:tcW w:type="dxa" w:w="2246"/>
            <w:shd w:val="clear" w:color="auto" w:fill="EDEFF2"/>
          </w:tcPr>
          <w:p>
            <w:pPr>
              <w:keepNext w:val="0"/>
              <w:spacing w:after="20"/>
            </w:pPr>
            <w:r>
              <w:rPr>
                <w:b/>
                <w:sz w:val="18"/>
              </w:rPr>
              <w:t>Actor(es)</w:t>
            </w:r>
          </w:p>
        </w:tc>
        <w:tc>
          <w:tcPr>
            <w:tcW w:type="dxa" w:w="5054"/>
            <w:shd w:val="clear" w:color="auto" w:fill="EDEFF2"/>
          </w:tcPr>
          <w:p>
            <w:pPr>
              <w:keepNext w:val="0"/>
              <w:spacing w:after="20"/>
            </w:pPr>
            <w:r>
              <w:rPr>
                <w:b/>
                <w:sz w:val="18"/>
              </w:rPr>
              <w:t>Razón</w:t>
            </w:r>
          </w:p>
        </w:tc>
      </w:tr>
      <w:tr>
        <w:tc>
          <w:tcPr>
            <w:tcW w:type="dxa" w:w="2059"/>
          </w:tcPr>
          <w:p>
            <w:pPr>
              <w:spacing w:after="20"/>
            </w:pPr>
            <w:r>
              <w:rPr>
                <w:b w:val="0"/>
                <w:sz w:val="18"/>
              </w:rPr>
              <w:t>CDU-01 Adquisición</w:t>
            </w:r>
          </w:p>
        </w:tc>
        <w:tc>
          <w:tcPr>
            <w:tcW w:type="dxa" w:w="2246"/>
          </w:tcPr>
          <w:p>
            <w:pPr>
              <w:spacing w:after="20"/>
            </w:pPr>
            <w:r>
              <w:rPr>
                <w:b w:val="0"/>
                <w:sz w:val="18"/>
              </w:rPr>
              <w:t>Proveedor de MAC</w:t>
            </w:r>
          </w:p>
        </w:tc>
        <w:tc>
          <w:tcPr>
            <w:tcW w:type="dxa" w:w="5054"/>
          </w:tcPr>
          <w:p>
            <w:pPr>
              <w:spacing w:after="20"/>
            </w:pPr>
            <w:r>
              <w:rPr>
                <w:b w:val="0"/>
                <w:sz w:val="18"/>
              </w:rPr>
              <w:t>De él entran lotes, vencimientos y facturas</w:t>
            </w:r>
          </w:p>
        </w:tc>
      </w:tr>
      <w:tr>
        <w:tc>
          <w:tcPr>
            <w:tcW w:type="dxa" w:w="2059"/>
          </w:tcPr>
          <w:p>
            <w:pPr>
              <w:spacing w:after="20"/>
            </w:pPr>
            <w:r>
              <w:rPr>
                <w:b w:val="0"/>
                <w:sz w:val="18"/>
              </w:rPr>
              <w:t>CDU-02 Almacenamiento</w:t>
            </w:r>
          </w:p>
        </w:tc>
        <w:tc>
          <w:tcPr>
            <w:tcW w:type="dxa" w:w="2246"/>
          </w:tcPr>
          <w:p>
            <w:pPr>
              <w:spacing w:after="20"/>
            </w:pPr>
            <w:r>
              <w:rPr>
                <w:b/>
                <w:sz w:val="18"/>
              </w:rPr>
              <w:t>ninguno</w:t>
            </w:r>
          </w:p>
        </w:tc>
        <w:tc>
          <w:tcPr>
            <w:tcW w:type="dxa" w:w="5054"/>
          </w:tcPr>
          <w:p>
            <w:pPr>
              <w:spacing w:after="20"/>
            </w:pPr>
            <w:r>
              <w:rPr>
                <w:b w:val="0"/>
                <w:sz w:val="18"/>
              </w:rPr>
              <w:t xml:space="preserve">Es la </w:t>
            </w:r>
            <w:r>
              <w:rPr>
                <w:b/>
                <w:sz w:val="18"/>
              </w:rPr>
              <w:t>excepción de CU de apoyo</w:t>
            </w:r>
            <w:r>
              <w:rPr>
                <w:b w:val="0"/>
                <w:sz w:val="18"/>
              </w:rPr>
              <w:t xml:space="preserve"> de los convenios de clase: «es posible que un caso de uso de apoyo no interactúe con ningún actor». Ningún externo participa en conservar la cadena de frío; los sensores son equipamiento del proceso, no actores</w:t>
            </w:r>
          </w:p>
        </w:tc>
      </w:tr>
      <w:tr>
        <w:tc>
          <w:tcPr>
            <w:tcW w:type="dxa" w:w="2059"/>
          </w:tcPr>
          <w:p>
            <w:pPr>
              <w:spacing w:after="20"/>
            </w:pPr>
            <w:r>
              <w:rPr>
                <w:b w:val="0"/>
                <w:sz w:val="18"/>
              </w:rPr>
              <w:t>CDU-03 Prescripción</w:t>
            </w:r>
          </w:p>
        </w:tc>
        <w:tc>
          <w:tcPr>
            <w:tcW w:type="dxa" w:w="2246"/>
          </w:tcPr>
          <w:p>
            <w:pPr>
              <w:spacing w:after="20"/>
            </w:pPr>
            <w:r>
              <w:rPr>
                <w:b w:val="0"/>
                <w:sz w:val="18"/>
              </w:rPr>
              <w:t>Paciente · Sistema legacy de admisiones</w:t>
            </w:r>
          </w:p>
        </w:tc>
        <w:tc>
          <w:tcPr>
            <w:tcW w:type="dxa" w:w="5054"/>
          </w:tcPr>
          <w:p>
            <w:pPr>
              <w:spacing w:after="20"/>
            </w:pPr>
            <w:r>
              <w:rPr>
                <w:b w:val="0"/>
                <w:sz w:val="18"/>
              </w:rPr>
              <w:t>El paciente es examinado y recibe la prescripción; el legacy provee su identidad y datos demográficos</w:t>
            </w:r>
          </w:p>
        </w:tc>
      </w:tr>
      <w:tr>
        <w:tc>
          <w:tcPr>
            <w:tcW w:type="dxa" w:w="2059"/>
          </w:tcPr>
          <w:p>
            <w:pPr>
              <w:spacing w:after="20"/>
            </w:pPr>
            <w:r>
              <w:rPr>
                <w:b w:val="0"/>
                <w:sz w:val="18"/>
              </w:rPr>
              <w:t>CDU-04 Dispensación</w:t>
            </w:r>
          </w:p>
        </w:tc>
        <w:tc>
          <w:tcPr>
            <w:tcW w:type="dxa" w:w="2246"/>
          </w:tcPr>
          <w:p>
            <w:pPr>
              <w:spacing w:after="20"/>
            </w:pPr>
            <w:r>
              <w:rPr>
                <w:b w:val="0"/>
                <w:sz w:val="18"/>
              </w:rPr>
              <w:t>Paciente</w:t>
            </w:r>
          </w:p>
        </w:tc>
        <w:tc>
          <w:tcPr>
            <w:tcW w:type="dxa" w:w="5054"/>
          </w:tcPr>
          <w:p>
            <w:pPr>
              <w:spacing w:after="20"/>
            </w:pPr>
            <w:r>
              <w:rPr>
                <w:b w:val="0"/>
                <w:sz w:val="18"/>
              </w:rPr>
              <w:t>El lote se asigna a su nombre y él puede verificarlo por QR</w:t>
            </w:r>
          </w:p>
        </w:tc>
      </w:tr>
      <w:tr>
        <w:tc>
          <w:tcPr>
            <w:tcW w:type="dxa" w:w="2059"/>
          </w:tcPr>
          <w:p>
            <w:pPr>
              <w:spacing w:after="20"/>
            </w:pPr>
            <w:r>
              <w:rPr>
                <w:b w:val="0"/>
                <w:sz w:val="18"/>
              </w:rPr>
              <w:t>CDU-05 Administración</w:t>
            </w:r>
          </w:p>
        </w:tc>
        <w:tc>
          <w:tcPr>
            <w:tcW w:type="dxa" w:w="2246"/>
          </w:tcPr>
          <w:p>
            <w:pPr>
              <w:spacing w:after="20"/>
            </w:pPr>
            <w:r>
              <w:rPr>
                <w:b w:val="0"/>
                <w:sz w:val="18"/>
              </w:rPr>
              <w:t>Paciente</w:t>
            </w:r>
          </w:p>
        </w:tc>
        <w:tc>
          <w:tcPr>
            <w:tcW w:type="dxa" w:w="5054"/>
          </w:tcPr>
          <w:p>
            <w:pPr>
              <w:spacing w:after="20"/>
            </w:pPr>
            <w:r>
              <w:rPr>
                <w:b w:val="0"/>
                <w:sz w:val="18"/>
              </w:rPr>
              <w:t>Recibe el medicamento — el acto de valor</w:t>
            </w:r>
          </w:p>
        </w:tc>
      </w:tr>
      <w:tr>
        <w:tc>
          <w:tcPr>
            <w:tcW w:type="dxa" w:w="2059"/>
          </w:tcPr>
          <w:p>
            <w:pPr>
              <w:spacing w:after="20"/>
            </w:pPr>
            <w:r>
              <w:rPr>
                <w:b w:val="0"/>
                <w:sz w:val="18"/>
              </w:rPr>
              <w:t>CDU-06 Seguimiento</w:t>
            </w:r>
          </w:p>
        </w:tc>
        <w:tc>
          <w:tcPr>
            <w:tcW w:type="dxa" w:w="2246"/>
          </w:tcPr>
          <w:p>
            <w:pPr>
              <w:spacing w:after="20"/>
            </w:pPr>
            <w:r>
              <w:rPr>
                <w:b w:val="0"/>
                <w:sz w:val="18"/>
              </w:rPr>
              <w:t>Paciente · MSPAS</w:t>
            </w:r>
          </w:p>
        </w:tc>
        <w:tc>
          <w:tcPr>
            <w:tcW w:type="dxa" w:w="5054"/>
          </w:tcPr>
          <w:p>
            <w:pPr>
              <w:spacing w:after="20"/>
            </w:pPr>
            <w:r>
              <w:rPr>
                <w:b w:val="0"/>
                <w:sz w:val="18"/>
              </w:rPr>
              <w:t>El paciente reporta reacciones; al MSPAS va el reporte obligatorio de farmacovigilancia</w:t>
            </w:r>
          </w:p>
        </w:tc>
      </w:tr>
      <w:tr>
        <w:tc>
          <w:tcPr>
            <w:tcW w:type="dxa" w:w="2059"/>
          </w:tcPr>
          <w:p>
            <w:pPr>
              <w:spacing w:after="20"/>
            </w:pPr>
            <w:r>
              <w:rPr>
                <w:b w:val="0"/>
                <w:sz w:val="18"/>
              </w:rPr>
              <w:t>CDU-07 Control y auditoría</w:t>
            </w:r>
          </w:p>
        </w:tc>
        <w:tc>
          <w:tcPr>
            <w:tcW w:type="dxa" w:w="2246"/>
          </w:tcPr>
          <w:p>
            <w:pPr>
              <w:spacing w:after="20"/>
            </w:pPr>
            <w:r>
              <w:rPr>
                <w:b w:val="0"/>
                <w:sz w:val="18"/>
              </w:rPr>
              <w:t>Contraloría General de Cuentas</w:t>
            </w:r>
          </w:p>
        </w:tc>
        <w:tc>
          <w:tcPr>
            <w:tcW w:type="dxa" w:w="5054"/>
          </w:tcPr>
          <w:p>
            <w:pPr>
              <w:spacing w:after="20"/>
            </w:pPr>
            <w:r>
              <w:rPr>
                <w:b w:val="0"/>
                <w:sz w:val="18"/>
              </w:rPr>
              <w:t>Exige el informe forense y la trazabilidad completa</w:t>
            </w:r>
          </w:p>
        </w:tc>
      </w:tr>
    </w:tbl>
    <w:p>
      <w:pPr>
        <w:spacing w:after="40"/>
      </w:pPr>
    </w:p>
    <w:p>
      <w:pPr>
        <w:spacing w:after="120"/>
      </w:pPr>
      <w:r>
        <w:rPr>
          <w:b/>
          <w:sz w:val="21"/>
        </w:rPr>
        <w:t>Verificación de consistencia con el core</w:t>
      </w:r>
      <w:r>
        <w:rPr>
          <w:b w:val="0"/>
          <w:sz w:val="21"/>
        </w:rPr>
        <w:t xml:space="preserve"> (la regla: pueden aparecer actores nuevos, no puede desaparecer ninguno): Paciente ✓ (4 procesos — el actor principal toca varios, como en el molde), Proveedor ✓, MSPAS ✓, Contraloría ✓, Legacy de admisiones ✓. </w:t>
      </w:r>
      <w:r>
        <w:rPr>
          <w:b/>
          <w:sz w:val="21"/>
        </w:rPr>
        <w:t>Los cinco del core están; no se agregó ninguno nuevo.</w:t>
      </w:r>
    </w:p>
    <w:p>
      <w:pPr>
        <w:spacing w:after="120"/>
      </w:pPr>
      <w:r>
        <w:rPr>
          <w:b/>
          <w:sz w:val="21"/>
        </w:rPr>
        <w:t>Sin include ni extend</w:t>
      </w:r>
      <w:r>
        <w:rPr>
          <w:b w:val="0"/>
          <w:sz w:val="21"/>
        </w:rPr>
        <w:t>: la cátedra no los usa en la primera descomposición — aparecen recién en los CDU expandidos (§3.1), y solo con criterio explícito.</w:t>
      </w:r>
    </w:p>
    <w:p>
      <w:pPr>
        <w:jc w:val="center"/>
      </w:pPr>
      <w:r>
        <w:drawing>
          <wp:inline xmlns:a="http://schemas.openxmlformats.org/drawingml/2006/main" xmlns:pic="http://schemas.openxmlformats.org/drawingml/2006/picture">
            <wp:extent cx="4937760" cy="4748556"/>
            <wp:docPr id="3" name="Picture 3"/>
            <wp:cNvGraphicFramePr>
              <a:graphicFrameLocks noChangeAspect="1"/>
            </wp:cNvGraphicFramePr>
            <a:graphic>
              <a:graphicData uri="http://schemas.openxmlformats.org/drawingml/2006/picture">
                <pic:pic>
                  <pic:nvPicPr>
                    <pic:cNvPr id="0" name="cdu-descomposicion-farmahosp.png"/>
                    <pic:cNvPicPr/>
                  </pic:nvPicPr>
                  <pic:blipFill>
                    <a:blip r:embed="rId11"/>
                    <a:stretch>
                      <a:fillRect/>
                    </a:stretch>
                  </pic:blipFill>
                  <pic:spPr>
                    <a:xfrm>
                      <a:off x="0" y="0"/>
                      <a:ext cx="4937760" cy="4748556"/>
                    </a:xfrm>
                    <a:prstGeom prst="rect"/>
                  </pic:spPr>
                </pic:pic>
              </a:graphicData>
            </a:graphic>
          </wp:inline>
        </w:drawing>
      </w:r>
    </w:p>
    <w:p>
      <w:pPr>
        <w:jc w:val="center"/>
      </w:pPr>
      <w:r>
        <w:rPr>
          <w:b w:val="0"/>
          <w:i/>
          <w:color w:val="555555"/>
          <w:sz w:val="18"/>
        </w:rPr>
        <w:t>Primera descomposición — un solo diagrama, 7 procesos en columna, el mismo juego de actores del core.</w:t>
      </w:r>
    </w:p>
    <w:p>
      <w:pPr>
        <w:pStyle w:val="Heading2"/>
      </w:pPr>
      <w:r>
        <w:rPr>
          <w:color w:val="000000"/>
        </w:rPr>
      </w:r>
      <w:r>
        <w:rPr>
          <w:b/>
          <w:color w:val="000000"/>
        </w:rPr>
        <w:t>2.4 Descripciones textuales de los procesos de negocio</w:t>
      </w:r>
    </w:p>
    <w:p>
      <w:pPr>
        <w:spacing w:after="120"/>
      </w:pPr>
      <w:r>
        <w:rPr>
          <w:b/>
          <w:sz w:val="21"/>
        </w:rPr>
        <w:t>Plantilla usada:</w:t>
      </w:r>
      <w:r>
        <w:rPr>
          <w:b w:val="0"/>
          <w:sz w:val="21"/>
        </w:rPr>
        <w:t xml:space="preserve"> la de *Atender pedido* — la que coincide con la lista de campos que dictó la catedrática y la única que mostró resuelta: Nombre, Actores, Propósito, Resumen, </w:t>
      </w:r>
      <w:r>
        <w:rPr>
          <w:b/>
          <w:sz w:val="21"/>
        </w:rPr>
        <w:t>curso normal en dos columnas con una sola numeración intercalada</w:t>
      </w:r>
      <w:r>
        <w:rPr>
          <w:b w:val="0"/>
          <w:sz w:val="21"/>
        </w:rPr>
        <w:t>, Cursos alternos anclados con «En la línea N», Prioridad, Mejoras y Otras secciones.</w:t>
      </w:r>
    </w:p>
    <w:p>
      <w:pPr>
        <w:spacing w:after="60"/>
        <w:ind w:left="432"/>
      </w:pPr>
      <w:r>
        <w:rPr>
          <w:b/>
          <w:sz w:val="20"/>
        </w:rPr>
        <w:t>Plano de negocio: la columna derecha es «Respuesta del proceso de negocio»</w:t>
      </w:r>
    </w:p>
    <w:p>
      <w:pPr>
        <w:spacing w:after="200"/>
        <w:ind w:left="432"/>
      </w:pPr>
      <w:r>
        <w:rPr>
          <w:b w:val="0"/>
          <w:sz w:val="19"/>
        </w:rPr>
        <w:t xml:space="preserve">Quienes actúan en la columna derecha son </w:t>
      </w:r>
      <w:r>
        <w:rPr>
          <w:b/>
          <w:sz w:val="19"/>
        </w:rPr>
        <w:t>trabajadores del negocio</w:t>
      </w:r>
      <w:r>
        <w:rPr>
          <w:b w:val="0"/>
          <w:sz w:val="19"/>
        </w:rPr>
        <w:t xml:space="preserve"> (médico tratante, farmacéutico clínico, enfermero de piso, almacenista, jefe de farmacovigilancia, director administrativo): están </w:t>
      </w:r>
      <w:r>
        <w:rPr>
          <w:b/>
          <w:sz w:val="19"/>
        </w:rPr>
        <w:t>dentro</w:t>
      </w:r>
      <w:r>
        <w:rPr>
          <w:b w:val="0"/>
          <w:sz w:val="19"/>
        </w:rPr>
        <w:t xml:space="preserve"> de la frontera declarada en §0. En la columna izquierda solo aparecen los </w:t>
      </w:r>
      <w:r>
        <w:rPr>
          <w:b/>
          <w:sz w:val="19"/>
        </w:rPr>
        <w:t>cinco actores</w:t>
      </w:r>
      <w:r>
        <w:rPr>
          <w:b w:val="0"/>
          <w:sz w:val="19"/>
        </w:rPr>
        <w:t xml:space="preserve"> del core: PACIENTE, PROVEEDOR DE MAC, MSPAS, CONTRALORÍA GENERAL DE CUENTAS y SISTEMA LEGACY DE ADMISIONES.</w:t>
      </w:r>
    </w:p>
    <w:p>
      <w:pPr>
        <w:pStyle w:val="Heading3"/>
      </w:pPr>
      <w:r>
        <w:rPr>
          <w:color w:val="000000"/>
        </w:rPr>
      </w:r>
      <w:r>
        <w:rPr>
          <w:b/>
          <w:color w:val="000000"/>
        </w:rPr>
        <w:t>CDU-01 · Adquisición de MAC</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Adquisición de MAC</w:t>
            </w:r>
          </w:p>
        </w:tc>
      </w:tr>
      <w:tr>
        <w:tc>
          <w:tcPr>
            <w:tcW w:type="dxa" w:w="1498"/>
          </w:tcPr>
          <w:p>
            <w:pPr>
              <w:spacing w:after="20"/>
            </w:pPr>
            <w:r>
              <w:rPr>
                <w:b/>
                <w:sz w:val="18"/>
              </w:rPr>
              <w:t>Actores</w:t>
            </w:r>
          </w:p>
        </w:tc>
        <w:tc>
          <w:tcPr>
            <w:tcW w:type="dxa" w:w="7862"/>
          </w:tcPr>
          <w:p>
            <w:pPr>
              <w:spacing w:after="20"/>
            </w:pPr>
            <w:r>
              <w:rPr>
                <w:b w:val="0"/>
                <w:sz w:val="18"/>
              </w:rPr>
              <w:t>PROVEEDOR DE MAC</w:t>
            </w:r>
          </w:p>
        </w:tc>
      </w:tr>
      <w:tr>
        <w:tc>
          <w:tcPr>
            <w:tcW w:type="dxa" w:w="1498"/>
          </w:tcPr>
          <w:p>
            <w:pPr>
              <w:spacing w:after="20"/>
            </w:pPr>
            <w:r>
              <w:rPr>
                <w:b/>
                <w:sz w:val="18"/>
              </w:rPr>
              <w:t>Propósito</w:t>
            </w:r>
          </w:p>
        </w:tc>
        <w:tc>
          <w:tcPr>
            <w:tcW w:type="dxa" w:w="7862"/>
          </w:tcPr>
          <w:p>
            <w:pPr>
              <w:spacing w:after="20"/>
            </w:pPr>
            <w:r>
              <w:rPr>
                <w:b w:val="0"/>
                <w:sz w:val="18"/>
              </w:rPr>
              <w:t>Abastecer al hospital de medicamentos de alto costo con número de lote, fecha de vencimiento y factura exactos, verificando su calidad desde la recepción.</w:t>
            </w:r>
          </w:p>
        </w:tc>
      </w:tr>
      <w:tr>
        <w:tc>
          <w:tcPr>
            <w:tcW w:type="dxa" w:w="1498"/>
          </w:tcPr>
          <w:p>
            <w:pPr>
              <w:spacing w:after="20"/>
            </w:pPr>
            <w:r>
              <w:rPr>
                <w:b/>
                <w:sz w:val="18"/>
              </w:rPr>
              <w:t>Resumen</w:t>
            </w:r>
          </w:p>
        </w:tc>
        <w:tc>
          <w:tcPr>
            <w:tcW w:type="dxa" w:w="7862"/>
          </w:tcPr>
          <w:p>
            <w:pPr>
              <w:spacing w:after="20"/>
            </w:pPr>
            <w:r>
              <w:rPr>
                <w:b w:val="0"/>
                <w:sz w:val="18"/>
              </w:rPr>
              <w:t>El caso de uso se inicia cuando se detecta la necesidad de comprar un MAC (por la proyección de faltantes o por una solicitud urgente del médico). El proceso autoriza y emite la orden de compra, recibe los lotes y controla su calidad. El caso de uso finaliza cuando los lotes conformes quedan ingresados al almacén y el proveedor recibe la conformidad de la recepción.</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p>
        </w:tc>
        <w:tc>
          <w:tcPr>
            <w:tcW w:type="dxa" w:w="5429"/>
          </w:tcPr>
          <w:p>
            <w:pPr>
              <w:spacing w:after="20"/>
            </w:pPr>
            <w:r>
              <w:rPr>
                <w:b/>
                <w:sz w:val="18"/>
              </w:rPr>
              <w:t>1.</w:t>
            </w:r>
            <w:r>
              <w:rPr>
                <w:b w:val="0"/>
                <w:sz w:val="18"/>
              </w:rPr>
              <w:t xml:space="preserve"> El Farmacéutico clínico identifica la necesidad de compra a partir de la proyección de faltantes a 7 días.</w:t>
            </w:r>
          </w:p>
        </w:tc>
      </w:tr>
      <w:tr>
        <w:tc>
          <w:tcPr>
            <w:tcW w:type="dxa" w:w="3931"/>
          </w:tcPr>
          <w:p>
            <w:pPr>
              <w:spacing w:after="20"/>
            </w:pPr>
          </w:p>
        </w:tc>
        <w:tc>
          <w:tcPr>
            <w:tcW w:type="dxa" w:w="5429"/>
          </w:tcPr>
          <w:p>
            <w:pPr>
              <w:spacing w:after="20"/>
            </w:pPr>
            <w:r>
              <w:rPr>
                <w:b/>
                <w:sz w:val="18"/>
              </w:rPr>
              <w:t>2.</w:t>
            </w:r>
            <w:r>
              <w:rPr>
                <w:b w:val="0"/>
                <w:sz w:val="18"/>
              </w:rPr>
              <w:t xml:space="preserve"> El Director Administrativo autoriza la orden de compra; queda registrado quién la autorizó.</w:t>
            </w:r>
          </w:p>
        </w:tc>
      </w:tr>
      <w:tr>
        <w:tc>
          <w:tcPr>
            <w:tcW w:type="dxa" w:w="3931"/>
          </w:tcPr>
          <w:p>
            <w:pPr>
              <w:spacing w:after="20"/>
            </w:pPr>
          </w:p>
        </w:tc>
        <w:tc>
          <w:tcPr>
            <w:tcW w:type="dxa" w:w="5429"/>
          </w:tcPr>
          <w:p>
            <w:pPr>
              <w:spacing w:after="20"/>
            </w:pPr>
            <w:r>
              <w:rPr>
                <w:b/>
                <w:sz w:val="18"/>
              </w:rPr>
              <w:t>3.</w:t>
            </w:r>
            <w:r>
              <w:rPr>
                <w:b w:val="0"/>
                <w:sz w:val="18"/>
              </w:rPr>
              <w:t xml:space="preserve"> El Almacenista emite la orden de compra al Proveedor de MAC.</w:t>
            </w:r>
          </w:p>
        </w:tc>
      </w:tr>
      <w:tr>
        <w:tc>
          <w:tcPr>
            <w:tcW w:type="dxa" w:w="3931"/>
          </w:tcPr>
          <w:p>
            <w:pPr>
              <w:spacing w:after="20"/>
            </w:pPr>
            <w:r>
              <w:rPr>
                <w:b/>
                <w:sz w:val="18"/>
              </w:rPr>
              <w:t>4.</w:t>
            </w:r>
            <w:r>
              <w:rPr>
                <w:b w:val="0"/>
                <w:sz w:val="18"/>
              </w:rPr>
              <w:t xml:space="preserve"> El Proveedor de MAC recibe la orden de compra y entrega los lotes con su factura.</w:t>
            </w:r>
          </w:p>
        </w:tc>
        <w:tc>
          <w:tcPr>
            <w:tcW w:type="dxa" w:w="5429"/>
          </w:tcPr>
          <w:p>
            <w:pPr>
              <w:spacing w:after="20"/>
            </w:pPr>
          </w:p>
        </w:tc>
      </w:tr>
      <w:tr>
        <w:tc>
          <w:tcPr>
            <w:tcW w:type="dxa" w:w="3931"/>
          </w:tcPr>
          <w:p>
            <w:pPr>
              <w:spacing w:after="20"/>
            </w:pPr>
          </w:p>
        </w:tc>
        <w:tc>
          <w:tcPr>
            <w:tcW w:type="dxa" w:w="5429"/>
          </w:tcPr>
          <w:p>
            <w:pPr>
              <w:spacing w:after="20"/>
            </w:pPr>
            <w:r>
              <w:rPr>
                <w:b/>
                <w:sz w:val="18"/>
              </w:rPr>
              <w:t>5.</w:t>
            </w:r>
            <w:r>
              <w:rPr>
                <w:b w:val="0"/>
                <w:sz w:val="18"/>
              </w:rPr>
              <w:t xml:space="preserve"> El Almacenista recibe los lotes y registra número de lote, fecha de vencimiento y factura, leyéndolos de la etiqueta del proveedor, sin transcripción manual.</w:t>
            </w:r>
          </w:p>
        </w:tc>
      </w:tr>
      <w:tr>
        <w:tc>
          <w:tcPr>
            <w:tcW w:type="dxa" w:w="3931"/>
          </w:tcPr>
          <w:p>
            <w:pPr>
              <w:spacing w:after="20"/>
            </w:pPr>
          </w:p>
        </w:tc>
        <w:tc>
          <w:tcPr>
            <w:tcW w:type="dxa" w:w="5429"/>
          </w:tcPr>
          <w:p>
            <w:pPr>
              <w:spacing w:after="20"/>
            </w:pPr>
            <w:r>
              <w:rPr>
                <w:b/>
                <w:sz w:val="18"/>
              </w:rPr>
              <w:t>6.</w:t>
            </w:r>
            <w:r>
              <w:rPr>
                <w:b w:val="0"/>
                <w:sz w:val="18"/>
              </w:rPr>
              <w:t xml:space="preserve"> El Farmacéutico clínico realiza el control de calidad de recepción (temperatura y humedad). *Si el lote es conforme, pasar a 7. Si no es conforme, ver curso alterno de la línea 6.*</w:t>
            </w:r>
          </w:p>
        </w:tc>
      </w:tr>
      <w:tr>
        <w:tc>
          <w:tcPr>
            <w:tcW w:type="dxa" w:w="3931"/>
          </w:tcPr>
          <w:p>
            <w:pPr>
              <w:spacing w:after="20"/>
            </w:pPr>
          </w:p>
        </w:tc>
        <w:tc>
          <w:tcPr>
            <w:tcW w:type="dxa" w:w="5429"/>
          </w:tcPr>
          <w:p>
            <w:pPr>
              <w:spacing w:after="20"/>
            </w:pPr>
            <w:r>
              <w:rPr>
                <w:b/>
                <w:sz w:val="18"/>
              </w:rPr>
              <w:t>7.</w:t>
            </w:r>
            <w:r>
              <w:rPr>
                <w:b w:val="0"/>
                <w:sz w:val="18"/>
              </w:rPr>
              <w:t xml:space="preserve"> El Almacenista ubica cada lote en la cámara que le corresponde (2-8 °C, -20 °C o ambiente) y lo deja disponible para su conservación.</w:t>
            </w:r>
          </w:p>
        </w:tc>
      </w:tr>
      <w:tr>
        <w:tc>
          <w:tcPr>
            <w:tcW w:type="dxa" w:w="3931"/>
          </w:tcPr>
          <w:p>
            <w:pPr>
              <w:spacing w:after="20"/>
            </w:pPr>
            <w:r>
              <w:rPr>
                <w:b/>
                <w:sz w:val="18"/>
              </w:rPr>
              <w:t>8.</w:t>
            </w:r>
            <w:r>
              <w:rPr>
                <w:b w:val="0"/>
                <w:sz w:val="18"/>
              </w:rPr>
              <w:t xml:space="preserve"> El Proveedor de MAC recibe la conformidad de la recepción.</w:t>
            </w:r>
          </w:p>
        </w:tc>
        <w:tc>
          <w:tcPr>
            <w:tcW w:type="dxa" w:w="5429"/>
          </w:tcPr>
          <w:p>
            <w:pPr>
              <w:spacing w:after="20"/>
            </w:pPr>
          </w:p>
        </w:tc>
      </w:tr>
    </w:tbl>
    <w:p>
      <w:pPr>
        <w:spacing w:after="40"/>
      </w:pPr>
    </w:p>
    <w:p>
      <w:pPr>
        <w:pStyle w:val="Heading4"/>
      </w:pPr>
      <w:r>
        <w:rPr>
          <w:color w:val="000000"/>
        </w:rPr>
      </w:r>
      <w:r>
        <w:rPr>
          <w:b/>
          <w:color w:val="000000"/>
        </w:rPr>
        <w:t>Cursos alternos</w:t>
      </w:r>
    </w:p>
    <w:p>
      <w:pPr>
        <w:pStyle w:val="ListBullet"/>
        <w:spacing w:after="40"/>
      </w:pPr>
      <w:r>
        <w:rPr>
          <w:b/>
          <w:sz w:val="18"/>
        </w:rPr>
        <w:t>En la línea 1:</w:t>
      </w:r>
      <w:r>
        <w:rPr>
          <w:b w:val="0"/>
          <w:sz w:val="18"/>
        </w:rPr>
        <w:t xml:space="preserve"> el Médico tratante solicita una </w:t>
      </w:r>
      <w:r>
        <w:rPr>
          <w:b/>
          <w:sz w:val="18"/>
        </w:rPr>
        <w:t>compra urgente o un reemplazo terapéutico</w:t>
      </w:r>
      <w:r>
        <w:rPr>
          <w:b w:val="0"/>
          <w:sz w:val="18"/>
        </w:rPr>
        <w:t xml:space="preserve"> porque no hay stock para su prescripción. La orden se marca como urgente y se continúa en la línea 2.</w:t>
      </w:r>
    </w:p>
    <w:p>
      <w:pPr>
        <w:pStyle w:val="ListBullet"/>
        <w:spacing w:after="40"/>
      </w:pPr>
      <w:r>
        <w:rPr>
          <w:b/>
          <w:sz w:val="18"/>
        </w:rPr>
        <w:t>En la línea 6:</w:t>
      </w:r>
      <w:r>
        <w:rPr>
          <w:b w:val="0"/>
          <w:sz w:val="18"/>
        </w:rPr>
        <w:t xml:space="preserve"> el lote </w:t>
      </w:r>
      <w:r>
        <w:rPr>
          <w:b/>
          <w:sz w:val="18"/>
        </w:rPr>
        <w:t>no es conforme</w:t>
      </w:r>
      <w:r>
        <w:rPr>
          <w:b w:val="0"/>
          <w:sz w:val="18"/>
        </w:rPr>
        <w:t>. El Farmacéutico clínico lo rechaza registrando el motivo, el Almacenista lo devuelve y el Proveedor de MAC recibe la notificación de rechazo. Fin del caso de uso para ese lote.</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Recibir del proveedor el lote, el vencimiento y la factura en formato electrónico: elimina la transcripción manual que originó los 3 errores de medicación del enunciado.</w:t>
      </w:r>
    </w:p>
    <w:p>
      <w:pPr>
        <w:pStyle w:val="ListBullet"/>
        <w:spacing w:after="40"/>
      </w:pPr>
      <w:r>
        <w:rPr>
          <w:b w:val="0"/>
          <w:sz w:val="18"/>
        </w:rPr>
        <w:t xml:space="preserve">Que el proveedor pueda notificar </w:t>
      </w:r>
      <w:r>
        <w:rPr>
          <w:b/>
          <w:sz w:val="18"/>
        </w:rPr>
        <w:t>retiros de lote</w:t>
      </w:r>
      <w:r>
        <w:rPr>
          <w:b w:val="0"/>
          <w:sz w:val="18"/>
        </w:rPr>
        <w:t xml:space="preserve"> por la misma vía.</w:t>
      </w:r>
    </w:p>
    <w:p>
      <w:pPr>
        <w:pStyle w:val="Heading3"/>
      </w:pPr>
      <w:r>
        <w:rPr>
          <w:color w:val="000000"/>
        </w:rPr>
      </w:r>
      <w:r>
        <w:rPr>
          <w:b/>
          <w:color w:val="000000"/>
        </w:rPr>
        <w:t>CDU-02 · Almacenamiento y conservación de MAC</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Almacenamiento y conservación de MAC</w:t>
            </w:r>
          </w:p>
        </w:tc>
      </w:tr>
      <w:tr>
        <w:tc>
          <w:tcPr>
            <w:tcW w:type="dxa" w:w="1498"/>
          </w:tcPr>
          <w:p>
            <w:pPr>
              <w:spacing w:after="20"/>
            </w:pPr>
            <w:r>
              <w:rPr>
                <w:b/>
                <w:sz w:val="18"/>
              </w:rPr>
              <w:t>Actores</w:t>
            </w:r>
          </w:p>
        </w:tc>
        <w:tc>
          <w:tcPr>
            <w:tcW w:type="dxa" w:w="7862"/>
          </w:tcPr>
          <w:p>
            <w:pPr>
              <w:spacing w:after="20"/>
            </w:pPr>
            <w:r>
              <w:rPr>
                <w:b w:val="0"/>
                <w:sz w:val="18"/>
              </w:rPr>
              <w:t xml:space="preserve">*Ninguno* — caso de uso </w:t>
            </w:r>
            <w:r>
              <w:rPr>
                <w:b/>
                <w:sz w:val="18"/>
              </w:rPr>
              <w:t>de apoyo</w:t>
            </w:r>
            <w:r>
              <w:rPr>
                <w:b w:val="0"/>
                <w:sz w:val="18"/>
              </w:rPr>
              <w:t xml:space="preserve"> (excepción de los convenios de clase; declarada en §2.3)</w:t>
            </w:r>
          </w:p>
        </w:tc>
      </w:tr>
      <w:tr>
        <w:tc>
          <w:tcPr>
            <w:tcW w:type="dxa" w:w="1498"/>
          </w:tcPr>
          <w:p>
            <w:pPr>
              <w:spacing w:after="20"/>
            </w:pPr>
            <w:r>
              <w:rPr>
                <w:b/>
                <w:sz w:val="18"/>
              </w:rPr>
              <w:t>Propósito</w:t>
            </w:r>
          </w:p>
        </w:tc>
        <w:tc>
          <w:tcPr>
            <w:tcW w:type="dxa" w:w="7862"/>
          </w:tcPr>
          <w:p>
            <w:pPr>
              <w:spacing w:after="20"/>
            </w:pPr>
            <w:r>
              <w:rPr>
                <w:b w:val="0"/>
                <w:sz w:val="18"/>
              </w:rPr>
              <w:t>Conservar cada lote en condiciones válidas y mantener un inventario confiable, rotado y auditable.</w:t>
            </w:r>
          </w:p>
        </w:tc>
      </w:tr>
      <w:tr>
        <w:tc>
          <w:tcPr>
            <w:tcW w:type="dxa" w:w="1498"/>
          </w:tcPr>
          <w:p>
            <w:pPr>
              <w:spacing w:after="20"/>
            </w:pPr>
            <w:r>
              <w:rPr>
                <w:b/>
                <w:sz w:val="18"/>
              </w:rPr>
              <w:t>Resumen</w:t>
            </w:r>
          </w:p>
        </w:tc>
        <w:tc>
          <w:tcPr>
            <w:tcW w:type="dxa" w:w="7862"/>
          </w:tcPr>
          <w:p>
            <w:pPr>
              <w:spacing w:after="20"/>
            </w:pPr>
            <w:r>
              <w:rPr>
                <w:b w:val="0"/>
                <w:sz w:val="18"/>
              </w:rPr>
              <w:t>El caso de uso se inicia cuando un lote ingresa a una cámara desde la Adquisición. El proceso vigila la temperatura y la humedad de la cámara, rota el inventario y anticipa faltantes. El caso de uso finaliza cuando el lote sale del almacén hacia la Dispensación o se da de baja por vencimiento o por ruptura de la cadena de frío.</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r>
              <w:rPr>
                <w:b w:val="0"/>
                <w:sz w:val="18"/>
              </w:rPr>
              <w:t>*(sin actor: proceso de apoyo)*</w:t>
            </w:r>
          </w:p>
        </w:tc>
        <w:tc>
          <w:tcPr>
            <w:tcW w:type="dxa" w:w="5429"/>
          </w:tcPr>
          <w:p>
            <w:pPr>
              <w:spacing w:after="20"/>
            </w:pPr>
            <w:r>
              <w:rPr>
                <w:b/>
                <w:sz w:val="18"/>
              </w:rPr>
              <w:t>1.</w:t>
            </w:r>
            <w:r>
              <w:rPr>
                <w:b w:val="0"/>
                <w:sz w:val="18"/>
              </w:rPr>
              <w:t xml:space="preserve"> El Almacenista registra la ubicación del lote en su cámara.</w:t>
            </w:r>
          </w:p>
        </w:tc>
      </w:tr>
      <w:tr>
        <w:tc>
          <w:tcPr>
            <w:tcW w:type="dxa" w:w="3931"/>
          </w:tcPr>
          <w:p>
            <w:pPr>
              <w:spacing w:after="20"/>
            </w:pPr>
          </w:p>
        </w:tc>
        <w:tc>
          <w:tcPr>
            <w:tcW w:type="dxa" w:w="5429"/>
          </w:tcPr>
          <w:p>
            <w:pPr>
              <w:spacing w:after="20"/>
            </w:pPr>
            <w:r>
              <w:rPr>
                <w:b/>
                <w:sz w:val="18"/>
              </w:rPr>
              <w:t>2.</w:t>
            </w:r>
            <w:r>
              <w:rPr>
                <w:b w:val="0"/>
                <w:sz w:val="18"/>
              </w:rPr>
              <w:t xml:space="preserve"> Los sensores de la cámara registran temperatura y humedad cada 5 minutos, y el proceso conserva esas lecturas como evidencia inalterable. *Si la temperatura sale del rango, ver curso alterno de la línea 2.*</w:t>
            </w:r>
          </w:p>
        </w:tc>
      </w:tr>
      <w:tr>
        <w:tc>
          <w:tcPr>
            <w:tcW w:type="dxa" w:w="3931"/>
          </w:tcPr>
          <w:p>
            <w:pPr>
              <w:spacing w:after="20"/>
            </w:pPr>
          </w:p>
        </w:tc>
        <w:tc>
          <w:tcPr>
            <w:tcW w:type="dxa" w:w="5429"/>
          </w:tcPr>
          <w:p>
            <w:pPr>
              <w:spacing w:after="20"/>
            </w:pPr>
            <w:r>
              <w:rPr>
                <w:b/>
                <w:sz w:val="18"/>
              </w:rPr>
              <w:t>3.</w:t>
            </w:r>
            <w:r>
              <w:rPr>
                <w:b w:val="0"/>
                <w:sz w:val="18"/>
              </w:rPr>
              <w:t xml:space="preserve"> El Farmacéutico clínico revisa la proyección de faltantes a 7 días según las prescripciones programadas. *Si se anticipa un faltante, se origina una Adquisición (CDU-01).*</w:t>
            </w:r>
          </w:p>
        </w:tc>
      </w:tr>
      <w:tr>
        <w:tc>
          <w:tcPr>
            <w:tcW w:type="dxa" w:w="3931"/>
          </w:tcPr>
          <w:p>
            <w:pPr>
              <w:spacing w:after="20"/>
            </w:pPr>
          </w:p>
        </w:tc>
        <w:tc>
          <w:tcPr>
            <w:tcW w:type="dxa" w:w="5429"/>
          </w:tcPr>
          <w:p>
            <w:pPr>
              <w:spacing w:after="20"/>
            </w:pPr>
            <w:r>
              <w:rPr>
                <w:b/>
                <w:sz w:val="18"/>
              </w:rPr>
              <w:t>4.</w:t>
            </w:r>
            <w:r>
              <w:rPr>
                <w:b w:val="0"/>
                <w:sz w:val="18"/>
              </w:rPr>
              <w:t xml:space="preserve"> El Almacenista rota el inventario: despacha primero los lotes válidos más próximos a vencer.</w:t>
            </w:r>
          </w:p>
        </w:tc>
      </w:tr>
      <w:tr>
        <w:tc>
          <w:tcPr>
            <w:tcW w:type="dxa" w:w="3931"/>
          </w:tcPr>
          <w:p>
            <w:pPr>
              <w:spacing w:after="20"/>
            </w:pPr>
          </w:p>
        </w:tc>
        <w:tc>
          <w:tcPr>
            <w:tcW w:type="dxa" w:w="5429"/>
          </w:tcPr>
          <w:p>
            <w:pPr>
              <w:spacing w:after="20"/>
            </w:pPr>
            <w:r>
              <w:rPr>
                <w:b/>
                <w:sz w:val="18"/>
              </w:rPr>
              <w:t>5.</w:t>
            </w:r>
            <w:r>
              <w:rPr>
                <w:b w:val="0"/>
                <w:sz w:val="18"/>
              </w:rPr>
              <w:t xml:space="preserve"> El Almacenista da de baja los lotes vencidos; queda registrado quién dio de baja cada uno.</w:t>
            </w:r>
          </w:p>
        </w:tc>
      </w:tr>
      <w:tr>
        <w:tc>
          <w:tcPr>
            <w:tcW w:type="dxa" w:w="3931"/>
          </w:tcPr>
          <w:p>
            <w:pPr>
              <w:spacing w:after="20"/>
            </w:pPr>
          </w:p>
        </w:tc>
        <w:tc>
          <w:tcPr>
            <w:tcW w:type="dxa" w:w="5429"/>
          </w:tcPr>
          <w:p>
            <w:pPr>
              <w:spacing w:after="20"/>
            </w:pPr>
            <w:r>
              <w:rPr>
                <w:b/>
                <w:sz w:val="18"/>
              </w:rPr>
              <w:t>6.</w:t>
            </w:r>
            <w:r>
              <w:rPr>
                <w:b w:val="0"/>
                <w:sz w:val="18"/>
              </w:rPr>
              <w:t xml:space="preserve"> El lote queda disponible para la Dispensación (CDU-04).</w:t>
            </w:r>
          </w:p>
        </w:tc>
      </w:tr>
    </w:tbl>
    <w:p>
      <w:pPr>
        <w:spacing w:after="40"/>
      </w:pPr>
    </w:p>
    <w:p>
      <w:pPr>
        <w:pStyle w:val="Heading4"/>
      </w:pPr>
      <w:r>
        <w:rPr>
          <w:color w:val="000000"/>
        </w:rPr>
      </w:r>
      <w:r>
        <w:rPr>
          <w:b/>
          <w:color w:val="000000"/>
        </w:rPr>
        <w:t>Cursos alternos</w:t>
      </w:r>
    </w:p>
    <w:p>
      <w:pPr>
        <w:pStyle w:val="ListBullet"/>
        <w:spacing w:after="40"/>
      </w:pPr>
      <w:r>
        <w:rPr>
          <w:b/>
          <w:sz w:val="18"/>
        </w:rPr>
        <w:t>En la línea 2:</w:t>
      </w:r>
      <w:r>
        <w:rPr>
          <w:b w:val="0"/>
          <w:sz w:val="18"/>
        </w:rPr>
        <w:t xml:space="preserve"> </w:t>
      </w:r>
      <w:r>
        <w:rPr>
          <w:b/>
          <w:sz w:val="18"/>
        </w:rPr>
        <w:t>ruptura de la cadena de frío</w:t>
      </w:r>
      <w:r>
        <w:rPr>
          <w:b w:val="0"/>
          <w:sz w:val="18"/>
        </w:rPr>
        <w:t xml:space="preserve"> (escenario del enunciado: de 2 °C a 10 °C durante 15 minutos). El proceso registra el incidente con timestamp exacto, determina qué lotes estaban en la cámara, alerta al Farmacéutico de guardia por SMS y correo, bloquea esos lotes para la dispensación y entrega al Director Administrativo el reporte de pérdida estimada en quetzales.</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Evidencia criptográfica de que las lecturas de temperatura no fueron manipuladas (acuerdo de calidad #8).</w:t>
      </w:r>
    </w:p>
    <w:p>
      <w:pPr>
        <w:pStyle w:val="Heading4"/>
      </w:pPr>
      <w:r>
        <w:rPr>
          <w:color w:val="000000"/>
        </w:rPr>
      </w:r>
      <w:r>
        <w:rPr>
          <w:b/>
          <w:color w:val="000000"/>
        </w:rPr>
        <w:t>Sección: Decidir sobre un lote fuera de temperatura</w:t>
      </w:r>
    </w:p>
    <w:p>
      <w:pPr>
        <w:spacing w:after="20"/>
        <w:ind w:left="360"/>
      </w:pPr>
      <w:r>
        <w:rPr>
          <w:b w:val="0"/>
          <w:sz w:val="18"/>
        </w:rPr>
        <w:t>1. El Farmacéutico de guardia evalúa físicamente los lotes bloqueados.</w:t>
      </w:r>
    </w:p>
    <w:p>
      <w:pPr>
        <w:spacing w:after="20"/>
        <w:ind w:left="360"/>
      </w:pPr>
      <w:r>
        <w:rPr>
          <w:b w:val="0"/>
          <w:sz w:val="18"/>
        </w:rPr>
        <w:t>2. La política del hospital indica descartarlos.</w:t>
      </w:r>
    </w:p>
    <w:p>
      <w:pPr>
        <w:spacing w:after="20"/>
        <w:ind w:left="360"/>
      </w:pPr>
      <w:r>
        <w:rPr>
          <w:b w:val="0"/>
          <w:sz w:val="18"/>
        </w:rPr>
        <w:t>3. Si el fabricante soporta la exposición (por ejemplo, hasta 30 minutos), el Farmacéutico jefe puede sobrescribir la regla con justificación y firma; la decisión queda auditada.</w:t>
      </w:r>
    </w:p>
    <w:p>
      <w:pPr>
        <w:spacing w:after="20"/>
        <w:ind w:left="360"/>
      </w:pPr>
      <w:r>
        <w:rPr>
          <w:b w:val="0"/>
          <w:sz w:val="18"/>
        </w:rPr>
        <w:t>4. Los lotes se desbloquean o se dan de baja, según la decisión registrada.</w:t>
      </w:r>
    </w:p>
    <w:p>
      <w:pPr>
        <w:pStyle w:val="Heading3"/>
      </w:pPr>
      <w:r>
        <w:rPr>
          <w:color w:val="000000"/>
        </w:rPr>
      </w:r>
      <w:r>
        <w:rPr>
          <w:b/>
          <w:color w:val="000000"/>
        </w:rPr>
        <w:t>CDU-03 · Prescripción del tratamiento</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Prescripción del tratamiento</w:t>
            </w:r>
          </w:p>
        </w:tc>
      </w:tr>
      <w:tr>
        <w:tc>
          <w:tcPr>
            <w:tcW w:type="dxa" w:w="1498"/>
          </w:tcPr>
          <w:p>
            <w:pPr>
              <w:spacing w:after="20"/>
            </w:pPr>
            <w:r>
              <w:rPr>
                <w:b/>
                <w:sz w:val="18"/>
              </w:rPr>
              <w:t>Actores</w:t>
            </w:r>
          </w:p>
        </w:tc>
        <w:tc>
          <w:tcPr>
            <w:tcW w:type="dxa" w:w="7862"/>
          </w:tcPr>
          <w:p>
            <w:pPr>
              <w:spacing w:after="20"/>
            </w:pPr>
            <w:r>
              <w:rPr>
                <w:b w:val="0"/>
                <w:sz w:val="18"/>
              </w:rPr>
              <w:t>PACIENTE · SISTEMA LEGACY DE ADMISIONES</w:t>
            </w:r>
          </w:p>
        </w:tc>
      </w:tr>
      <w:tr>
        <w:tc>
          <w:tcPr>
            <w:tcW w:type="dxa" w:w="1498"/>
          </w:tcPr>
          <w:p>
            <w:pPr>
              <w:spacing w:after="20"/>
            </w:pPr>
            <w:r>
              <w:rPr>
                <w:b/>
                <w:sz w:val="18"/>
              </w:rPr>
              <w:t>Propósito</w:t>
            </w:r>
          </w:p>
        </w:tc>
        <w:tc>
          <w:tcPr>
            <w:tcW w:type="dxa" w:w="7862"/>
          </w:tcPr>
          <w:p>
            <w:pPr>
              <w:spacing w:after="20"/>
            </w:pPr>
            <w:r>
              <w:rPr>
                <w:b w:val="0"/>
                <w:sz w:val="18"/>
              </w:rPr>
              <w:t>Indicar al paciente el MAC adecuado, validado contra protocolo, interacciones, contraindicaciones y disponibilidad real en el inventario del hospital.</w:t>
            </w:r>
          </w:p>
        </w:tc>
      </w:tr>
      <w:tr>
        <w:tc>
          <w:tcPr>
            <w:tcW w:type="dxa" w:w="1498"/>
          </w:tcPr>
          <w:p>
            <w:pPr>
              <w:spacing w:after="20"/>
            </w:pPr>
            <w:r>
              <w:rPr>
                <w:b/>
                <w:sz w:val="18"/>
              </w:rPr>
              <w:t>Resumen</w:t>
            </w:r>
          </w:p>
        </w:tc>
        <w:tc>
          <w:tcPr>
            <w:tcW w:type="dxa" w:w="7862"/>
          </w:tcPr>
          <w:p>
            <w:pPr>
              <w:spacing w:after="20"/>
            </w:pPr>
            <w:r>
              <w:rPr>
                <w:b w:val="0"/>
                <w:sz w:val="18"/>
              </w:rPr>
              <w:t>El caso de uso se inicia cuando el paciente es evaluado por el médico tratante. El proceso identifica al paciente, selecciona el medicamento y lo valida clínicamente y contra el inventario. El caso de uso finaliza cuando la prescripción validada queda enviada a la farmacia y el paciente recibe la indicación de su tratamiento.</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r>
              <w:rPr>
                <w:b/>
                <w:sz w:val="18"/>
              </w:rPr>
              <w:t>1.</w:t>
            </w:r>
            <w:r>
              <w:rPr>
                <w:b w:val="0"/>
                <w:sz w:val="18"/>
              </w:rPr>
              <w:t xml:space="preserve"> El Paciente se presenta a su consulta o está hospitalizado y es evaluado.</w:t>
            </w:r>
          </w:p>
        </w:tc>
        <w:tc>
          <w:tcPr>
            <w:tcW w:type="dxa" w:w="5429"/>
          </w:tcPr>
          <w:p>
            <w:pPr>
              <w:spacing w:after="20"/>
            </w:pPr>
          </w:p>
        </w:tc>
      </w:tr>
      <w:tr>
        <w:tc>
          <w:tcPr>
            <w:tcW w:type="dxa" w:w="3931"/>
          </w:tcPr>
          <w:p>
            <w:pPr>
              <w:spacing w:after="20"/>
            </w:pPr>
          </w:p>
        </w:tc>
        <w:tc>
          <w:tcPr>
            <w:tcW w:type="dxa" w:w="5429"/>
          </w:tcPr>
          <w:p>
            <w:pPr>
              <w:spacing w:after="20"/>
            </w:pPr>
            <w:r>
              <w:rPr>
                <w:b/>
                <w:sz w:val="18"/>
              </w:rPr>
              <w:t>2.</w:t>
            </w:r>
            <w:r>
              <w:rPr>
                <w:b w:val="0"/>
                <w:sz w:val="18"/>
              </w:rPr>
              <w:t xml:space="preserve"> El Médico tratante solicita la identificación y los datos demográficos del paciente.</w:t>
            </w:r>
          </w:p>
        </w:tc>
      </w:tr>
      <w:tr>
        <w:tc>
          <w:tcPr>
            <w:tcW w:type="dxa" w:w="3931"/>
          </w:tcPr>
          <w:p>
            <w:pPr>
              <w:spacing w:after="20"/>
            </w:pPr>
            <w:r>
              <w:rPr>
                <w:b/>
                <w:sz w:val="18"/>
              </w:rPr>
              <w:t>3.</w:t>
            </w:r>
            <w:r>
              <w:rPr>
                <w:b w:val="0"/>
                <w:sz w:val="18"/>
              </w:rPr>
              <w:t xml:space="preserve"> El Sistema legacy de admisiones provee la identidad y los datos demográficos del paciente.</w:t>
            </w:r>
          </w:p>
        </w:tc>
        <w:tc>
          <w:tcPr>
            <w:tcW w:type="dxa" w:w="5429"/>
          </w:tcPr>
          <w:p>
            <w:pPr>
              <w:spacing w:after="20"/>
            </w:pPr>
          </w:p>
        </w:tc>
      </w:tr>
      <w:tr>
        <w:tc>
          <w:tcPr>
            <w:tcW w:type="dxa" w:w="3931"/>
          </w:tcPr>
          <w:p>
            <w:pPr>
              <w:spacing w:after="20"/>
            </w:pPr>
          </w:p>
        </w:tc>
        <w:tc>
          <w:tcPr>
            <w:tcW w:type="dxa" w:w="5429"/>
          </w:tcPr>
          <w:p>
            <w:pPr>
              <w:spacing w:after="20"/>
            </w:pPr>
            <w:r>
              <w:rPr>
                <w:b/>
                <w:sz w:val="18"/>
              </w:rPr>
              <w:t>4.</w:t>
            </w:r>
            <w:r>
              <w:rPr>
                <w:b w:val="0"/>
                <w:sz w:val="18"/>
              </w:rPr>
              <w:t xml:space="preserve"> El Médico tratante selecciona el MAC (dosis, vía de administración y frecuencia) con la sugerencia según el protocolo y su patrón de prescripción.</w:t>
            </w:r>
          </w:p>
        </w:tc>
      </w:tr>
      <w:tr>
        <w:tc>
          <w:tcPr>
            <w:tcW w:type="dxa" w:w="3931"/>
          </w:tcPr>
          <w:p>
            <w:pPr>
              <w:spacing w:after="20"/>
            </w:pPr>
          </w:p>
        </w:tc>
        <w:tc>
          <w:tcPr>
            <w:tcW w:type="dxa" w:w="5429"/>
          </w:tcPr>
          <w:p>
            <w:pPr>
              <w:spacing w:after="20"/>
            </w:pPr>
            <w:r>
              <w:rPr>
                <w:b/>
                <w:sz w:val="18"/>
              </w:rPr>
              <w:t>5.</w:t>
            </w:r>
            <w:r>
              <w:rPr>
                <w:b w:val="0"/>
                <w:sz w:val="18"/>
              </w:rPr>
              <w:t xml:space="preserve"> La prescripción se valida contra protocolos clínicos, interacciones medicamentosas y contraindicaciones o alergias. *Si no hay alertas, pasar a 6. Si hay alertas, ver curso alterno de la línea 5.*</w:t>
            </w:r>
          </w:p>
        </w:tc>
      </w:tr>
      <w:tr>
        <w:tc>
          <w:tcPr>
            <w:tcW w:type="dxa" w:w="3931"/>
          </w:tcPr>
          <w:p>
            <w:pPr>
              <w:spacing w:after="20"/>
            </w:pPr>
          </w:p>
        </w:tc>
        <w:tc>
          <w:tcPr>
            <w:tcW w:type="dxa" w:w="5429"/>
          </w:tcPr>
          <w:p>
            <w:pPr>
              <w:spacing w:after="20"/>
            </w:pPr>
            <w:r>
              <w:rPr>
                <w:b/>
                <w:sz w:val="18"/>
              </w:rPr>
              <w:t>6.</w:t>
            </w:r>
            <w:r>
              <w:rPr>
                <w:b w:val="0"/>
                <w:sz w:val="18"/>
              </w:rPr>
              <w:t xml:space="preserve"> Se verifica la disponibilidad del MAC en el inventario del hospital. *Si hay stock, pasar a 7. Si no hay, ver curso alterno de la línea 6.*</w:t>
            </w:r>
          </w:p>
        </w:tc>
      </w:tr>
      <w:tr>
        <w:tc>
          <w:tcPr>
            <w:tcW w:type="dxa" w:w="3931"/>
          </w:tcPr>
          <w:p>
            <w:pPr>
              <w:spacing w:after="20"/>
            </w:pPr>
          </w:p>
        </w:tc>
        <w:tc>
          <w:tcPr>
            <w:tcW w:type="dxa" w:w="5429"/>
          </w:tcPr>
          <w:p>
            <w:pPr>
              <w:spacing w:after="20"/>
            </w:pPr>
            <w:r>
              <w:rPr>
                <w:b/>
                <w:sz w:val="18"/>
              </w:rPr>
              <w:t>7.</w:t>
            </w:r>
            <w:r>
              <w:rPr>
                <w:b w:val="0"/>
                <w:sz w:val="18"/>
              </w:rPr>
              <w:t xml:space="preserve"> El Médico tratante emite la prescripción, que queda enviada a la Dispensación (CDU-04).</w:t>
            </w:r>
          </w:p>
        </w:tc>
      </w:tr>
      <w:tr>
        <w:tc>
          <w:tcPr>
            <w:tcW w:type="dxa" w:w="3931"/>
          </w:tcPr>
          <w:p>
            <w:pPr>
              <w:spacing w:after="20"/>
            </w:pPr>
            <w:r>
              <w:rPr>
                <w:b/>
                <w:sz w:val="18"/>
              </w:rPr>
              <w:t>8.</w:t>
            </w:r>
            <w:r>
              <w:rPr>
                <w:b w:val="0"/>
                <w:sz w:val="18"/>
              </w:rPr>
              <w:t xml:space="preserve"> El Paciente recibe la indicación de su tratamiento.</w:t>
            </w:r>
          </w:p>
        </w:tc>
        <w:tc>
          <w:tcPr>
            <w:tcW w:type="dxa" w:w="5429"/>
          </w:tcPr>
          <w:p>
            <w:pPr>
              <w:spacing w:after="20"/>
            </w:pPr>
          </w:p>
        </w:tc>
      </w:tr>
    </w:tbl>
    <w:p>
      <w:pPr>
        <w:spacing w:after="40"/>
      </w:pPr>
    </w:p>
    <w:p>
      <w:pPr>
        <w:pStyle w:val="Heading4"/>
      </w:pPr>
      <w:r>
        <w:rPr>
          <w:color w:val="000000"/>
        </w:rPr>
      </w:r>
      <w:r>
        <w:rPr>
          <w:b/>
          <w:color w:val="000000"/>
        </w:rPr>
        <w:t>Cursos alternos</w:t>
      </w:r>
    </w:p>
    <w:p>
      <w:pPr>
        <w:pStyle w:val="ListBullet"/>
        <w:spacing w:after="40"/>
      </w:pPr>
      <w:r>
        <w:rPr>
          <w:b/>
          <w:sz w:val="18"/>
        </w:rPr>
        <w:t>En la línea 3:</w:t>
      </w:r>
      <w:r>
        <w:rPr>
          <w:b w:val="0"/>
          <w:sz w:val="18"/>
        </w:rPr>
        <w:t xml:space="preserve"> el sistema legacy </w:t>
      </w:r>
      <w:r>
        <w:rPr>
          <w:b/>
          <w:sz w:val="18"/>
        </w:rPr>
        <w:t>no está disponible</w:t>
      </w:r>
      <w:r>
        <w:rPr>
          <w:b w:val="0"/>
          <w:sz w:val="18"/>
        </w:rPr>
        <w:t xml:space="preserve"> (fuera de 7:00-17:00 o lento). Se usa la identidad ya registrada del paciente y la verificación queda pendiente hasta que el legacy responda. Continúa en la línea 4.</w:t>
      </w:r>
    </w:p>
    <w:p>
      <w:pPr>
        <w:pStyle w:val="ListBullet"/>
        <w:spacing w:after="40"/>
      </w:pPr>
      <w:r>
        <w:rPr>
          <w:b/>
          <w:sz w:val="18"/>
        </w:rPr>
        <w:t>En la línea 5:</w:t>
      </w:r>
      <w:r>
        <w:rPr>
          <w:b w:val="0"/>
          <w:sz w:val="18"/>
        </w:rPr>
        <w:t xml:space="preserve"> hay alerta de protocolo, interacción o contraindicación. El Médico tratante ajusta la prescripción (volver a 4) o la mantiene con justificación registrada (pasar a 6).</w:t>
      </w:r>
    </w:p>
    <w:p>
      <w:pPr>
        <w:pStyle w:val="ListBullet"/>
        <w:spacing w:after="40"/>
      </w:pPr>
      <w:r>
        <w:rPr>
          <w:b/>
          <w:sz w:val="18"/>
        </w:rPr>
        <w:t>En la línea 6:</w:t>
      </w:r>
      <w:r>
        <w:rPr>
          <w:b w:val="0"/>
          <w:sz w:val="18"/>
        </w:rPr>
        <w:t xml:space="preserve"> </w:t>
      </w:r>
      <w:r>
        <w:rPr>
          <w:b/>
          <w:sz w:val="18"/>
        </w:rPr>
        <w:t>no hay stock</w:t>
      </w:r>
      <w:r>
        <w:rPr>
          <w:b w:val="0"/>
          <w:sz w:val="18"/>
        </w:rPr>
        <w:t>. El Médico tratante solicita, desde la misma prescripción, una compra urgente (origina CDU-01) o un reemplazo terapéutico (volver a 4).</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Que el proceso recuerde las preferencias de marca de cada médico, para prescribir en menos de 5 minutos.</w:t>
      </w:r>
    </w:p>
    <w:p>
      <w:pPr>
        <w:pStyle w:val="Heading4"/>
      </w:pPr>
      <w:r>
        <w:rPr>
          <w:color w:val="000000"/>
        </w:rPr>
      </w:r>
      <w:r>
        <w:rPr>
          <w:b/>
          <w:color w:val="000000"/>
        </w:rPr>
        <w:t>Sección: Acceso de urgencia a diagnóstico sensible</w:t>
      </w:r>
    </w:p>
    <w:p>
      <w:pPr>
        <w:spacing w:after="20"/>
        <w:ind w:left="360"/>
      </w:pPr>
      <w:r>
        <w:rPr>
          <w:b w:val="0"/>
          <w:sz w:val="18"/>
        </w:rPr>
        <w:t>1. El Médico de urgencias necesita ver un diagnóstico de confidencialidad máxima (VIH, cáncer) de un paciente que no es suyo.</w:t>
      </w:r>
    </w:p>
    <w:p>
      <w:pPr>
        <w:spacing w:after="20"/>
        <w:ind w:left="360"/>
      </w:pPr>
      <w:r>
        <w:rPr>
          <w:b w:val="0"/>
          <w:sz w:val="18"/>
        </w:rPr>
        <w:t>2. Registra la justificación de la emergencia.</w:t>
      </w:r>
    </w:p>
    <w:p>
      <w:pPr>
        <w:spacing w:after="20"/>
        <w:ind w:left="360"/>
      </w:pPr>
      <w:r>
        <w:rPr>
          <w:b w:val="0"/>
          <w:sz w:val="18"/>
        </w:rPr>
        <w:t>3. Accede al diagnóstico; el acceso queda registrado con quién, cuándo y por qué.</w:t>
      </w:r>
    </w:p>
    <w:p>
      <w:pPr>
        <w:pStyle w:val="Heading3"/>
      </w:pPr>
      <w:r>
        <w:rPr>
          <w:color w:val="000000"/>
        </w:rPr>
      </w:r>
      <w:r>
        <w:rPr>
          <w:b/>
          <w:color w:val="000000"/>
        </w:rPr>
        <w:t>CDU-04 · Dispensación del MAC</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Dispensación del MAC</w:t>
            </w:r>
          </w:p>
        </w:tc>
      </w:tr>
      <w:tr>
        <w:tc>
          <w:tcPr>
            <w:tcW w:type="dxa" w:w="1498"/>
          </w:tcPr>
          <w:p>
            <w:pPr>
              <w:spacing w:after="20"/>
            </w:pPr>
            <w:r>
              <w:rPr>
                <w:b/>
                <w:sz w:val="18"/>
              </w:rPr>
              <w:t>Actores</w:t>
            </w:r>
          </w:p>
        </w:tc>
        <w:tc>
          <w:tcPr>
            <w:tcW w:type="dxa" w:w="7862"/>
          </w:tcPr>
          <w:p>
            <w:pPr>
              <w:spacing w:after="20"/>
            </w:pPr>
            <w:r>
              <w:rPr>
                <w:b w:val="0"/>
                <w:sz w:val="18"/>
              </w:rPr>
              <w:t>PACIENTE</w:t>
            </w:r>
          </w:p>
        </w:tc>
      </w:tr>
      <w:tr>
        <w:tc>
          <w:tcPr>
            <w:tcW w:type="dxa" w:w="1498"/>
          </w:tcPr>
          <w:p>
            <w:pPr>
              <w:spacing w:after="20"/>
            </w:pPr>
            <w:r>
              <w:rPr>
                <w:b/>
                <w:sz w:val="18"/>
              </w:rPr>
              <w:t>Propósito</w:t>
            </w:r>
          </w:p>
        </w:tc>
        <w:tc>
          <w:tcPr>
            <w:tcW w:type="dxa" w:w="7862"/>
          </w:tcPr>
          <w:p>
            <w:pPr>
              <w:spacing w:after="20"/>
            </w:pPr>
            <w:r>
              <w:rPr>
                <w:b w:val="0"/>
                <w:sz w:val="18"/>
              </w:rPr>
              <w:t>Asignar nominalmente al paciente un lote válido del inventario del hospital y entregarlo etiquetado para su administración.</w:t>
            </w:r>
          </w:p>
        </w:tc>
      </w:tr>
      <w:tr>
        <w:tc>
          <w:tcPr>
            <w:tcW w:type="dxa" w:w="1498"/>
          </w:tcPr>
          <w:p>
            <w:pPr>
              <w:spacing w:after="20"/>
            </w:pPr>
            <w:r>
              <w:rPr>
                <w:b/>
                <w:sz w:val="18"/>
              </w:rPr>
              <w:t>Resumen</w:t>
            </w:r>
          </w:p>
        </w:tc>
        <w:tc>
          <w:tcPr>
            <w:tcW w:type="dxa" w:w="7862"/>
          </w:tcPr>
          <w:p>
            <w:pPr>
              <w:spacing w:after="20"/>
            </w:pPr>
            <w:r>
              <w:rPr>
                <w:b w:val="0"/>
                <w:sz w:val="18"/>
              </w:rPr>
              <w:t>El caso de uso se inicia cuando llega a la farmacia una prescripción validada. El proceso verifica disponibilidad, asigna un lote específico, genera su etiqueta y registra la dispensación. El caso de uso finaliza cuando el lote etiquetado queda entregado para su administración y el paciente puede verificar por QR qué se le asignó.</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p>
        </w:tc>
        <w:tc>
          <w:tcPr>
            <w:tcW w:type="dxa" w:w="5429"/>
          </w:tcPr>
          <w:p>
            <w:pPr>
              <w:spacing w:after="20"/>
            </w:pPr>
            <w:r>
              <w:rPr>
                <w:b/>
                <w:sz w:val="18"/>
              </w:rPr>
              <w:t>1.</w:t>
            </w:r>
            <w:r>
              <w:rPr>
                <w:b w:val="0"/>
                <w:sz w:val="18"/>
              </w:rPr>
              <w:t xml:space="preserve"> El Farmacéutico clínico recibe la orden de dispensación. *Si no puede dispensar a tiempo en una urgencia, ver curso alterno de la línea 1.*</w:t>
            </w:r>
          </w:p>
        </w:tc>
      </w:tr>
      <w:tr>
        <w:tc>
          <w:tcPr>
            <w:tcW w:type="dxa" w:w="3931"/>
          </w:tcPr>
          <w:p>
            <w:pPr>
              <w:spacing w:after="20"/>
            </w:pPr>
          </w:p>
        </w:tc>
        <w:tc>
          <w:tcPr>
            <w:tcW w:type="dxa" w:w="5429"/>
          </w:tcPr>
          <w:p>
            <w:pPr>
              <w:spacing w:after="20"/>
            </w:pPr>
            <w:r>
              <w:rPr>
                <w:b/>
                <w:sz w:val="18"/>
              </w:rPr>
              <w:t>2.</w:t>
            </w:r>
            <w:r>
              <w:rPr>
                <w:b w:val="0"/>
                <w:sz w:val="18"/>
              </w:rPr>
              <w:t xml:space="preserve"> El Farmacéutico clínico verifica la disponibilidad en el inventario del hospital (no en farmacia externa).</w:t>
            </w:r>
          </w:p>
        </w:tc>
      </w:tr>
      <w:tr>
        <w:tc>
          <w:tcPr>
            <w:tcW w:type="dxa" w:w="3931"/>
          </w:tcPr>
          <w:p>
            <w:pPr>
              <w:spacing w:after="20"/>
            </w:pPr>
          </w:p>
        </w:tc>
        <w:tc>
          <w:tcPr>
            <w:tcW w:type="dxa" w:w="5429"/>
          </w:tcPr>
          <w:p>
            <w:pPr>
              <w:spacing w:after="20"/>
            </w:pPr>
            <w:r>
              <w:rPr>
                <w:b/>
                <w:sz w:val="18"/>
              </w:rPr>
              <w:t>3.</w:t>
            </w:r>
            <w:r>
              <w:rPr>
                <w:b w:val="0"/>
                <w:sz w:val="18"/>
              </w:rPr>
              <w:t xml:space="preserve"> El Farmacéutico clínico asigna un lote específico al paciente.</w:t>
            </w:r>
          </w:p>
        </w:tc>
      </w:tr>
      <w:tr>
        <w:tc>
          <w:tcPr>
            <w:tcW w:type="dxa" w:w="3931"/>
          </w:tcPr>
          <w:p>
            <w:pPr>
              <w:spacing w:after="20"/>
            </w:pPr>
          </w:p>
        </w:tc>
        <w:tc>
          <w:tcPr>
            <w:tcW w:type="dxa" w:w="5429"/>
          </w:tcPr>
          <w:p>
            <w:pPr>
              <w:spacing w:after="20"/>
            </w:pPr>
            <w:r>
              <w:rPr>
                <w:b/>
                <w:sz w:val="18"/>
              </w:rPr>
              <w:t>4.</w:t>
            </w:r>
            <w:r>
              <w:rPr>
                <w:b w:val="0"/>
                <w:sz w:val="18"/>
              </w:rPr>
              <w:t xml:space="preserve"> El Farmacéutico clínico genera la etiqueta con código de barras/QR del lote asignado.</w:t>
            </w:r>
          </w:p>
        </w:tc>
      </w:tr>
      <w:tr>
        <w:tc>
          <w:tcPr>
            <w:tcW w:type="dxa" w:w="3931"/>
          </w:tcPr>
          <w:p>
            <w:pPr>
              <w:spacing w:after="20"/>
            </w:pPr>
          </w:p>
        </w:tc>
        <w:tc>
          <w:tcPr>
            <w:tcW w:type="dxa" w:w="5429"/>
          </w:tcPr>
          <w:p>
            <w:pPr>
              <w:spacing w:after="20"/>
            </w:pPr>
            <w:r>
              <w:rPr>
                <w:b/>
                <w:sz w:val="18"/>
              </w:rPr>
              <w:t>5.</w:t>
            </w:r>
            <w:r>
              <w:rPr>
                <w:b w:val="0"/>
                <w:sz w:val="18"/>
              </w:rPr>
              <w:t xml:space="preserve"> Para oncológicos y opioides, el Farmacéutico clínico registra su parte del doble registro, que deberá coincidir con el del Enfermero de piso.</w:t>
            </w:r>
          </w:p>
        </w:tc>
      </w:tr>
      <w:tr>
        <w:tc>
          <w:tcPr>
            <w:tcW w:type="dxa" w:w="3931"/>
          </w:tcPr>
          <w:p>
            <w:pPr>
              <w:spacing w:after="20"/>
            </w:pPr>
          </w:p>
        </w:tc>
        <w:tc>
          <w:tcPr>
            <w:tcW w:type="dxa" w:w="5429"/>
          </w:tcPr>
          <w:p>
            <w:pPr>
              <w:spacing w:after="20"/>
            </w:pPr>
            <w:r>
              <w:rPr>
                <w:b/>
                <w:sz w:val="18"/>
              </w:rPr>
              <w:t>6.</w:t>
            </w:r>
            <w:r>
              <w:rPr>
                <w:b w:val="0"/>
                <w:sz w:val="18"/>
              </w:rPr>
              <w:t xml:space="preserve"> El Farmacéutico clínico entrega el medicamento etiquetado a enfermería.</w:t>
            </w:r>
          </w:p>
        </w:tc>
      </w:tr>
      <w:tr>
        <w:tc>
          <w:tcPr>
            <w:tcW w:type="dxa" w:w="3931"/>
          </w:tcPr>
          <w:p>
            <w:pPr>
              <w:spacing w:after="20"/>
            </w:pPr>
            <w:r>
              <w:rPr>
                <w:b/>
                <w:sz w:val="18"/>
              </w:rPr>
              <w:t>7.</w:t>
            </w:r>
            <w:r>
              <w:rPr>
                <w:b w:val="0"/>
                <w:sz w:val="18"/>
              </w:rPr>
              <w:t xml:space="preserve"> El Paciente puede escanear el código QR y verificar que el medicamento y la dosis asignados son los correctos.</w:t>
            </w:r>
          </w:p>
        </w:tc>
        <w:tc>
          <w:tcPr>
            <w:tcW w:type="dxa" w:w="5429"/>
          </w:tcPr>
          <w:p>
            <w:pPr>
              <w:spacing w:after="20"/>
            </w:pPr>
          </w:p>
        </w:tc>
      </w:tr>
    </w:tbl>
    <w:p>
      <w:pPr>
        <w:spacing w:after="40"/>
      </w:pPr>
    </w:p>
    <w:p>
      <w:pPr>
        <w:pStyle w:val="Heading4"/>
      </w:pPr>
      <w:r>
        <w:rPr>
          <w:color w:val="000000"/>
        </w:rPr>
      </w:r>
      <w:r>
        <w:rPr>
          <w:b/>
          <w:color w:val="000000"/>
        </w:rPr>
        <w:t>Cursos alternos</w:t>
      </w:r>
    </w:p>
    <w:p>
      <w:pPr>
        <w:pStyle w:val="ListBullet"/>
        <w:spacing w:after="40"/>
      </w:pPr>
      <w:r>
        <w:rPr>
          <w:b/>
          <w:sz w:val="18"/>
        </w:rPr>
        <w:t>En la línea 1:</w:t>
      </w:r>
      <w:r>
        <w:rPr>
          <w:b w:val="0"/>
          <w:sz w:val="18"/>
        </w:rPr>
        <w:t xml:space="preserve"> urgencia con el farmacéutico ocupado (escenario del sábado 6:00 PM). Ver sección *Dispensación de urgencia*.</w:t>
      </w:r>
    </w:p>
    <w:p>
      <w:pPr>
        <w:pStyle w:val="ListBullet"/>
        <w:spacing w:after="40"/>
      </w:pPr>
      <w:r>
        <w:rPr>
          <w:b/>
          <w:sz w:val="18"/>
        </w:rPr>
        <w:t>En la línea 2:</w:t>
      </w:r>
      <w:r>
        <w:rPr>
          <w:b w:val="0"/>
          <w:sz w:val="18"/>
        </w:rPr>
        <w:t xml:space="preserve"> </w:t>
      </w:r>
      <w:r>
        <w:rPr>
          <w:b/>
          <w:sz w:val="18"/>
        </w:rPr>
        <w:t>la farmacia pierde la conexión</w:t>
      </w:r>
      <w:r>
        <w:rPr>
          <w:b w:val="0"/>
          <w:sz w:val="18"/>
        </w:rPr>
        <w:t xml:space="preserve"> (Wi-Fi inestable del sótano). La dispensación continúa con el inventario local de la farmacia y se concilia automáticamente cuando la conexión regresa, sin duplicar registros. Continúa en la línea 3.</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Proyección de faltantes visible en la misma pantalla de dispensación.</w:t>
      </w:r>
    </w:p>
    <w:p>
      <w:pPr>
        <w:pStyle w:val="Heading4"/>
      </w:pPr>
      <w:r>
        <w:rPr>
          <w:color w:val="000000"/>
        </w:rPr>
      </w:r>
      <w:r>
        <w:rPr>
          <w:b/>
          <w:color w:val="000000"/>
        </w:rPr>
        <w:t>Sección: Dispensación de urgencia</w:t>
      </w:r>
    </w:p>
    <w:p>
      <w:pPr>
        <w:spacing w:after="20"/>
        <w:ind w:left="360"/>
      </w:pPr>
      <w:r>
        <w:rPr>
          <w:b w:val="0"/>
          <w:sz w:val="18"/>
        </w:rPr>
        <w:t xml:space="preserve">1. </w:t>
      </w:r>
      <w:r>
        <w:rPr>
          <w:b/>
          <w:sz w:val="18"/>
        </w:rPr>
        <w:t>Opción A:</w:t>
      </w:r>
      <w:r>
        <w:rPr>
          <w:b w:val="0"/>
          <w:sz w:val="18"/>
        </w:rPr>
        <w:t xml:space="preserve"> el Enfermero de piso toma el medicamento de la gaveta de *dispensación inmediata* y lo escanea; queda registrado quién lo tomó y por qué.</w:t>
      </w:r>
    </w:p>
    <w:p>
      <w:pPr>
        <w:spacing w:after="20"/>
        <w:ind w:left="360"/>
      </w:pPr>
      <w:r>
        <w:rPr>
          <w:b w:val="0"/>
          <w:sz w:val="18"/>
        </w:rPr>
        <w:t xml:space="preserve">2. </w:t>
      </w:r>
      <w:r>
        <w:rPr>
          <w:b/>
          <w:sz w:val="18"/>
        </w:rPr>
        <w:t>Opción B:</w:t>
      </w:r>
      <w:r>
        <w:rPr>
          <w:b w:val="0"/>
          <w:sz w:val="18"/>
        </w:rPr>
        <w:t xml:space="preserve"> se autoriza el préstamo del medicamento de otro paciente que lo tiene prescrito para el día siguiente, y se genera la notificación para reponerlo antes de que ese paciente lo necesite.</w:t>
      </w:r>
    </w:p>
    <w:p>
      <w:pPr>
        <w:spacing w:after="20"/>
        <w:ind w:left="360"/>
      </w:pPr>
      <w:r>
        <w:rPr>
          <w:b w:val="0"/>
          <w:sz w:val="18"/>
        </w:rPr>
        <w:t xml:space="preserve">3. </w:t>
      </w:r>
      <w:r>
        <w:rPr>
          <w:b/>
          <w:sz w:val="18"/>
        </w:rPr>
        <w:t>Opción C:</w:t>
      </w:r>
      <w:r>
        <w:rPr>
          <w:b w:val="0"/>
          <w:sz w:val="18"/>
        </w:rPr>
        <w:t xml:space="preserve"> se reserva el lote (dispensación virtual) sin retiro físico inmediato; el Farmacéutico clínico valida la entrega física dentro de las 12 horas siguientes.</w:t>
      </w:r>
    </w:p>
    <w:p>
      <w:pPr>
        <w:pStyle w:val="Heading3"/>
      </w:pPr>
      <w:r>
        <w:rPr>
          <w:color w:val="000000"/>
        </w:rPr>
      </w:r>
      <w:r>
        <w:rPr>
          <w:b/>
          <w:color w:val="000000"/>
        </w:rPr>
        <w:t>CDU-05 · Administración del MAC al paciente</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Administración del MAC al paciente</w:t>
            </w:r>
          </w:p>
        </w:tc>
      </w:tr>
      <w:tr>
        <w:tc>
          <w:tcPr>
            <w:tcW w:type="dxa" w:w="1498"/>
          </w:tcPr>
          <w:p>
            <w:pPr>
              <w:spacing w:after="20"/>
            </w:pPr>
            <w:r>
              <w:rPr>
                <w:b/>
                <w:sz w:val="18"/>
              </w:rPr>
              <w:t>Actores</w:t>
            </w:r>
          </w:p>
        </w:tc>
        <w:tc>
          <w:tcPr>
            <w:tcW w:type="dxa" w:w="7862"/>
          </w:tcPr>
          <w:p>
            <w:pPr>
              <w:spacing w:after="20"/>
            </w:pPr>
            <w:r>
              <w:rPr>
                <w:b w:val="0"/>
                <w:sz w:val="18"/>
              </w:rPr>
              <w:t>PACIENTE</w:t>
            </w:r>
          </w:p>
        </w:tc>
      </w:tr>
      <w:tr>
        <w:tc>
          <w:tcPr>
            <w:tcW w:type="dxa" w:w="1498"/>
          </w:tcPr>
          <w:p>
            <w:pPr>
              <w:spacing w:after="20"/>
            </w:pPr>
            <w:r>
              <w:rPr>
                <w:b/>
                <w:sz w:val="18"/>
              </w:rPr>
              <w:t>Propósito</w:t>
            </w:r>
          </w:p>
        </w:tc>
        <w:tc>
          <w:tcPr>
            <w:tcW w:type="dxa" w:w="7862"/>
          </w:tcPr>
          <w:p>
            <w:pPr>
              <w:spacing w:after="20"/>
            </w:pPr>
            <w:r>
              <w:rPr>
                <w:b w:val="0"/>
                <w:sz w:val="18"/>
              </w:rPr>
              <w:t>Aplicar el medicamento correcto al paciente correcto, con registro completo y trazable del acto.</w:t>
            </w:r>
          </w:p>
        </w:tc>
      </w:tr>
      <w:tr>
        <w:tc>
          <w:tcPr>
            <w:tcW w:type="dxa" w:w="1498"/>
          </w:tcPr>
          <w:p>
            <w:pPr>
              <w:spacing w:after="20"/>
            </w:pPr>
            <w:r>
              <w:rPr>
                <w:b/>
                <w:sz w:val="18"/>
              </w:rPr>
              <w:t>Resumen</w:t>
            </w:r>
          </w:p>
        </w:tc>
        <w:tc>
          <w:tcPr>
            <w:tcW w:type="dxa" w:w="7862"/>
          </w:tcPr>
          <w:p>
            <w:pPr>
              <w:spacing w:after="20"/>
            </w:pPr>
            <w:r>
              <w:rPr>
                <w:b w:val="0"/>
                <w:sz w:val="18"/>
              </w:rPr>
              <w:t>El caso de uso se inicia cuando el enfermero va a aplicar una dosis dispensada. El proceso identifica al paciente, al medicamento y al enfermero, valida que coincidan y registra la aplicación. El caso de uso finaliza cuando el paciente recibió el medicamento y la administración quedó registrada.</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p>
        </w:tc>
        <w:tc>
          <w:tcPr>
            <w:tcW w:type="dxa" w:w="5429"/>
          </w:tcPr>
          <w:p>
            <w:pPr>
              <w:spacing w:after="20"/>
            </w:pPr>
            <w:r>
              <w:rPr>
                <w:b/>
                <w:sz w:val="18"/>
              </w:rPr>
              <w:t>1.</w:t>
            </w:r>
            <w:r>
              <w:rPr>
                <w:b w:val="0"/>
                <w:sz w:val="18"/>
              </w:rPr>
              <w:t xml:space="preserve"> El Enfermero de piso escanea la pulsera del paciente.</w:t>
            </w:r>
          </w:p>
        </w:tc>
      </w:tr>
      <w:tr>
        <w:tc>
          <w:tcPr>
            <w:tcW w:type="dxa" w:w="3931"/>
          </w:tcPr>
          <w:p>
            <w:pPr>
              <w:spacing w:after="20"/>
            </w:pPr>
          </w:p>
        </w:tc>
        <w:tc>
          <w:tcPr>
            <w:tcW w:type="dxa" w:w="5429"/>
          </w:tcPr>
          <w:p>
            <w:pPr>
              <w:spacing w:after="20"/>
            </w:pPr>
            <w:r>
              <w:rPr>
                <w:b/>
                <w:sz w:val="18"/>
              </w:rPr>
              <w:t>2.</w:t>
            </w:r>
            <w:r>
              <w:rPr>
                <w:b w:val="0"/>
                <w:sz w:val="18"/>
              </w:rPr>
              <w:t xml:space="preserve"> El Enfermero de piso escanea el código de barras del medicamento dispensado.</w:t>
            </w:r>
          </w:p>
        </w:tc>
      </w:tr>
      <w:tr>
        <w:tc>
          <w:tcPr>
            <w:tcW w:type="dxa" w:w="3931"/>
          </w:tcPr>
          <w:p>
            <w:pPr>
              <w:spacing w:after="20"/>
            </w:pPr>
          </w:p>
        </w:tc>
        <w:tc>
          <w:tcPr>
            <w:tcW w:type="dxa" w:w="5429"/>
          </w:tcPr>
          <w:p>
            <w:pPr>
              <w:spacing w:after="20"/>
            </w:pPr>
            <w:r>
              <w:rPr>
                <w:b/>
                <w:sz w:val="18"/>
              </w:rPr>
              <w:t>3.</w:t>
            </w:r>
            <w:r>
              <w:rPr>
                <w:b w:val="0"/>
                <w:sz w:val="18"/>
              </w:rPr>
              <w:t xml:space="preserve"> El Enfermero de piso se autentica con su credencial biométrica en la tablet.</w:t>
            </w:r>
          </w:p>
        </w:tc>
      </w:tr>
      <w:tr>
        <w:tc>
          <w:tcPr>
            <w:tcW w:type="dxa" w:w="3931"/>
          </w:tcPr>
          <w:p>
            <w:pPr>
              <w:spacing w:after="20"/>
            </w:pPr>
          </w:p>
        </w:tc>
        <w:tc>
          <w:tcPr>
            <w:tcW w:type="dxa" w:w="5429"/>
          </w:tcPr>
          <w:p>
            <w:pPr>
              <w:spacing w:after="20"/>
            </w:pPr>
            <w:r>
              <w:rPr>
                <w:b/>
                <w:sz w:val="18"/>
              </w:rPr>
              <w:t>4.</w:t>
            </w:r>
            <w:r>
              <w:rPr>
                <w:b w:val="0"/>
                <w:sz w:val="18"/>
              </w:rPr>
              <w:t xml:space="preserve"> Se valida que paciente y medicamento coinciden, en menos de 500 ms. *Si coinciden, pasar a 5. Si no, ver curso alterno de la línea 4.*</w:t>
            </w:r>
          </w:p>
        </w:tc>
      </w:tr>
      <w:tr>
        <w:tc>
          <w:tcPr>
            <w:tcW w:type="dxa" w:w="3931"/>
          </w:tcPr>
          <w:p>
            <w:pPr>
              <w:spacing w:after="20"/>
            </w:pPr>
          </w:p>
        </w:tc>
        <w:tc>
          <w:tcPr>
            <w:tcW w:type="dxa" w:w="5429"/>
          </w:tcPr>
          <w:p>
            <w:pPr>
              <w:spacing w:after="20"/>
            </w:pPr>
            <w:r>
              <w:rPr>
                <w:b/>
                <w:sz w:val="18"/>
              </w:rPr>
              <w:t>5.</w:t>
            </w:r>
            <w:r>
              <w:rPr>
                <w:b w:val="0"/>
                <w:sz w:val="18"/>
              </w:rPr>
              <w:t xml:space="preserve"> Para oncológicos y opioides, el registro del Enfermero de piso se compara con el del Farmacéutico clínico. *Si la discrepancia supera los 5 minutos, se activa una alerta de seguridad.*</w:t>
            </w:r>
          </w:p>
        </w:tc>
      </w:tr>
      <w:tr>
        <w:tc>
          <w:tcPr>
            <w:tcW w:type="dxa" w:w="3931"/>
          </w:tcPr>
          <w:p>
            <w:pPr>
              <w:spacing w:after="20"/>
            </w:pPr>
          </w:p>
        </w:tc>
        <w:tc>
          <w:tcPr>
            <w:tcW w:type="dxa" w:w="5429"/>
          </w:tcPr>
          <w:p>
            <w:pPr>
              <w:spacing w:after="20"/>
            </w:pPr>
            <w:r>
              <w:rPr>
                <w:b/>
                <w:sz w:val="18"/>
              </w:rPr>
              <w:t>6.</w:t>
            </w:r>
            <w:r>
              <w:rPr>
                <w:b w:val="0"/>
                <w:sz w:val="18"/>
              </w:rPr>
              <w:t xml:space="preserve"> El Enfermero de piso aplica el medicamento.</w:t>
            </w:r>
          </w:p>
        </w:tc>
      </w:tr>
      <w:tr>
        <w:tc>
          <w:tcPr>
            <w:tcW w:type="dxa" w:w="3931"/>
          </w:tcPr>
          <w:p>
            <w:pPr>
              <w:spacing w:after="20"/>
            </w:pPr>
            <w:r>
              <w:rPr>
                <w:b/>
                <w:sz w:val="18"/>
              </w:rPr>
              <w:t>7.</w:t>
            </w:r>
            <w:r>
              <w:rPr>
                <w:b w:val="0"/>
                <w:sz w:val="18"/>
              </w:rPr>
              <w:t xml:space="preserve"> El Paciente recibe el medicamento.</w:t>
            </w:r>
          </w:p>
        </w:tc>
        <w:tc>
          <w:tcPr>
            <w:tcW w:type="dxa" w:w="5429"/>
          </w:tcPr>
          <w:p>
            <w:pPr>
              <w:spacing w:after="20"/>
            </w:pPr>
          </w:p>
        </w:tc>
      </w:tr>
      <w:tr>
        <w:tc>
          <w:tcPr>
            <w:tcW w:type="dxa" w:w="3931"/>
          </w:tcPr>
          <w:p>
            <w:pPr>
              <w:spacing w:after="20"/>
            </w:pPr>
          </w:p>
        </w:tc>
        <w:tc>
          <w:tcPr>
            <w:tcW w:type="dxa" w:w="5429"/>
          </w:tcPr>
          <w:p>
            <w:pPr>
              <w:spacing w:after="20"/>
            </w:pPr>
            <w:r>
              <w:rPr>
                <w:b/>
                <w:sz w:val="18"/>
              </w:rPr>
              <w:t>8.</w:t>
            </w:r>
            <w:r>
              <w:rPr>
                <w:b w:val="0"/>
                <w:sz w:val="18"/>
              </w:rPr>
              <w:t xml:space="preserve"> El Enfermero de piso registra hora, fecha, sitio de aplicación y reacciones adversas inmediatas, por dictado de voz si es necesario. *Si hay reacción adversa, se origina el Seguimiento (CDU-06).*</w:t>
            </w:r>
          </w:p>
        </w:tc>
      </w:tr>
    </w:tbl>
    <w:p>
      <w:pPr>
        <w:spacing w:after="40"/>
      </w:pPr>
    </w:p>
    <w:p>
      <w:pPr>
        <w:pStyle w:val="Heading4"/>
      </w:pPr>
      <w:r>
        <w:rPr>
          <w:color w:val="000000"/>
        </w:rPr>
      </w:r>
      <w:r>
        <w:rPr>
          <w:b/>
          <w:color w:val="000000"/>
        </w:rPr>
        <w:t>Cursos alternos</w:t>
      </w:r>
    </w:p>
    <w:p>
      <w:pPr>
        <w:pStyle w:val="ListBullet"/>
        <w:spacing w:after="40"/>
      </w:pPr>
      <w:r>
        <w:rPr>
          <w:b/>
          <w:sz w:val="18"/>
        </w:rPr>
        <w:t>En la línea 1 o 2:</w:t>
      </w:r>
      <w:r>
        <w:rPr>
          <w:b w:val="0"/>
          <w:sz w:val="18"/>
        </w:rPr>
        <w:t xml:space="preserve"> </w:t>
      </w:r>
      <w:r>
        <w:rPr>
          <w:b/>
          <w:sz w:val="18"/>
        </w:rPr>
        <w:t>el escáner falla</w:t>
      </w:r>
      <w:r>
        <w:rPr>
          <w:b w:val="0"/>
          <w:sz w:val="18"/>
        </w:rPr>
        <w:t xml:space="preserve"> (5 % de lecturas). El Enfermero de piso ingresa el código manualmente. Continúa en la línea siguiente.</w:t>
      </w:r>
    </w:p>
    <w:p>
      <w:pPr>
        <w:pStyle w:val="ListBullet"/>
        <w:spacing w:after="40"/>
      </w:pPr>
      <w:r>
        <w:rPr>
          <w:b/>
          <w:sz w:val="18"/>
        </w:rPr>
        <w:t>En la línea 4:</w:t>
      </w:r>
      <w:r>
        <w:rPr>
          <w:b w:val="0"/>
          <w:sz w:val="18"/>
        </w:rPr>
        <w:t xml:space="preserve"> paciente y medicamento </w:t>
      </w:r>
      <w:r>
        <w:rPr>
          <w:b/>
          <w:sz w:val="18"/>
        </w:rPr>
        <w:t>no coinciden</w:t>
      </w:r>
      <w:r>
        <w:rPr>
          <w:b w:val="0"/>
          <w:sz w:val="18"/>
        </w:rPr>
        <w:t xml:space="preserve"> (escenario del metotrexato, cama 302 vs. 304). El proceso muestra la alerta de ALTO y el Enfermero de piso detiene la administración. Fin del caso de uso.</w:t>
      </w:r>
    </w:p>
    <w:p>
      <w:pPr>
        <w:pStyle w:val="ListBullet"/>
        <w:spacing w:after="40"/>
      </w:pPr>
      <w:r>
        <w:rPr>
          <w:b/>
          <w:sz w:val="18"/>
        </w:rPr>
        <w:t>En la línea 6:</w:t>
      </w:r>
      <w:r>
        <w:rPr>
          <w:b w:val="0"/>
          <w:sz w:val="18"/>
        </w:rPr>
        <w:t xml:space="preserve"> </w:t>
      </w:r>
      <w:r>
        <w:rPr>
          <w:b/>
          <w:sz w:val="18"/>
        </w:rPr>
        <w:t>no hay conexión</w:t>
      </w:r>
      <w:r>
        <w:rPr>
          <w:b w:val="0"/>
          <w:sz w:val="18"/>
        </w:rPr>
        <w:t>. La administración se registra offline y la trazabilidad se concilia automáticamente al volver la conexión, sin duplicar registros. Continúa en la línea 7.</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Registro de reacciones adversas por voz a texto: escribir en la tablet con el paciente en shock es inviable.</w:t>
      </w:r>
    </w:p>
    <w:p>
      <w:pPr>
        <w:pStyle w:val="Heading3"/>
      </w:pPr>
      <w:r>
        <w:rPr>
          <w:color w:val="000000"/>
        </w:rPr>
      </w:r>
      <w:r>
        <w:rPr>
          <w:b/>
          <w:color w:val="000000"/>
        </w:rPr>
        <w:t>CDU-06 · Seguimiento y farmacovigilancia</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Seguimiento y farmacovigilancia</w:t>
            </w:r>
          </w:p>
        </w:tc>
      </w:tr>
      <w:tr>
        <w:tc>
          <w:tcPr>
            <w:tcW w:type="dxa" w:w="1498"/>
          </w:tcPr>
          <w:p>
            <w:pPr>
              <w:spacing w:after="20"/>
            </w:pPr>
            <w:r>
              <w:rPr>
                <w:b/>
                <w:sz w:val="18"/>
              </w:rPr>
              <w:t>Actores</w:t>
            </w:r>
          </w:p>
        </w:tc>
        <w:tc>
          <w:tcPr>
            <w:tcW w:type="dxa" w:w="7862"/>
          </w:tcPr>
          <w:p>
            <w:pPr>
              <w:spacing w:after="20"/>
            </w:pPr>
            <w:r>
              <w:rPr>
                <w:b w:val="0"/>
                <w:sz w:val="18"/>
              </w:rPr>
              <w:t>PACIENTE · MSPAS</w:t>
            </w:r>
          </w:p>
        </w:tc>
      </w:tr>
      <w:tr>
        <w:tc>
          <w:tcPr>
            <w:tcW w:type="dxa" w:w="1498"/>
          </w:tcPr>
          <w:p>
            <w:pPr>
              <w:spacing w:after="20"/>
            </w:pPr>
            <w:r>
              <w:rPr>
                <w:b/>
                <w:sz w:val="18"/>
              </w:rPr>
              <w:t>Propósito</w:t>
            </w:r>
          </w:p>
        </w:tc>
        <w:tc>
          <w:tcPr>
            <w:tcW w:type="dxa" w:w="7862"/>
          </w:tcPr>
          <w:p>
            <w:pPr>
              <w:spacing w:after="20"/>
            </w:pPr>
            <w:r>
              <w:rPr>
                <w:b w:val="0"/>
                <w:sz w:val="18"/>
              </w:rPr>
              <w:t>Vigilar la respuesta del paciente al tratamiento, ajustar la dosis y cumplir con el reporte obligatorio de efectos adversos.</w:t>
            </w:r>
          </w:p>
        </w:tc>
      </w:tr>
      <w:tr>
        <w:tc>
          <w:tcPr>
            <w:tcW w:type="dxa" w:w="1498"/>
          </w:tcPr>
          <w:p>
            <w:pPr>
              <w:spacing w:after="20"/>
            </w:pPr>
            <w:r>
              <w:rPr>
                <w:b/>
                <w:sz w:val="18"/>
              </w:rPr>
              <w:t>Resumen</w:t>
            </w:r>
          </w:p>
        </w:tc>
        <w:tc>
          <w:tcPr>
            <w:tcW w:type="dxa" w:w="7862"/>
          </w:tcPr>
          <w:p>
            <w:pPr>
              <w:spacing w:after="20"/>
            </w:pPr>
            <w:r>
              <w:rPr>
                <w:b w:val="0"/>
                <w:sz w:val="18"/>
              </w:rPr>
              <w:t>El caso de uso se inicia cuando se registra un efecto adverso o llega un control de seguimiento del paciente. El proceso notifica al médico, analiza el caso, cruza reportes del mismo lote y genera el reporte oficial. El caso de uso finaliza cuando el MSPAS recibe el reporte y el paciente tiene su tratamiento ajustado.</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r>
              <w:rPr>
                <w:b/>
                <w:sz w:val="18"/>
              </w:rPr>
              <w:t>1.</w:t>
            </w:r>
            <w:r>
              <w:rPr>
                <w:b w:val="0"/>
                <w:sz w:val="18"/>
              </w:rPr>
              <w:t xml:space="preserve"> El Paciente presenta o reporta un efecto adverso en los días posteriores a la administración.</w:t>
            </w:r>
          </w:p>
        </w:tc>
        <w:tc>
          <w:tcPr>
            <w:tcW w:type="dxa" w:w="5429"/>
          </w:tcPr>
          <w:p>
            <w:pPr>
              <w:spacing w:after="20"/>
            </w:pPr>
          </w:p>
        </w:tc>
      </w:tr>
      <w:tr>
        <w:tc>
          <w:tcPr>
            <w:tcW w:type="dxa" w:w="3931"/>
          </w:tcPr>
          <w:p>
            <w:pPr>
              <w:spacing w:after="20"/>
            </w:pPr>
          </w:p>
        </w:tc>
        <w:tc>
          <w:tcPr>
            <w:tcW w:type="dxa" w:w="5429"/>
          </w:tcPr>
          <w:p>
            <w:pPr>
              <w:spacing w:after="20"/>
            </w:pPr>
            <w:r>
              <w:rPr>
                <w:b/>
                <w:sz w:val="18"/>
              </w:rPr>
              <w:t>2.</w:t>
            </w:r>
            <w:r>
              <w:rPr>
                <w:b w:val="0"/>
                <w:sz w:val="18"/>
              </w:rPr>
              <w:t xml:space="preserve"> El Enfermero de piso o el Médico tratante registra el efecto adverso.</w:t>
            </w:r>
          </w:p>
        </w:tc>
      </w:tr>
      <w:tr>
        <w:tc>
          <w:tcPr>
            <w:tcW w:type="dxa" w:w="3931"/>
          </w:tcPr>
          <w:p>
            <w:pPr>
              <w:spacing w:after="20"/>
            </w:pPr>
          </w:p>
        </w:tc>
        <w:tc>
          <w:tcPr>
            <w:tcW w:type="dxa" w:w="5429"/>
          </w:tcPr>
          <w:p>
            <w:pPr>
              <w:spacing w:after="20"/>
            </w:pPr>
            <w:r>
              <w:rPr>
                <w:b/>
                <w:sz w:val="18"/>
              </w:rPr>
              <w:t>3.</w:t>
            </w:r>
            <w:r>
              <w:rPr>
                <w:b w:val="0"/>
                <w:sz w:val="18"/>
              </w:rPr>
              <w:t xml:space="preserve"> El Médico tratante es notificado, evalúa al paciente y ajusta la dosis según la respuesta.</w:t>
            </w:r>
          </w:p>
        </w:tc>
      </w:tr>
      <w:tr>
        <w:tc>
          <w:tcPr>
            <w:tcW w:type="dxa" w:w="3931"/>
          </w:tcPr>
          <w:p>
            <w:pPr>
              <w:spacing w:after="20"/>
            </w:pPr>
          </w:p>
        </w:tc>
        <w:tc>
          <w:tcPr>
            <w:tcW w:type="dxa" w:w="5429"/>
          </w:tcPr>
          <w:p>
            <w:pPr>
              <w:spacing w:after="20"/>
            </w:pPr>
            <w:r>
              <w:rPr>
                <w:b/>
                <w:sz w:val="18"/>
              </w:rPr>
              <w:t>4.</w:t>
            </w:r>
            <w:r>
              <w:rPr>
                <w:b w:val="0"/>
                <w:sz w:val="18"/>
              </w:rPr>
              <w:t xml:space="preserve"> El Jefe de Farmacovigilancia analiza el caso y lo cruza con otros reportes del mismo lote. *Si detecta un patrón, ver curso alterno de la línea 4.*</w:t>
            </w:r>
          </w:p>
        </w:tc>
      </w:tr>
      <w:tr>
        <w:tc>
          <w:tcPr>
            <w:tcW w:type="dxa" w:w="3931"/>
          </w:tcPr>
          <w:p>
            <w:pPr>
              <w:spacing w:after="20"/>
            </w:pPr>
          </w:p>
        </w:tc>
        <w:tc>
          <w:tcPr>
            <w:tcW w:type="dxa" w:w="5429"/>
          </w:tcPr>
          <w:p>
            <w:pPr>
              <w:spacing w:after="20"/>
            </w:pPr>
            <w:r>
              <w:rPr>
                <w:b/>
                <w:sz w:val="18"/>
              </w:rPr>
              <w:t>5.</w:t>
            </w:r>
            <w:r>
              <w:rPr>
                <w:b w:val="0"/>
                <w:sz w:val="18"/>
              </w:rPr>
              <w:t xml:space="preserve"> El Jefe de Farmacovigilancia genera el reporte en el formato XML con la DTD definida por el MSPAS, dentro de las 24 horas.</w:t>
            </w:r>
          </w:p>
        </w:tc>
      </w:tr>
      <w:tr>
        <w:tc>
          <w:tcPr>
            <w:tcW w:type="dxa" w:w="3931"/>
          </w:tcPr>
          <w:p>
            <w:pPr>
              <w:spacing w:after="20"/>
            </w:pPr>
            <w:r>
              <w:rPr>
                <w:b/>
                <w:sz w:val="18"/>
              </w:rPr>
              <w:t>6.</w:t>
            </w:r>
            <w:r>
              <w:rPr>
                <w:b w:val="0"/>
                <w:sz w:val="18"/>
              </w:rPr>
              <w:t xml:space="preserve"> El MSPAS recibe el reporte en su sistema nacional de farmacovigilancia.</w:t>
            </w:r>
          </w:p>
        </w:tc>
        <w:tc>
          <w:tcPr>
            <w:tcW w:type="dxa" w:w="5429"/>
          </w:tcPr>
          <w:p>
            <w:pPr>
              <w:spacing w:after="20"/>
            </w:pPr>
          </w:p>
        </w:tc>
      </w:tr>
      <w:tr>
        <w:tc>
          <w:tcPr>
            <w:tcW w:type="dxa" w:w="3931"/>
          </w:tcPr>
          <w:p>
            <w:pPr>
              <w:spacing w:after="20"/>
            </w:pPr>
            <w:r>
              <w:rPr>
                <w:b/>
                <w:sz w:val="18"/>
              </w:rPr>
              <w:t>7.</w:t>
            </w:r>
            <w:r>
              <w:rPr>
                <w:b w:val="0"/>
                <w:sz w:val="18"/>
              </w:rPr>
              <w:t xml:space="preserve"> El Paciente recibe el aviso de su próxima dosis por SMS o WhatsApp.</w:t>
            </w:r>
          </w:p>
        </w:tc>
        <w:tc>
          <w:tcPr>
            <w:tcW w:type="dxa" w:w="5429"/>
          </w:tcPr>
          <w:p>
            <w:pPr>
              <w:spacing w:after="20"/>
            </w:pPr>
          </w:p>
        </w:tc>
      </w:tr>
    </w:tbl>
    <w:p>
      <w:pPr>
        <w:spacing w:after="40"/>
      </w:pPr>
    </w:p>
    <w:p>
      <w:pPr>
        <w:pStyle w:val="Heading4"/>
      </w:pPr>
      <w:r>
        <w:rPr>
          <w:color w:val="000000"/>
        </w:rPr>
      </w:r>
      <w:r>
        <w:rPr>
          <w:b/>
          <w:color w:val="000000"/>
        </w:rPr>
        <w:t>Cursos alternos</w:t>
      </w:r>
    </w:p>
    <w:p>
      <w:pPr>
        <w:pStyle w:val="ListBullet"/>
        <w:spacing w:after="40"/>
      </w:pPr>
      <w:r>
        <w:rPr>
          <w:b/>
          <w:sz w:val="18"/>
        </w:rPr>
        <w:t>En la línea 4:</w:t>
      </w:r>
      <w:r>
        <w:rPr>
          <w:b w:val="0"/>
          <w:sz w:val="18"/>
        </w:rPr>
        <w:t xml:space="preserve"> </w:t>
      </w:r>
      <w:r>
        <w:rPr>
          <w:b/>
          <w:sz w:val="18"/>
        </w:rPr>
        <w:t>patrón de efectos adversos</w:t>
      </w:r>
      <w:r>
        <w:rPr>
          <w:b w:val="0"/>
          <w:sz w:val="18"/>
        </w:rPr>
        <w:t xml:space="preserve"> (por ejemplo, 5 pacientes del mismo lote con náuseas) o </w:t>
      </w:r>
      <w:r>
        <w:rPr>
          <w:b/>
          <w:sz w:val="18"/>
        </w:rPr>
        <w:t>alerta nacional</w:t>
      </w:r>
      <w:r>
        <w:rPr>
          <w:b w:val="0"/>
          <w:sz w:val="18"/>
        </w:rPr>
        <w:t xml:space="preserve"> del MSPAS. Se genera una alerta temprana y el lote se bloquea en el almacén (CDU-02).</w:t>
      </w:r>
    </w:p>
    <w:p>
      <w:pPr>
        <w:pStyle w:val="ListBullet"/>
        <w:spacing w:after="40"/>
      </w:pPr>
      <w:r>
        <w:rPr>
          <w:b/>
          <w:sz w:val="18"/>
        </w:rPr>
        <w:t>En la línea 6:</w:t>
      </w:r>
      <w:r>
        <w:rPr>
          <w:b w:val="0"/>
          <w:sz w:val="18"/>
        </w:rPr>
        <w:t xml:space="preserve"> el sistema nacional </w:t>
      </w:r>
      <w:r>
        <w:rPr>
          <w:b/>
          <w:sz w:val="18"/>
        </w:rPr>
        <w:t>no está recibiendo</w:t>
      </w:r>
      <w:r>
        <w:rPr>
          <w:b w:val="0"/>
          <w:sz w:val="18"/>
        </w:rPr>
        <w:t xml:space="preserve"> (solo recibe de 8:00 a 16:00; el incidente fue a las 19:30). El reporte queda registrado con su fecha y hora, lo que cumple el plazo legal, y se entrega al abrirse la ventana. Continúa en la línea 7.</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Exportación en HL7 FHIR para compartir con otros hospitales.</w:t>
      </w:r>
    </w:p>
    <w:p>
      <w:pPr>
        <w:pStyle w:val="Heading3"/>
      </w:pPr>
      <w:r>
        <w:rPr>
          <w:color w:val="000000"/>
        </w:rPr>
      </w:r>
      <w:r>
        <w:rPr>
          <w:b/>
          <w:color w:val="000000"/>
        </w:rPr>
        <w:t>CDU-07 · Control y auditoría de la gestión de MAC</w:t>
      </w:r>
    </w:p>
    <w:tbl>
      <w:tblPr>
        <w:tblStyle w:val="TableGrid"/>
        <w:jc w:val="center"/>
        <w:tblLayout w:type="fixed"/>
        <w:tblLook w:firstColumn="1" w:firstRow="1" w:lastColumn="0" w:lastRow="0" w:noHBand="0" w:noVBand="1" w:val="04A0"/>
        <w:tblW w:type="dxa" w:w="9360"/>
      </w:tblPr>
      <w:tblGrid>
        <w:gridCol w:w="1498"/>
        <w:gridCol w:w="7862"/>
      </w:tblGrid>
      <w:tr>
        <w:trPr>
          <w:tblHeader w:val="true"/>
        </w:trPr>
        <w:tc>
          <w:tcPr>
            <w:tcW w:type="dxa" w:w="1498"/>
            <w:shd w:val="clear" w:color="auto" w:fill="EDEFF2"/>
          </w:tcPr>
          <w:p>
            <w:pPr>
              <w:keepNext w:val="0"/>
              <w:spacing w:after="20"/>
            </w:pPr>
            <w:r>
              <w:rPr>
                <w:b/>
                <w:sz w:val="18"/>
              </w:rPr>
              <w:t>Campo</w:t>
            </w:r>
          </w:p>
        </w:tc>
        <w:tc>
          <w:tcPr>
            <w:tcW w:type="dxa" w:w="7862"/>
            <w:shd w:val="clear" w:color="auto" w:fill="EDEFF2"/>
          </w:tcPr>
          <w:p>
            <w:pPr>
              <w:keepNext w:val="0"/>
              <w:spacing w:after="20"/>
            </w:pPr>
            <w:r>
              <w:rPr>
                <w:b/>
                <w:sz w:val="18"/>
              </w:rPr>
              <w:t>Contenido</w:t>
            </w:r>
          </w:p>
        </w:tc>
      </w:tr>
      <w:tr>
        <w:tc>
          <w:tcPr>
            <w:tcW w:type="dxa" w:w="1498"/>
          </w:tcPr>
          <w:p>
            <w:pPr>
              <w:spacing w:after="20"/>
            </w:pPr>
            <w:r>
              <w:rPr>
                <w:b/>
                <w:sz w:val="18"/>
              </w:rPr>
              <w:t>Nombre</w:t>
            </w:r>
          </w:p>
        </w:tc>
        <w:tc>
          <w:tcPr>
            <w:tcW w:type="dxa" w:w="7862"/>
          </w:tcPr>
          <w:p>
            <w:pPr>
              <w:spacing w:after="20"/>
            </w:pPr>
            <w:r>
              <w:rPr>
                <w:b w:val="0"/>
                <w:sz w:val="18"/>
              </w:rPr>
              <w:t>Control y auditoría de la gestión de MAC</w:t>
            </w:r>
          </w:p>
        </w:tc>
      </w:tr>
      <w:tr>
        <w:tc>
          <w:tcPr>
            <w:tcW w:type="dxa" w:w="1498"/>
          </w:tcPr>
          <w:p>
            <w:pPr>
              <w:spacing w:after="20"/>
            </w:pPr>
            <w:r>
              <w:rPr>
                <w:b/>
                <w:sz w:val="18"/>
              </w:rPr>
              <w:t>Actores</w:t>
            </w:r>
          </w:p>
        </w:tc>
        <w:tc>
          <w:tcPr>
            <w:tcW w:type="dxa" w:w="7862"/>
          </w:tcPr>
          <w:p>
            <w:pPr>
              <w:spacing w:after="20"/>
            </w:pPr>
            <w:r>
              <w:rPr>
                <w:b w:val="0"/>
                <w:sz w:val="18"/>
              </w:rPr>
              <w:t>CONTRALORÍA GENERAL DE CUENTAS</w:t>
            </w:r>
          </w:p>
        </w:tc>
      </w:tr>
      <w:tr>
        <w:tc>
          <w:tcPr>
            <w:tcW w:type="dxa" w:w="1498"/>
          </w:tcPr>
          <w:p>
            <w:pPr>
              <w:spacing w:after="20"/>
            </w:pPr>
            <w:r>
              <w:rPr>
                <w:b/>
                <w:sz w:val="18"/>
              </w:rPr>
              <w:t>Propósito</w:t>
            </w:r>
          </w:p>
        </w:tc>
        <w:tc>
          <w:tcPr>
            <w:tcW w:type="dxa" w:w="7862"/>
          </w:tcPr>
          <w:p>
            <w:pPr>
              <w:spacing w:after="20"/>
            </w:pPr>
            <w:r>
              <w:rPr>
                <w:b w:val="0"/>
                <w:sz w:val="18"/>
              </w:rPr>
              <w:t>Dar transparencia financiera y trazabilidad forense completa de cada lote, sobre registros que nadie puede alterar.</w:t>
            </w:r>
          </w:p>
        </w:tc>
      </w:tr>
      <w:tr>
        <w:tc>
          <w:tcPr>
            <w:tcW w:type="dxa" w:w="1498"/>
          </w:tcPr>
          <w:p>
            <w:pPr>
              <w:spacing w:after="20"/>
            </w:pPr>
            <w:r>
              <w:rPr>
                <w:b/>
                <w:sz w:val="18"/>
              </w:rPr>
              <w:t>Resumen</w:t>
            </w:r>
          </w:p>
        </w:tc>
        <w:tc>
          <w:tcPr>
            <w:tcW w:type="dxa" w:w="7862"/>
          </w:tcPr>
          <w:p>
            <w:pPr>
              <w:spacing w:after="20"/>
            </w:pPr>
            <w:r>
              <w:rPr>
                <w:b w:val="0"/>
                <w:sz w:val="18"/>
              </w:rPr>
              <w:t>El caso de uso se inicia cuando la Contraloría General de Cuentas solicita, sin previo aviso, la trazabilidad de un lote. El proceso reúne el historial inmutable del lote desde la compra hasta la administración. El caso de uso finaliza cuando la Contraloría recibe el informe forense, en menos de 10 minutos.</w:t>
            </w:r>
          </w:p>
        </w:tc>
      </w:tr>
    </w:tbl>
    <w:p>
      <w:pPr>
        <w:spacing w:after="40"/>
      </w:pPr>
    </w:p>
    <w:tbl>
      <w:tblPr>
        <w:tblStyle w:val="TableGrid"/>
        <w:jc w:val="center"/>
        <w:tblLayout w:type="fixed"/>
        <w:tblLook w:firstColumn="1" w:firstRow="1" w:lastColumn="0" w:lastRow="0" w:noHBand="0" w:noVBand="1" w:val="04A0"/>
        <w:tblW w:type="dxa" w:w="9359"/>
      </w:tblPr>
      <w:tblGrid>
        <w:gridCol w:w="3931"/>
        <w:gridCol w:w="5429"/>
      </w:tblGrid>
      <w:tr>
        <w:trPr>
          <w:tblHeader w:val="true"/>
        </w:trPr>
        <w:tc>
          <w:tcPr>
            <w:tcW w:type="dxa" w:w="3931"/>
            <w:shd w:val="clear" w:color="auto" w:fill="EDEFF2"/>
          </w:tcPr>
          <w:p>
            <w:pPr>
              <w:keepNext w:val="0"/>
              <w:spacing w:after="20"/>
            </w:pPr>
            <w:r>
              <w:rPr>
                <w:b/>
                <w:sz w:val="18"/>
              </w:rPr>
              <w:t>Acción del actor</w:t>
            </w:r>
          </w:p>
        </w:tc>
        <w:tc>
          <w:tcPr>
            <w:tcW w:type="dxa" w:w="5429"/>
            <w:shd w:val="clear" w:color="auto" w:fill="EDEFF2"/>
          </w:tcPr>
          <w:p>
            <w:pPr>
              <w:keepNext w:val="0"/>
              <w:spacing w:after="20"/>
            </w:pPr>
            <w:r>
              <w:rPr>
                <w:b/>
                <w:sz w:val="18"/>
              </w:rPr>
              <w:t>Respuesta del proceso de negocio</w:t>
            </w:r>
          </w:p>
        </w:tc>
      </w:tr>
      <w:tr>
        <w:tc>
          <w:tcPr>
            <w:tcW w:type="dxa" w:w="3931"/>
          </w:tcPr>
          <w:p>
            <w:pPr>
              <w:spacing w:after="20"/>
            </w:pPr>
            <w:r>
              <w:rPr>
                <w:b/>
                <w:sz w:val="18"/>
              </w:rPr>
              <w:t>1.</w:t>
            </w:r>
            <w:r>
              <w:rPr>
                <w:b w:val="0"/>
                <w:sz w:val="18"/>
              </w:rPr>
              <w:t xml:space="preserve"> La Contraloría General de Cuentas solicita la trazabilidad completa de un lote.</w:t>
            </w:r>
          </w:p>
        </w:tc>
        <w:tc>
          <w:tcPr>
            <w:tcW w:type="dxa" w:w="5429"/>
          </w:tcPr>
          <w:p>
            <w:pPr>
              <w:spacing w:after="20"/>
            </w:pPr>
          </w:p>
        </w:tc>
      </w:tr>
      <w:tr>
        <w:tc>
          <w:tcPr>
            <w:tcW w:type="dxa" w:w="3931"/>
          </w:tcPr>
          <w:p>
            <w:pPr>
              <w:spacing w:after="20"/>
            </w:pPr>
          </w:p>
        </w:tc>
        <w:tc>
          <w:tcPr>
            <w:tcW w:type="dxa" w:w="5429"/>
          </w:tcPr>
          <w:p>
            <w:pPr>
              <w:spacing w:after="20"/>
            </w:pPr>
            <w:r>
              <w:rPr>
                <w:b/>
                <w:sz w:val="18"/>
              </w:rPr>
              <w:t>2.</w:t>
            </w:r>
            <w:r>
              <w:rPr>
                <w:b w:val="0"/>
                <w:sz w:val="18"/>
              </w:rPr>
              <w:t xml:space="preserve"> El Director Administrativo solicita el informe forense del lote.</w:t>
            </w:r>
          </w:p>
        </w:tc>
      </w:tr>
      <w:tr>
        <w:tc>
          <w:tcPr>
            <w:tcW w:type="dxa" w:w="3931"/>
          </w:tcPr>
          <w:p>
            <w:pPr>
              <w:spacing w:after="20"/>
            </w:pPr>
          </w:p>
        </w:tc>
        <w:tc>
          <w:tcPr>
            <w:tcW w:type="dxa" w:w="5429"/>
          </w:tcPr>
          <w:p>
            <w:pPr>
              <w:spacing w:after="20"/>
            </w:pPr>
            <w:r>
              <w:rPr>
                <w:b/>
                <w:sz w:val="18"/>
              </w:rPr>
              <w:t>3.</w:t>
            </w:r>
            <w:r>
              <w:rPr>
                <w:b w:val="0"/>
                <w:sz w:val="18"/>
              </w:rPr>
              <w:t xml:space="preserve"> El proceso reúne del historial inmutable: fecha de compra, proveedor y factura; ingreso al almacén y temperaturas; pacientes a los que se administró; hora, fecha, enfermero y médico; devoluciones, caducidades y ajustes. *Si algún registro no pasa la verificación de integridad, ver curso alterno de la línea 3.*</w:t>
            </w:r>
          </w:p>
        </w:tc>
      </w:tr>
      <w:tr>
        <w:tc>
          <w:tcPr>
            <w:tcW w:type="dxa" w:w="3931"/>
          </w:tcPr>
          <w:p>
            <w:pPr>
              <w:spacing w:after="20"/>
            </w:pPr>
          </w:p>
        </w:tc>
        <w:tc>
          <w:tcPr>
            <w:tcW w:type="dxa" w:w="5429"/>
          </w:tcPr>
          <w:p>
            <w:pPr>
              <w:spacing w:after="20"/>
            </w:pPr>
            <w:r>
              <w:rPr>
                <w:b/>
                <w:sz w:val="18"/>
              </w:rPr>
              <w:t>4.</w:t>
            </w:r>
            <w:r>
              <w:rPr>
                <w:b w:val="0"/>
                <w:sz w:val="18"/>
              </w:rPr>
              <w:t xml:space="preserve"> El Director Administrativo revisa y entrega el informe forense, en menos de 10 minutos.</w:t>
            </w:r>
          </w:p>
        </w:tc>
      </w:tr>
      <w:tr>
        <w:tc>
          <w:tcPr>
            <w:tcW w:type="dxa" w:w="3931"/>
          </w:tcPr>
          <w:p>
            <w:pPr>
              <w:spacing w:after="20"/>
            </w:pPr>
            <w:r>
              <w:rPr>
                <w:b/>
                <w:sz w:val="18"/>
              </w:rPr>
              <w:t>5.</w:t>
            </w:r>
            <w:r>
              <w:rPr>
                <w:b w:val="0"/>
                <w:sz w:val="18"/>
              </w:rPr>
              <w:t xml:space="preserve"> La Contraloría General de Cuentas recibe el informe forense.</w:t>
            </w:r>
          </w:p>
        </w:tc>
        <w:tc>
          <w:tcPr>
            <w:tcW w:type="dxa" w:w="5429"/>
          </w:tcPr>
          <w:p>
            <w:pPr>
              <w:spacing w:after="20"/>
            </w:pPr>
          </w:p>
        </w:tc>
      </w:tr>
    </w:tbl>
    <w:p>
      <w:pPr>
        <w:spacing w:after="40"/>
      </w:pPr>
    </w:p>
    <w:p>
      <w:pPr>
        <w:pStyle w:val="Heading4"/>
      </w:pPr>
      <w:r>
        <w:rPr>
          <w:color w:val="000000"/>
        </w:rPr>
      </w:r>
      <w:r>
        <w:rPr>
          <w:b/>
          <w:color w:val="000000"/>
        </w:rPr>
        <w:t>Cursos alternos</w:t>
      </w:r>
    </w:p>
    <w:p>
      <w:pPr>
        <w:pStyle w:val="ListBullet"/>
        <w:spacing w:after="40"/>
      </w:pPr>
      <w:r>
        <w:rPr>
          <w:b/>
          <w:sz w:val="18"/>
        </w:rPr>
        <w:t>En la línea 3:</w:t>
      </w:r>
      <w:r>
        <w:rPr>
          <w:b w:val="0"/>
          <w:sz w:val="18"/>
        </w:rPr>
        <w:t xml:space="preserve"> un registro </w:t>
      </w:r>
      <w:r>
        <w:rPr>
          <w:b/>
          <w:sz w:val="18"/>
        </w:rPr>
        <w:t>no coincide</w:t>
      </w:r>
      <w:r>
        <w:rPr>
          <w:b w:val="0"/>
          <w:sz w:val="18"/>
        </w:rPr>
        <w:t xml:space="preserve"> con su huella de integridad. El informe lo marca como evidencia de manipulación y se entrega igual, con la anomalía declarada.</w:t>
      </w:r>
    </w:p>
    <w:p>
      <w:pPr>
        <w:spacing w:after="120"/>
      </w:pPr>
      <w:r>
        <w:rPr>
          <w:b/>
          <w:sz w:val="19"/>
        </w:rPr>
        <w:t>Prioridad:</w:t>
      </w:r>
      <w:r>
        <w:rPr>
          <w:b w:val="0"/>
          <w:sz w:val="19"/>
        </w:rPr>
        <w:t xml:space="preserve"> Alta.</w:t>
      </w:r>
    </w:p>
    <w:p>
      <w:pPr>
        <w:pStyle w:val="Heading4"/>
      </w:pPr>
      <w:r>
        <w:rPr>
          <w:color w:val="000000"/>
        </w:rPr>
      </w:r>
      <w:r>
        <w:rPr>
          <w:b/>
          <w:color w:val="000000"/>
        </w:rPr>
        <w:t>Mejoras</w:t>
      </w:r>
    </w:p>
    <w:p>
      <w:pPr>
        <w:pStyle w:val="ListBullet"/>
        <w:spacing w:after="40"/>
      </w:pPr>
      <w:r>
        <w:rPr>
          <w:b w:val="0"/>
          <w:sz w:val="18"/>
        </w:rPr>
        <w:t>Tablero de control del Director Administrativo: costo por paciente, por servicio y % de desperdicio, con quién autorizó cada compra y quién dio de baja cada lote vencido.</w:t>
      </w:r>
    </w:p>
    <w:p>
      <w:pPr>
        <w:pStyle w:val="Heading1"/>
        <w:pageBreakBefore/>
      </w:pPr>
      <w:r>
        <w:rPr>
          <w:color w:val="000000"/>
        </w:rPr>
      </w:r>
      <w:r>
        <w:rPr>
          <w:b/>
          <w:color w:val="000000"/>
        </w:rPr>
        <w:t>3. Drivers arquitectónicos · criterio 3 — 20 pts</w:t>
      </w:r>
    </w:p>
    <w:p>
      <w:pPr>
        <w:pStyle w:val="Heading2"/>
      </w:pPr>
      <w:r>
        <w:rPr>
          <w:color w:val="000000"/>
        </w:rPr>
      </w:r>
      <w:r>
        <w:rPr>
          <w:b/>
          <w:color w:val="000000"/>
        </w:rPr>
        <w:t>3.1 Drivers RF (CDU expandidos)</w:t>
      </w:r>
    </w:p>
    <w:p>
      <w:pPr>
        <w:spacing w:after="120"/>
      </w:pPr>
      <w:r>
        <w:rPr>
          <w:b/>
          <w:sz w:val="21"/>
        </w:rPr>
        <w:t>Acá cambia el plano: del negocio al SISTEMA.</w:t>
      </w:r>
      <w:r>
        <w:rPr>
          <w:b w:val="0"/>
          <w:sz w:val="21"/>
        </w:rPr>
        <w:t xml:space="preserve"> Los estereotipos de negocio desaparecen, el recuadro ahora es el software, y el personal clínico —que en los diagramas del negocio era trabajador— </w:t>
      </w:r>
      <w:r>
        <w:rPr>
          <w:b/>
          <w:sz w:val="21"/>
        </w:rPr>
        <w:t>reaparece como actor</w:t>
      </w:r>
      <w:r>
        <w:rPr>
          <w:b w:val="0"/>
          <w:sz w:val="21"/>
        </w:rPr>
        <w:t xml:space="preserve">, porque frente al software está afuera. Cada proceso de la primera descomposición (§2.3) se expande en los casos de uso del sistema que lo realizan, y </w:t>
      </w:r>
      <w:r>
        <w:rPr>
          <w:b/>
          <w:sz w:val="21"/>
        </w:rPr>
        <w:t>cada caso de uso expandido es un driver RF</w:t>
      </w:r>
      <w:r>
        <w:rPr>
          <w:b w:val="0"/>
          <w:sz w:val="21"/>
        </w:rPr>
        <w:t xml:space="preserve">. Lo que este entregable demuestra es </w:t>
      </w:r>
      <w:r>
        <w:rPr>
          <w:b/>
          <w:sz w:val="21"/>
        </w:rPr>
        <w:t>completitud</w:t>
      </w:r>
      <w:r>
        <w:rPr>
          <w:b w:val="0"/>
          <w:sz w:val="21"/>
        </w:rPr>
        <w:t>: que ningún requisito funcional del enunciado quede sin caso de uso.</w:t>
      </w:r>
    </w:p>
    <w:p>
      <w:pPr>
        <w:spacing w:after="60"/>
        <w:ind w:left="432"/>
      </w:pPr>
      <w:r>
        <w:rPr>
          <w:b/>
          <w:sz w:val="20"/>
        </w:rPr>
        <w:t>Convención de identificadores, declarada</w:t>
      </w:r>
    </w:p>
    <w:p>
      <w:pPr>
        <w:spacing w:after="200"/>
        <w:ind w:left="432"/>
      </w:pPr>
      <w:r>
        <w:rPr>
          <w:b w:val="0"/>
          <w:sz w:val="19"/>
        </w:rPr>
        <w:t xml:space="preserve">El material de clase trae dos convenciones (CU_0n de la diapositiva; CU-0nn/RFG-0nn de la NT1). Este documento usa </w:t>
      </w:r>
      <w:r>
        <w:rPr>
          <w:b/>
          <w:sz w:val="19"/>
        </w:rPr>
        <w:t>una sola en todo el trabajo</w:t>
      </w:r>
      <w:r>
        <w:rPr>
          <w:b w:val="0"/>
          <w:sz w:val="19"/>
        </w:rPr>
        <w:t>: prefijo + guion medio + dos dígitos (STK-nn, CDU-nn, RF-nn, AC-nn, RE-nn), porque son los ids que anclan las matrices del criterio 4 y no se renumeran nunca.</w:t>
      </w:r>
    </w:p>
    <w:p>
      <w:pPr>
        <w:pStyle w:val="Heading3"/>
      </w:pPr>
      <w:r>
        <w:rPr>
          <w:color w:val="000000"/>
        </w:rPr>
      </w:r>
      <w:r>
        <w:rPr>
          <w:b/>
          <w:color w:val="000000"/>
        </w:rPr>
        <w:t>La tabla de drivers RF — completitud contra el enunciado</w:t>
      </w:r>
    </w:p>
    <w:tbl>
      <w:tblPr>
        <w:tblStyle w:val="TableGrid"/>
        <w:jc w:val="center"/>
        <w:tblLayout w:type="fixed"/>
        <w:tblLook w:firstColumn="1" w:firstRow="1" w:lastColumn="0" w:lastRow="0" w:noHBand="0" w:noVBand="1" w:val="04A0"/>
        <w:tblW w:type="dxa" w:w="9359"/>
      </w:tblPr>
      <w:tblGrid>
        <w:gridCol w:w="936"/>
        <w:gridCol w:w="5429"/>
        <w:gridCol w:w="2995"/>
      </w:tblGrid>
      <w:tr>
        <w:trPr>
          <w:tblHeader w:val="true"/>
        </w:trPr>
        <w:tc>
          <w:tcPr>
            <w:tcW w:type="dxa" w:w="936"/>
            <w:shd w:val="clear" w:color="auto" w:fill="EDEFF2"/>
          </w:tcPr>
          <w:p>
            <w:pPr>
              <w:keepNext w:val="0"/>
              <w:spacing w:after="20"/>
            </w:pPr>
            <w:r>
              <w:rPr>
                <w:b/>
                <w:sz w:val="17"/>
              </w:rPr>
              <w:t>ID</w:t>
            </w:r>
          </w:p>
        </w:tc>
        <w:tc>
          <w:tcPr>
            <w:tcW w:type="dxa" w:w="5429"/>
            <w:shd w:val="clear" w:color="auto" w:fill="EDEFF2"/>
          </w:tcPr>
          <w:p>
            <w:pPr>
              <w:keepNext w:val="0"/>
              <w:spacing w:after="20"/>
            </w:pPr>
            <w:r>
              <w:rPr>
                <w:b/>
                <w:sz w:val="17"/>
              </w:rPr>
              <w:t>Driver RF (caso de uso del sistema)</w:t>
            </w:r>
          </w:p>
        </w:tc>
        <w:tc>
          <w:tcPr>
            <w:tcW w:type="dxa" w:w="2995"/>
            <w:shd w:val="clear" w:color="auto" w:fill="EDEFF2"/>
          </w:tcPr>
          <w:p>
            <w:pPr>
              <w:keepNext w:val="0"/>
              <w:spacing w:after="20"/>
            </w:pPr>
            <w:r>
              <w:rPr>
                <w:b/>
                <w:sz w:val="17"/>
              </w:rPr>
              <w:t>Origen en el enunciado</w:t>
            </w:r>
          </w:p>
        </w:tc>
      </w:tr>
      <w:tr>
        <w:tc>
          <w:tcPr>
            <w:tcW w:type="dxa" w:w="936"/>
          </w:tcPr>
          <w:p>
            <w:pPr>
              <w:spacing w:after="20"/>
            </w:pPr>
            <w:r>
              <w:rPr>
                <w:b/>
                <w:sz w:val="17"/>
              </w:rPr>
              <w:t>CDU-01 Adquisición</w:t>
            </w:r>
          </w:p>
        </w:tc>
        <w:tc>
          <w:tcPr>
            <w:tcW w:type="dxa" w:w="5429"/>
          </w:tcPr>
          <w:p>
            <w:pPr>
              <w:spacing w:after="20"/>
            </w:pPr>
          </w:p>
        </w:tc>
        <w:tc>
          <w:tcPr>
            <w:tcW w:type="dxa" w:w="2995"/>
          </w:tcPr>
          <w:p>
            <w:pPr>
              <w:spacing w:after="20"/>
            </w:pPr>
          </w:p>
        </w:tc>
      </w:tr>
      <w:tr>
        <w:tc>
          <w:tcPr>
            <w:tcW w:type="dxa" w:w="936"/>
          </w:tcPr>
          <w:p>
            <w:pPr>
              <w:spacing w:after="20"/>
            </w:pPr>
            <w:r>
              <w:rPr>
                <w:b w:val="0"/>
                <w:sz w:val="17"/>
              </w:rPr>
              <w:t>RF-01</w:t>
            </w:r>
          </w:p>
        </w:tc>
        <w:tc>
          <w:tcPr>
            <w:tcW w:type="dxa" w:w="5429"/>
          </w:tcPr>
          <w:p>
            <w:pPr>
              <w:spacing w:after="20"/>
            </w:pPr>
            <w:r>
              <w:rPr>
                <w:b w:val="0"/>
                <w:sz w:val="17"/>
              </w:rPr>
              <w:t>Gestionar órdenes de compra</w:t>
            </w:r>
          </w:p>
        </w:tc>
        <w:tc>
          <w:tcPr>
            <w:tcW w:type="dxa" w:w="2995"/>
          </w:tcPr>
          <w:p>
            <w:pPr>
              <w:spacing w:after="20"/>
            </w:pPr>
            <w:r>
              <w:rPr>
                <w:b w:val="0"/>
                <w:sz w:val="17"/>
              </w:rPr>
              <w:t>etapa 1</w:t>
            </w:r>
          </w:p>
        </w:tc>
      </w:tr>
      <w:tr>
        <w:tc>
          <w:tcPr>
            <w:tcW w:type="dxa" w:w="936"/>
          </w:tcPr>
          <w:p>
            <w:pPr>
              <w:spacing w:after="20"/>
            </w:pPr>
            <w:r>
              <w:rPr>
                <w:b w:val="0"/>
                <w:sz w:val="17"/>
              </w:rPr>
              <w:t>RF-02</w:t>
            </w:r>
          </w:p>
        </w:tc>
        <w:tc>
          <w:tcPr>
            <w:tcW w:type="dxa" w:w="5429"/>
          </w:tcPr>
          <w:p>
            <w:pPr>
              <w:spacing w:after="20"/>
            </w:pPr>
            <w:r>
              <w:rPr>
                <w:b w:val="0"/>
                <w:sz w:val="17"/>
              </w:rPr>
              <w:t>Registrar recepción de lotes (lote, vencimiento, factura)</w:t>
            </w:r>
          </w:p>
        </w:tc>
        <w:tc>
          <w:tcPr>
            <w:tcW w:type="dxa" w:w="2995"/>
          </w:tcPr>
          <w:p>
            <w:pPr>
              <w:spacing w:after="20"/>
            </w:pPr>
            <w:r>
              <w:rPr>
                <w:b w:val="0"/>
                <w:sz w:val="17"/>
              </w:rPr>
              <w:t>etapa 1; los 3 errores de transcripción</w:t>
            </w:r>
          </w:p>
        </w:tc>
      </w:tr>
      <w:tr>
        <w:tc>
          <w:tcPr>
            <w:tcW w:type="dxa" w:w="936"/>
          </w:tcPr>
          <w:p>
            <w:pPr>
              <w:spacing w:after="20"/>
            </w:pPr>
            <w:r>
              <w:rPr>
                <w:b w:val="0"/>
                <w:sz w:val="17"/>
              </w:rPr>
              <w:t>RF-03</w:t>
            </w:r>
          </w:p>
        </w:tc>
        <w:tc>
          <w:tcPr>
            <w:tcW w:type="dxa" w:w="5429"/>
          </w:tcPr>
          <w:p>
            <w:pPr>
              <w:spacing w:after="20"/>
            </w:pPr>
            <w:r>
              <w:rPr>
                <w:b w:val="0"/>
                <w:sz w:val="17"/>
              </w:rPr>
              <w:t>Registrar control de calidad de recepción (temperatura, humedad)</w:t>
            </w:r>
          </w:p>
        </w:tc>
        <w:tc>
          <w:tcPr>
            <w:tcW w:type="dxa" w:w="2995"/>
          </w:tcPr>
          <w:p>
            <w:pPr>
              <w:spacing w:after="20"/>
            </w:pPr>
            <w:r>
              <w:rPr>
                <w:b w:val="0"/>
                <w:sz w:val="17"/>
              </w:rPr>
              <w:t>etapa 1</w:t>
            </w:r>
          </w:p>
        </w:tc>
      </w:tr>
      <w:tr>
        <w:tc>
          <w:tcPr>
            <w:tcW w:type="dxa" w:w="936"/>
          </w:tcPr>
          <w:p>
            <w:pPr>
              <w:spacing w:after="20"/>
            </w:pPr>
            <w:r>
              <w:rPr>
                <w:b w:val="0"/>
                <w:sz w:val="17"/>
              </w:rPr>
              <w:t>RF-04</w:t>
            </w:r>
          </w:p>
        </w:tc>
        <w:tc>
          <w:tcPr>
            <w:tcW w:type="dxa" w:w="5429"/>
          </w:tcPr>
          <w:p>
            <w:pPr>
              <w:spacing w:after="20"/>
            </w:pPr>
            <w:r>
              <w:rPr>
                <w:b w:val="0"/>
                <w:sz w:val="17"/>
              </w:rPr>
              <w:t>Tramitar compra urgente o reemplazo terapéutico</w:t>
            </w:r>
          </w:p>
        </w:tc>
        <w:tc>
          <w:tcPr>
            <w:tcW w:type="dxa" w:w="2995"/>
          </w:tcPr>
          <w:p>
            <w:pPr>
              <w:spacing w:after="20"/>
            </w:pPr>
            <w:r>
              <w:rPr>
                <w:b w:val="0"/>
                <w:sz w:val="17"/>
              </w:rPr>
              <w:t>necesidad oculta del médico</w:t>
            </w:r>
          </w:p>
        </w:tc>
      </w:tr>
      <w:tr>
        <w:tc>
          <w:tcPr>
            <w:tcW w:type="dxa" w:w="936"/>
          </w:tcPr>
          <w:p>
            <w:pPr>
              <w:spacing w:after="20"/>
            </w:pPr>
            <w:r>
              <w:rPr>
                <w:b/>
                <w:sz w:val="17"/>
              </w:rPr>
              <w:t>CDU-02 Almacenamiento</w:t>
            </w:r>
          </w:p>
        </w:tc>
        <w:tc>
          <w:tcPr>
            <w:tcW w:type="dxa" w:w="5429"/>
          </w:tcPr>
          <w:p>
            <w:pPr>
              <w:spacing w:after="20"/>
            </w:pPr>
          </w:p>
        </w:tc>
        <w:tc>
          <w:tcPr>
            <w:tcW w:type="dxa" w:w="2995"/>
          </w:tcPr>
          <w:p>
            <w:pPr>
              <w:spacing w:after="20"/>
            </w:pPr>
          </w:p>
        </w:tc>
      </w:tr>
      <w:tr>
        <w:tc>
          <w:tcPr>
            <w:tcW w:type="dxa" w:w="936"/>
          </w:tcPr>
          <w:p>
            <w:pPr>
              <w:spacing w:after="20"/>
            </w:pPr>
            <w:r>
              <w:rPr>
                <w:b w:val="0"/>
                <w:sz w:val="17"/>
              </w:rPr>
              <w:t>RF-05</w:t>
            </w:r>
          </w:p>
        </w:tc>
        <w:tc>
          <w:tcPr>
            <w:tcW w:type="dxa" w:w="5429"/>
          </w:tcPr>
          <w:p>
            <w:pPr>
              <w:spacing w:after="20"/>
            </w:pPr>
            <w:r>
              <w:rPr>
                <w:b w:val="0"/>
                <w:sz w:val="17"/>
              </w:rPr>
              <w:t>Monitorear temperatura y humedad de cámaras (sensores cada 5 min)</w:t>
            </w:r>
          </w:p>
        </w:tc>
        <w:tc>
          <w:tcPr>
            <w:tcW w:type="dxa" w:w="2995"/>
          </w:tcPr>
          <w:p>
            <w:pPr>
              <w:spacing w:after="20"/>
            </w:pPr>
            <w:r>
              <w:rPr>
                <w:b w:val="0"/>
                <w:sz w:val="17"/>
              </w:rPr>
              <w:t>etapa 2</w:t>
            </w:r>
          </w:p>
        </w:tc>
      </w:tr>
      <w:tr>
        <w:tc>
          <w:tcPr>
            <w:tcW w:type="dxa" w:w="936"/>
          </w:tcPr>
          <w:p>
            <w:pPr>
              <w:spacing w:after="20"/>
            </w:pPr>
            <w:r>
              <w:rPr>
                <w:b w:val="0"/>
                <w:sz w:val="17"/>
              </w:rPr>
              <w:t>RF-06</w:t>
            </w:r>
          </w:p>
        </w:tc>
        <w:tc>
          <w:tcPr>
            <w:tcW w:type="dxa" w:w="5429"/>
          </w:tcPr>
          <w:p>
            <w:pPr>
              <w:spacing w:after="20"/>
            </w:pPr>
            <w:r>
              <w:rPr>
                <w:b w:val="0"/>
                <w:sz w:val="17"/>
              </w:rPr>
              <w:t>Registrar incidente de cadena de frío y bloquear lotes afectados</w:t>
            </w:r>
          </w:p>
        </w:tc>
        <w:tc>
          <w:tcPr>
            <w:tcW w:type="dxa" w:w="2995"/>
          </w:tcPr>
          <w:p>
            <w:pPr>
              <w:spacing w:after="20"/>
            </w:pPr>
            <w:r>
              <w:rPr>
                <w:b w:val="0"/>
                <w:sz w:val="17"/>
              </w:rPr>
              <w:t>escenario 1</w:t>
            </w:r>
          </w:p>
        </w:tc>
      </w:tr>
      <w:tr>
        <w:tc>
          <w:tcPr>
            <w:tcW w:type="dxa" w:w="936"/>
          </w:tcPr>
          <w:p>
            <w:pPr>
              <w:spacing w:after="20"/>
            </w:pPr>
            <w:r>
              <w:rPr>
                <w:b w:val="0"/>
                <w:sz w:val="17"/>
              </w:rPr>
              <w:t>RF-07</w:t>
            </w:r>
          </w:p>
        </w:tc>
        <w:tc>
          <w:tcPr>
            <w:tcW w:type="dxa" w:w="5429"/>
          </w:tcPr>
          <w:p>
            <w:pPr>
              <w:spacing w:after="20"/>
            </w:pPr>
            <w:r>
              <w:rPr>
                <w:b w:val="0"/>
                <w:sz w:val="17"/>
              </w:rPr>
              <w:t>Alertar al farmacéutico de guardia (SMS y correo)</w:t>
            </w:r>
          </w:p>
        </w:tc>
        <w:tc>
          <w:tcPr>
            <w:tcW w:type="dxa" w:w="2995"/>
          </w:tcPr>
          <w:p>
            <w:pPr>
              <w:spacing w:after="20"/>
            </w:pPr>
            <w:r>
              <w:rPr>
                <w:b w:val="0"/>
                <w:sz w:val="17"/>
              </w:rPr>
              <w:t>escenario 1</w:t>
            </w:r>
          </w:p>
        </w:tc>
      </w:tr>
      <w:tr>
        <w:tc>
          <w:tcPr>
            <w:tcW w:type="dxa" w:w="936"/>
          </w:tcPr>
          <w:p>
            <w:pPr>
              <w:spacing w:after="20"/>
            </w:pPr>
            <w:r>
              <w:rPr>
                <w:b w:val="0"/>
                <w:sz w:val="17"/>
              </w:rPr>
              <w:t>RF-08</w:t>
            </w:r>
          </w:p>
        </w:tc>
        <w:tc>
          <w:tcPr>
            <w:tcW w:type="dxa" w:w="5429"/>
          </w:tcPr>
          <w:p>
            <w:pPr>
              <w:spacing w:after="20"/>
            </w:pPr>
            <w:r>
              <w:rPr>
                <w:b w:val="0"/>
                <w:sz w:val="17"/>
              </w:rPr>
              <w:t>Sobrescribir la regla de descarte con justificación y firma del farmacéutico jefe, auditada</w:t>
            </w:r>
          </w:p>
        </w:tc>
        <w:tc>
          <w:tcPr>
            <w:tcW w:type="dxa" w:w="2995"/>
          </w:tcPr>
          <w:p>
            <w:pPr>
              <w:spacing w:after="20"/>
            </w:pPr>
            <w:r>
              <w:rPr>
                <w:b w:val="0"/>
                <w:sz w:val="17"/>
              </w:rPr>
              <w:t>pregunta emergente del escenario 1</w:t>
            </w:r>
          </w:p>
        </w:tc>
      </w:tr>
      <w:tr>
        <w:tc>
          <w:tcPr>
            <w:tcW w:type="dxa" w:w="936"/>
          </w:tcPr>
          <w:p>
            <w:pPr>
              <w:spacing w:after="20"/>
            </w:pPr>
            <w:r>
              <w:rPr>
                <w:b w:val="0"/>
                <w:sz w:val="17"/>
              </w:rPr>
              <w:t>RF-09</w:t>
            </w:r>
          </w:p>
        </w:tc>
        <w:tc>
          <w:tcPr>
            <w:tcW w:type="dxa" w:w="5429"/>
          </w:tcPr>
          <w:p>
            <w:pPr>
              <w:spacing w:after="20"/>
            </w:pPr>
            <w:r>
              <w:rPr>
                <w:b w:val="0"/>
                <w:sz w:val="17"/>
              </w:rPr>
              <w:t>Proyectar faltantes a 7 días según prescripciones programadas</w:t>
            </w:r>
          </w:p>
        </w:tc>
        <w:tc>
          <w:tcPr>
            <w:tcW w:type="dxa" w:w="2995"/>
          </w:tcPr>
          <w:p>
            <w:pPr>
              <w:spacing w:after="20"/>
            </w:pPr>
            <w:r>
              <w:rPr>
                <w:b w:val="0"/>
                <w:sz w:val="17"/>
              </w:rPr>
              <w:t>necesidad oculta del farmacéutico</w:t>
            </w:r>
          </w:p>
        </w:tc>
      </w:tr>
      <w:tr>
        <w:tc>
          <w:tcPr>
            <w:tcW w:type="dxa" w:w="936"/>
          </w:tcPr>
          <w:p>
            <w:pPr>
              <w:spacing w:after="20"/>
            </w:pPr>
            <w:r>
              <w:rPr>
                <w:b/>
                <w:sz w:val="17"/>
              </w:rPr>
              <w:t>CDU-03 Prescripción</w:t>
            </w:r>
          </w:p>
        </w:tc>
        <w:tc>
          <w:tcPr>
            <w:tcW w:type="dxa" w:w="5429"/>
          </w:tcPr>
          <w:p>
            <w:pPr>
              <w:spacing w:after="20"/>
            </w:pPr>
          </w:p>
        </w:tc>
        <w:tc>
          <w:tcPr>
            <w:tcW w:type="dxa" w:w="2995"/>
          </w:tcPr>
          <w:p>
            <w:pPr>
              <w:spacing w:after="20"/>
            </w:pPr>
          </w:p>
        </w:tc>
      </w:tr>
      <w:tr>
        <w:tc>
          <w:tcPr>
            <w:tcW w:type="dxa" w:w="936"/>
          </w:tcPr>
          <w:p>
            <w:pPr>
              <w:spacing w:after="20"/>
            </w:pPr>
            <w:r>
              <w:rPr>
                <w:b w:val="0"/>
                <w:sz w:val="17"/>
              </w:rPr>
              <w:t>RF-10</w:t>
            </w:r>
          </w:p>
        </w:tc>
        <w:tc>
          <w:tcPr>
            <w:tcW w:type="dxa" w:w="5429"/>
          </w:tcPr>
          <w:p>
            <w:pPr>
              <w:spacing w:after="20"/>
            </w:pPr>
            <w:r>
              <w:rPr>
                <w:b w:val="0"/>
                <w:sz w:val="17"/>
              </w:rPr>
              <w:t>Prescribir MAC (dosis, vía, frecuencia)</w:t>
            </w:r>
          </w:p>
        </w:tc>
        <w:tc>
          <w:tcPr>
            <w:tcW w:type="dxa" w:w="2995"/>
          </w:tcPr>
          <w:p>
            <w:pPr>
              <w:spacing w:after="20"/>
            </w:pPr>
            <w:r>
              <w:rPr>
                <w:b w:val="0"/>
                <w:sz w:val="17"/>
              </w:rPr>
              <w:t>etapa 3</w:t>
            </w:r>
          </w:p>
        </w:tc>
      </w:tr>
      <w:tr>
        <w:tc>
          <w:tcPr>
            <w:tcW w:type="dxa" w:w="936"/>
          </w:tcPr>
          <w:p>
            <w:pPr>
              <w:spacing w:after="20"/>
            </w:pPr>
            <w:r>
              <w:rPr>
                <w:b w:val="0"/>
                <w:sz w:val="17"/>
              </w:rPr>
              <w:t>RF-11</w:t>
            </w:r>
          </w:p>
        </w:tc>
        <w:tc>
          <w:tcPr>
            <w:tcW w:type="dxa" w:w="5429"/>
          </w:tcPr>
          <w:p>
            <w:pPr>
              <w:spacing w:after="20"/>
            </w:pPr>
            <w:r>
              <w:rPr>
                <w:b w:val="0"/>
                <w:sz w:val="17"/>
              </w:rPr>
              <w:t>Validar contra protocolos clínicos «include»</w:t>
            </w:r>
          </w:p>
        </w:tc>
        <w:tc>
          <w:tcPr>
            <w:tcW w:type="dxa" w:w="2995"/>
          </w:tcPr>
          <w:p>
            <w:pPr>
              <w:spacing w:after="20"/>
            </w:pPr>
            <w:r>
              <w:rPr>
                <w:b w:val="0"/>
                <w:sz w:val="17"/>
              </w:rPr>
              <w:t>etapa 3</w:t>
            </w:r>
          </w:p>
        </w:tc>
      </w:tr>
      <w:tr>
        <w:tc>
          <w:tcPr>
            <w:tcW w:type="dxa" w:w="936"/>
          </w:tcPr>
          <w:p>
            <w:pPr>
              <w:spacing w:after="20"/>
            </w:pPr>
            <w:r>
              <w:rPr>
                <w:b w:val="0"/>
                <w:sz w:val="17"/>
              </w:rPr>
              <w:t>RF-12</w:t>
            </w:r>
          </w:p>
        </w:tc>
        <w:tc>
          <w:tcPr>
            <w:tcW w:type="dxa" w:w="5429"/>
          </w:tcPr>
          <w:p>
            <w:pPr>
              <w:spacing w:after="20"/>
            </w:pPr>
            <w:r>
              <w:rPr>
                <w:b w:val="0"/>
                <w:sz w:val="17"/>
              </w:rPr>
              <w:t>Verificar interacciones medicamentosas «include»</w:t>
            </w:r>
          </w:p>
        </w:tc>
        <w:tc>
          <w:tcPr>
            <w:tcW w:type="dxa" w:w="2995"/>
          </w:tcPr>
          <w:p>
            <w:pPr>
              <w:spacing w:after="20"/>
            </w:pPr>
            <w:r>
              <w:rPr>
                <w:b w:val="0"/>
                <w:sz w:val="17"/>
              </w:rPr>
              <w:t>etapa 3</w:t>
            </w:r>
          </w:p>
        </w:tc>
      </w:tr>
      <w:tr>
        <w:tc>
          <w:tcPr>
            <w:tcW w:type="dxa" w:w="936"/>
          </w:tcPr>
          <w:p>
            <w:pPr>
              <w:spacing w:after="20"/>
            </w:pPr>
            <w:r>
              <w:rPr>
                <w:b w:val="0"/>
                <w:sz w:val="17"/>
              </w:rPr>
              <w:t>RF-13</w:t>
            </w:r>
          </w:p>
        </w:tc>
        <w:tc>
          <w:tcPr>
            <w:tcW w:type="dxa" w:w="5429"/>
          </w:tcPr>
          <w:p>
            <w:pPr>
              <w:spacing w:after="20"/>
            </w:pPr>
            <w:r>
              <w:rPr>
                <w:b w:val="0"/>
                <w:sz w:val="17"/>
              </w:rPr>
              <w:t>Verificar contraindicaciones y alergias «include»</w:t>
            </w:r>
          </w:p>
        </w:tc>
        <w:tc>
          <w:tcPr>
            <w:tcW w:type="dxa" w:w="2995"/>
          </w:tcPr>
          <w:p>
            <w:pPr>
              <w:spacing w:after="20"/>
            </w:pPr>
            <w:r>
              <w:rPr>
                <w:b w:val="0"/>
                <w:sz w:val="17"/>
              </w:rPr>
              <w:t>etapa 3</w:t>
            </w:r>
          </w:p>
        </w:tc>
      </w:tr>
      <w:tr>
        <w:tc>
          <w:tcPr>
            <w:tcW w:type="dxa" w:w="936"/>
          </w:tcPr>
          <w:p>
            <w:pPr>
              <w:spacing w:after="20"/>
            </w:pPr>
            <w:r>
              <w:rPr>
                <w:b w:val="0"/>
                <w:sz w:val="17"/>
              </w:rPr>
              <w:t>RF-14</w:t>
            </w:r>
          </w:p>
        </w:tc>
        <w:tc>
          <w:tcPr>
            <w:tcW w:type="dxa" w:w="5429"/>
          </w:tcPr>
          <w:p>
            <w:pPr>
              <w:spacing w:after="20"/>
            </w:pPr>
            <w:r>
              <w:rPr>
                <w:b w:val="0"/>
                <w:sz w:val="17"/>
              </w:rPr>
              <w:t>Consultar inventario en tiempo real «include»</w:t>
            </w:r>
          </w:p>
        </w:tc>
        <w:tc>
          <w:tcPr>
            <w:tcW w:type="dxa" w:w="2995"/>
          </w:tcPr>
          <w:p>
            <w:pPr>
              <w:spacing w:after="20"/>
            </w:pPr>
            <w:r>
              <w:rPr>
                <w:b w:val="0"/>
                <w:sz w:val="17"/>
              </w:rPr>
              <w:t>necesidad oculta del médico</w:t>
            </w:r>
          </w:p>
        </w:tc>
      </w:tr>
      <w:tr>
        <w:tc>
          <w:tcPr>
            <w:tcW w:type="dxa" w:w="936"/>
          </w:tcPr>
          <w:p>
            <w:pPr>
              <w:spacing w:after="20"/>
            </w:pPr>
            <w:r>
              <w:rPr>
                <w:b w:val="0"/>
                <w:sz w:val="17"/>
              </w:rPr>
              <w:t>RF-15</w:t>
            </w:r>
          </w:p>
        </w:tc>
        <w:tc>
          <w:tcPr>
            <w:tcW w:type="dxa" w:w="5429"/>
          </w:tcPr>
          <w:p>
            <w:pPr>
              <w:spacing w:after="20"/>
            </w:pPr>
            <w:r>
              <w:rPr>
                <w:b w:val="0"/>
                <w:sz w:val="17"/>
              </w:rPr>
              <w:t>Sugerir MAC según protocolo y patrón de prescripción del médico</w:t>
            </w:r>
          </w:p>
        </w:tc>
        <w:tc>
          <w:tcPr>
            <w:tcW w:type="dxa" w:w="2995"/>
          </w:tcPr>
          <w:p>
            <w:pPr>
              <w:spacing w:after="20"/>
            </w:pPr>
            <w:r>
              <w:rPr>
                <w:b w:val="0"/>
                <w:sz w:val="17"/>
              </w:rPr>
              <w:t>necesidad oculta del médico</w:t>
            </w:r>
          </w:p>
        </w:tc>
      </w:tr>
      <w:tr>
        <w:tc>
          <w:tcPr>
            <w:tcW w:type="dxa" w:w="936"/>
          </w:tcPr>
          <w:p>
            <w:pPr>
              <w:spacing w:after="20"/>
            </w:pPr>
            <w:r>
              <w:rPr>
                <w:b w:val="0"/>
                <w:sz w:val="17"/>
              </w:rPr>
              <w:t>RF-16</w:t>
            </w:r>
          </w:p>
        </w:tc>
        <w:tc>
          <w:tcPr>
            <w:tcW w:type="dxa" w:w="5429"/>
          </w:tcPr>
          <w:p>
            <w:pPr>
              <w:spacing w:after="20"/>
            </w:pPr>
            <w:r>
              <w:rPr>
                <w:b w:val="0"/>
                <w:sz w:val="17"/>
              </w:rPr>
              <w:t>Acceder a diagnóstico sensible con justificación auditada (médico de urgencias)</w:t>
            </w:r>
          </w:p>
        </w:tc>
        <w:tc>
          <w:tcPr>
            <w:tcW w:type="dxa" w:w="2995"/>
          </w:tcPr>
          <w:p>
            <w:pPr>
              <w:spacing w:after="20"/>
            </w:pPr>
            <w:r>
              <w:rPr>
                <w:b w:val="0"/>
                <w:sz w:val="17"/>
              </w:rPr>
              <w:t>acuerdo de calidad 4</w:t>
            </w:r>
          </w:p>
        </w:tc>
      </w:tr>
      <w:tr>
        <w:tc>
          <w:tcPr>
            <w:tcW w:type="dxa" w:w="936"/>
          </w:tcPr>
          <w:p>
            <w:pPr>
              <w:spacing w:after="20"/>
            </w:pPr>
            <w:r>
              <w:rPr>
                <w:b/>
                <w:sz w:val="17"/>
              </w:rPr>
              <w:t>CDU-04 Dispensación</w:t>
            </w:r>
          </w:p>
        </w:tc>
        <w:tc>
          <w:tcPr>
            <w:tcW w:type="dxa" w:w="5429"/>
          </w:tcPr>
          <w:p>
            <w:pPr>
              <w:spacing w:after="20"/>
            </w:pPr>
          </w:p>
        </w:tc>
        <w:tc>
          <w:tcPr>
            <w:tcW w:type="dxa" w:w="2995"/>
          </w:tcPr>
          <w:p>
            <w:pPr>
              <w:spacing w:after="20"/>
            </w:pPr>
          </w:p>
        </w:tc>
      </w:tr>
      <w:tr>
        <w:tc>
          <w:tcPr>
            <w:tcW w:type="dxa" w:w="936"/>
          </w:tcPr>
          <w:p>
            <w:pPr>
              <w:spacing w:after="20"/>
            </w:pPr>
            <w:r>
              <w:rPr>
                <w:b w:val="0"/>
                <w:sz w:val="17"/>
              </w:rPr>
              <w:t>RF-17</w:t>
            </w:r>
          </w:p>
        </w:tc>
        <w:tc>
          <w:tcPr>
            <w:tcW w:type="dxa" w:w="5429"/>
          </w:tcPr>
          <w:p>
            <w:pPr>
              <w:spacing w:after="20"/>
            </w:pPr>
            <w:r>
              <w:rPr>
                <w:b w:val="0"/>
                <w:sz w:val="17"/>
              </w:rPr>
              <w:t>Dispensar MAC (verificar orden, disponibilidad y asignar lote)</w:t>
            </w:r>
          </w:p>
        </w:tc>
        <w:tc>
          <w:tcPr>
            <w:tcW w:type="dxa" w:w="2995"/>
          </w:tcPr>
          <w:p>
            <w:pPr>
              <w:spacing w:after="20"/>
            </w:pPr>
            <w:r>
              <w:rPr>
                <w:b w:val="0"/>
                <w:sz w:val="17"/>
              </w:rPr>
              <w:t>etapa 4</w:t>
            </w:r>
          </w:p>
        </w:tc>
      </w:tr>
      <w:tr>
        <w:tc>
          <w:tcPr>
            <w:tcW w:type="dxa" w:w="936"/>
          </w:tcPr>
          <w:p>
            <w:pPr>
              <w:spacing w:after="20"/>
            </w:pPr>
            <w:r>
              <w:rPr>
                <w:b w:val="0"/>
                <w:sz w:val="17"/>
              </w:rPr>
              <w:t>RF-18</w:t>
            </w:r>
          </w:p>
        </w:tc>
        <w:tc>
          <w:tcPr>
            <w:tcW w:type="dxa" w:w="5429"/>
          </w:tcPr>
          <w:p>
            <w:pPr>
              <w:spacing w:after="20"/>
            </w:pPr>
            <w:r>
              <w:rPr>
                <w:b w:val="0"/>
                <w:sz w:val="17"/>
              </w:rPr>
              <w:t>Generar etiqueta con código de barras/QR</w:t>
            </w:r>
          </w:p>
        </w:tc>
        <w:tc>
          <w:tcPr>
            <w:tcW w:type="dxa" w:w="2995"/>
          </w:tcPr>
          <w:p>
            <w:pPr>
              <w:spacing w:after="20"/>
            </w:pPr>
            <w:r>
              <w:rPr>
                <w:b w:val="0"/>
                <w:sz w:val="17"/>
              </w:rPr>
              <w:t>etapa 4</w:t>
            </w:r>
          </w:p>
        </w:tc>
      </w:tr>
      <w:tr>
        <w:tc>
          <w:tcPr>
            <w:tcW w:type="dxa" w:w="936"/>
          </w:tcPr>
          <w:p>
            <w:pPr>
              <w:spacing w:after="20"/>
            </w:pPr>
            <w:r>
              <w:rPr>
                <w:b w:val="0"/>
                <w:sz w:val="17"/>
              </w:rPr>
              <w:t>RF-19</w:t>
            </w:r>
          </w:p>
        </w:tc>
        <w:tc>
          <w:tcPr>
            <w:tcW w:type="dxa" w:w="5429"/>
          </w:tcPr>
          <w:p>
            <w:pPr>
              <w:spacing w:after="20"/>
            </w:pPr>
            <w:r>
              <w:rPr>
                <w:b w:val="0"/>
                <w:sz w:val="17"/>
              </w:rPr>
              <w:t>Dispensación inmediata de urgencia con registro de quién y por qué (opción A)</w:t>
            </w:r>
          </w:p>
        </w:tc>
        <w:tc>
          <w:tcPr>
            <w:tcW w:type="dxa" w:w="2995"/>
          </w:tcPr>
          <w:p>
            <w:pPr>
              <w:spacing w:after="20"/>
            </w:pPr>
            <w:r>
              <w:rPr>
                <w:b w:val="0"/>
                <w:sz w:val="17"/>
              </w:rPr>
              <w:t>escenario 2</w:t>
            </w:r>
          </w:p>
        </w:tc>
      </w:tr>
      <w:tr>
        <w:tc>
          <w:tcPr>
            <w:tcW w:type="dxa" w:w="936"/>
          </w:tcPr>
          <w:p>
            <w:pPr>
              <w:spacing w:after="20"/>
            </w:pPr>
            <w:r>
              <w:rPr>
                <w:b w:val="0"/>
                <w:sz w:val="17"/>
              </w:rPr>
              <w:t>RF-20</w:t>
            </w:r>
          </w:p>
        </w:tc>
        <w:tc>
          <w:tcPr>
            <w:tcW w:type="dxa" w:w="5429"/>
          </w:tcPr>
          <w:p>
            <w:pPr>
              <w:spacing w:after="20"/>
            </w:pPr>
            <w:r>
              <w:rPr>
                <w:b w:val="0"/>
                <w:sz w:val="17"/>
              </w:rPr>
              <w:t>Préstamo entre pacientes con notificación de reposición (opción B)</w:t>
            </w:r>
          </w:p>
        </w:tc>
        <w:tc>
          <w:tcPr>
            <w:tcW w:type="dxa" w:w="2995"/>
          </w:tcPr>
          <w:p>
            <w:pPr>
              <w:spacing w:after="20"/>
            </w:pPr>
            <w:r>
              <w:rPr>
                <w:b w:val="0"/>
                <w:sz w:val="17"/>
              </w:rPr>
              <w:t>escenario 2</w:t>
            </w:r>
          </w:p>
        </w:tc>
      </w:tr>
      <w:tr>
        <w:tc>
          <w:tcPr>
            <w:tcW w:type="dxa" w:w="936"/>
          </w:tcPr>
          <w:p>
            <w:pPr>
              <w:spacing w:after="20"/>
            </w:pPr>
            <w:r>
              <w:rPr>
                <w:b w:val="0"/>
                <w:sz w:val="17"/>
              </w:rPr>
              <w:t>RF-21</w:t>
            </w:r>
          </w:p>
        </w:tc>
        <w:tc>
          <w:tcPr>
            <w:tcW w:type="dxa" w:w="5429"/>
          </w:tcPr>
          <w:p>
            <w:pPr>
              <w:spacing w:after="20"/>
            </w:pPr>
            <w:r>
              <w:rPr>
                <w:b w:val="0"/>
                <w:sz w:val="17"/>
              </w:rPr>
              <w:t>Dispensación virtual con validación física en 12 h (opción C)</w:t>
            </w:r>
          </w:p>
        </w:tc>
        <w:tc>
          <w:tcPr>
            <w:tcW w:type="dxa" w:w="2995"/>
          </w:tcPr>
          <w:p>
            <w:pPr>
              <w:spacing w:after="20"/>
            </w:pPr>
            <w:r>
              <w:rPr>
                <w:b w:val="0"/>
                <w:sz w:val="17"/>
              </w:rPr>
              <w:t>escenario 2</w:t>
            </w:r>
          </w:p>
        </w:tc>
      </w:tr>
      <w:tr>
        <w:tc>
          <w:tcPr>
            <w:tcW w:type="dxa" w:w="936"/>
          </w:tcPr>
          <w:p>
            <w:pPr>
              <w:spacing w:after="20"/>
            </w:pPr>
            <w:r>
              <w:rPr>
                <w:b w:val="0"/>
                <w:sz w:val="17"/>
              </w:rPr>
              <w:t>RF-22</w:t>
            </w:r>
          </w:p>
        </w:tc>
        <w:tc>
          <w:tcPr>
            <w:tcW w:type="dxa" w:w="5429"/>
          </w:tcPr>
          <w:p>
            <w:pPr>
              <w:spacing w:after="20"/>
            </w:pPr>
            <w:r>
              <w:rPr>
                <w:b w:val="0"/>
                <w:sz w:val="17"/>
              </w:rPr>
              <w:t>Doble registro farmacéutico-enfermero con alerta si discrepancia &gt; 5 min</w:t>
            </w:r>
          </w:p>
        </w:tc>
        <w:tc>
          <w:tcPr>
            <w:tcW w:type="dxa" w:w="2995"/>
          </w:tcPr>
          <w:p>
            <w:pPr>
              <w:spacing w:after="20"/>
            </w:pPr>
            <w:r>
              <w:rPr>
                <w:b w:val="0"/>
                <w:sz w:val="17"/>
              </w:rPr>
              <w:t>regulación INCAP</w:t>
            </w:r>
          </w:p>
        </w:tc>
      </w:tr>
      <w:tr>
        <w:tc>
          <w:tcPr>
            <w:tcW w:type="dxa" w:w="936"/>
          </w:tcPr>
          <w:p>
            <w:pPr>
              <w:spacing w:after="20"/>
            </w:pPr>
            <w:r>
              <w:rPr>
                <w:b/>
                <w:sz w:val="17"/>
              </w:rPr>
              <w:t>CDU-05 Administración</w:t>
            </w:r>
          </w:p>
        </w:tc>
        <w:tc>
          <w:tcPr>
            <w:tcW w:type="dxa" w:w="5429"/>
          </w:tcPr>
          <w:p>
            <w:pPr>
              <w:spacing w:after="20"/>
            </w:pPr>
          </w:p>
        </w:tc>
        <w:tc>
          <w:tcPr>
            <w:tcW w:type="dxa" w:w="2995"/>
          </w:tcPr>
          <w:p>
            <w:pPr>
              <w:spacing w:after="20"/>
            </w:pPr>
          </w:p>
        </w:tc>
      </w:tr>
      <w:tr>
        <w:tc>
          <w:tcPr>
            <w:tcW w:type="dxa" w:w="936"/>
          </w:tcPr>
          <w:p>
            <w:pPr>
              <w:spacing w:after="20"/>
            </w:pPr>
            <w:r>
              <w:rPr>
                <w:b w:val="0"/>
                <w:sz w:val="17"/>
              </w:rPr>
              <w:t>RF-23</w:t>
            </w:r>
          </w:p>
        </w:tc>
        <w:tc>
          <w:tcPr>
            <w:tcW w:type="dxa" w:w="5429"/>
          </w:tcPr>
          <w:p>
            <w:pPr>
              <w:spacing w:after="20"/>
            </w:pPr>
            <w:r>
              <w:rPr>
                <w:b w:val="0"/>
                <w:sz w:val="17"/>
              </w:rPr>
              <w:t>Administrar MAC (escaneo de pulsera, medicamento y credencial biométrica)</w:t>
            </w:r>
          </w:p>
        </w:tc>
        <w:tc>
          <w:tcPr>
            <w:tcW w:type="dxa" w:w="2995"/>
          </w:tcPr>
          <w:p>
            <w:pPr>
              <w:spacing w:after="20"/>
            </w:pPr>
            <w:r>
              <w:rPr>
                <w:b w:val="0"/>
                <w:sz w:val="17"/>
              </w:rPr>
              <w:t>etapa 5</w:t>
            </w:r>
          </w:p>
        </w:tc>
      </w:tr>
      <w:tr>
        <w:tc>
          <w:tcPr>
            <w:tcW w:type="dxa" w:w="936"/>
          </w:tcPr>
          <w:p>
            <w:pPr>
              <w:spacing w:after="20"/>
            </w:pPr>
            <w:r>
              <w:rPr>
                <w:b w:val="0"/>
                <w:sz w:val="17"/>
              </w:rPr>
              <w:t>RF-24</w:t>
            </w:r>
          </w:p>
        </w:tc>
        <w:tc>
          <w:tcPr>
            <w:tcW w:type="dxa" w:w="5429"/>
          </w:tcPr>
          <w:p>
            <w:pPr>
              <w:spacing w:after="20"/>
            </w:pPr>
            <w:r>
              <w:rPr>
                <w:b w:val="0"/>
                <w:sz w:val="17"/>
              </w:rPr>
              <w:t>Validar paciente-medicamento con alerta de discrepancia</w:t>
            </w:r>
          </w:p>
        </w:tc>
        <w:tc>
          <w:tcPr>
            <w:tcW w:type="dxa" w:w="2995"/>
          </w:tcPr>
          <w:p>
            <w:pPr>
              <w:spacing w:after="20"/>
            </w:pPr>
            <w:r>
              <w:rPr>
                <w:b w:val="0"/>
                <w:sz w:val="17"/>
              </w:rPr>
              <w:t>escenario 3</w:t>
            </w:r>
          </w:p>
        </w:tc>
      </w:tr>
      <w:tr>
        <w:tc>
          <w:tcPr>
            <w:tcW w:type="dxa" w:w="936"/>
          </w:tcPr>
          <w:p>
            <w:pPr>
              <w:spacing w:after="20"/>
            </w:pPr>
            <w:r>
              <w:rPr>
                <w:b w:val="0"/>
                <w:sz w:val="17"/>
              </w:rPr>
              <w:t>RF-25</w:t>
            </w:r>
          </w:p>
        </w:tc>
        <w:tc>
          <w:tcPr>
            <w:tcW w:type="dxa" w:w="5429"/>
          </w:tcPr>
          <w:p>
            <w:pPr>
              <w:spacing w:after="20"/>
            </w:pPr>
            <w:r>
              <w:rPr>
                <w:b w:val="0"/>
                <w:sz w:val="17"/>
              </w:rPr>
              <w:t>Ingresar código manualmente como respaldo del escáner</w:t>
            </w:r>
          </w:p>
        </w:tc>
        <w:tc>
          <w:tcPr>
            <w:tcW w:type="dxa" w:w="2995"/>
          </w:tcPr>
          <w:p>
            <w:pPr>
              <w:spacing w:after="20"/>
            </w:pPr>
            <w:r>
              <w:rPr>
                <w:b w:val="0"/>
                <w:sz w:val="17"/>
              </w:rPr>
              <w:t>entorno técnico (5 % de fallo)</w:t>
            </w:r>
          </w:p>
        </w:tc>
      </w:tr>
      <w:tr>
        <w:tc>
          <w:tcPr>
            <w:tcW w:type="dxa" w:w="936"/>
          </w:tcPr>
          <w:p>
            <w:pPr>
              <w:spacing w:after="20"/>
            </w:pPr>
            <w:r>
              <w:rPr>
                <w:b w:val="0"/>
                <w:sz w:val="17"/>
              </w:rPr>
              <w:t>RF-26</w:t>
            </w:r>
          </w:p>
        </w:tc>
        <w:tc>
          <w:tcPr>
            <w:tcW w:type="dxa" w:w="5429"/>
          </w:tcPr>
          <w:p>
            <w:pPr>
              <w:spacing w:after="20"/>
            </w:pPr>
            <w:r>
              <w:rPr>
                <w:b w:val="0"/>
                <w:sz w:val="17"/>
              </w:rPr>
              <w:t>Operar offline y reconciliar al reconectar sin duplicar</w:t>
            </w:r>
          </w:p>
        </w:tc>
        <w:tc>
          <w:tcPr>
            <w:tcW w:type="dxa" w:w="2995"/>
          </w:tcPr>
          <w:p>
            <w:pPr>
              <w:spacing w:after="20"/>
            </w:pPr>
            <w:r>
              <w:rPr>
                <w:b w:val="0"/>
                <w:sz w:val="17"/>
              </w:rPr>
              <w:t>acuerdo de calidad 2</w:t>
            </w:r>
          </w:p>
        </w:tc>
      </w:tr>
      <w:tr>
        <w:tc>
          <w:tcPr>
            <w:tcW w:type="dxa" w:w="936"/>
          </w:tcPr>
          <w:p>
            <w:pPr>
              <w:spacing w:after="20"/>
            </w:pPr>
            <w:r>
              <w:rPr>
                <w:b w:val="0"/>
                <w:sz w:val="17"/>
              </w:rPr>
              <w:t>RF-27</w:t>
            </w:r>
          </w:p>
        </w:tc>
        <w:tc>
          <w:tcPr>
            <w:tcW w:type="dxa" w:w="5429"/>
          </w:tcPr>
          <w:p>
            <w:pPr>
              <w:spacing w:after="20"/>
            </w:pPr>
            <w:r>
              <w:rPr>
                <w:b w:val="0"/>
                <w:sz w:val="17"/>
              </w:rPr>
              <w:t>Registrar reacción adversa inmediata con voz a texto</w:t>
            </w:r>
          </w:p>
        </w:tc>
        <w:tc>
          <w:tcPr>
            <w:tcW w:type="dxa" w:w="2995"/>
          </w:tcPr>
          <w:p>
            <w:pPr>
              <w:spacing w:after="20"/>
            </w:pPr>
            <w:r>
              <w:rPr>
                <w:b w:val="0"/>
                <w:sz w:val="17"/>
              </w:rPr>
              <w:t>necesidad oculta del enfermero</w:t>
            </w:r>
          </w:p>
        </w:tc>
      </w:tr>
      <w:tr>
        <w:tc>
          <w:tcPr>
            <w:tcW w:type="dxa" w:w="936"/>
          </w:tcPr>
          <w:p>
            <w:pPr>
              <w:spacing w:after="20"/>
            </w:pPr>
            <w:r>
              <w:rPr>
                <w:b/>
                <w:sz w:val="17"/>
              </w:rPr>
              <w:t>CDU-06 Seguimiento y farmacovigilancia</w:t>
            </w:r>
          </w:p>
        </w:tc>
        <w:tc>
          <w:tcPr>
            <w:tcW w:type="dxa" w:w="5429"/>
          </w:tcPr>
          <w:p>
            <w:pPr>
              <w:spacing w:after="20"/>
            </w:pPr>
          </w:p>
        </w:tc>
        <w:tc>
          <w:tcPr>
            <w:tcW w:type="dxa" w:w="2995"/>
          </w:tcPr>
          <w:p>
            <w:pPr>
              <w:spacing w:after="20"/>
            </w:pPr>
          </w:p>
        </w:tc>
      </w:tr>
      <w:tr>
        <w:tc>
          <w:tcPr>
            <w:tcW w:type="dxa" w:w="936"/>
          </w:tcPr>
          <w:p>
            <w:pPr>
              <w:spacing w:after="20"/>
            </w:pPr>
            <w:r>
              <w:rPr>
                <w:b w:val="0"/>
                <w:sz w:val="17"/>
              </w:rPr>
              <w:t>RF-28</w:t>
            </w:r>
          </w:p>
        </w:tc>
        <w:tc>
          <w:tcPr>
            <w:tcW w:type="dxa" w:w="5429"/>
          </w:tcPr>
          <w:p>
            <w:pPr>
              <w:spacing w:after="20"/>
            </w:pPr>
            <w:r>
              <w:rPr>
                <w:b w:val="0"/>
                <w:sz w:val="17"/>
              </w:rPr>
              <w:t>Registrar seguimiento farmacoterapéutico y ajuste de dosis</w:t>
            </w:r>
          </w:p>
        </w:tc>
        <w:tc>
          <w:tcPr>
            <w:tcW w:type="dxa" w:w="2995"/>
          </w:tcPr>
          <w:p>
            <w:pPr>
              <w:spacing w:after="20"/>
            </w:pPr>
            <w:r>
              <w:rPr>
                <w:b w:val="0"/>
                <w:sz w:val="17"/>
              </w:rPr>
              <w:t>etapa 6</w:t>
            </w:r>
          </w:p>
        </w:tc>
      </w:tr>
      <w:tr>
        <w:tc>
          <w:tcPr>
            <w:tcW w:type="dxa" w:w="936"/>
          </w:tcPr>
          <w:p>
            <w:pPr>
              <w:spacing w:after="20"/>
            </w:pPr>
            <w:r>
              <w:rPr>
                <w:b w:val="0"/>
                <w:sz w:val="17"/>
              </w:rPr>
              <w:t>RF-29</w:t>
            </w:r>
          </w:p>
        </w:tc>
        <w:tc>
          <w:tcPr>
            <w:tcW w:type="dxa" w:w="5429"/>
          </w:tcPr>
          <w:p>
            <w:pPr>
              <w:spacing w:after="20"/>
            </w:pPr>
            <w:r>
              <w:rPr>
                <w:b w:val="0"/>
                <w:sz w:val="17"/>
              </w:rPr>
              <w:t>Generar y reenviar el reporte al sistema nacional (XML/DTD, ≤ 24 h, ventana 8-16 h)</w:t>
            </w:r>
          </w:p>
        </w:tc>
        <w:tc>
          <w:tcPr>
            <w:tcW w:type="dxa" w:w="2995"/>
          </w:tcPr>
          <w:p>
            <w:pPr>
              <w:spacing w:after="20"/>
            </w:pPr>
            <w:r>
              <w:rPr>
                <w:b w:val="0"/>
                <w:sz w:val="17"/>
              </w:rPr>
              <w:t>etapa 6 + escenario 6</w:t>
            </w:r>
          </w:p>
        </w:tc>
      </w:tr>
      <w:tr>
        <w:tc>
          <w:tcPr>
            <w:tcW w:type="dxa" w:w="936"/>
          </w:tcPr>
          <w:p>
            <w:pPr>
              <w:spacing w:after="20"/>
            </w:pPr>
            <w:r>
              <w:rPr>
                <w:b w:val="0"/>
                <w:sz w:val="17"/>
              </w:rPr>
              <w:t>RF-30</w:t>
            </w:r>
          </w:p>
        </w:tc>
        <w:tc>
          <w:tcPr>
            <w:tcW w:type="dxa" w:w="5429"/>
          </w:tcPr>
          <w:p>
            <w:pPr>
              <w:spacing w:after="20"/>
            </w:pPr>
            <w:r>
              <w:rPr>
                <w:b w:val="0"/>
                <w:sz w:val="17"/>
              </w:rPr>
              <w:t>Detectar patrones de efectos adversos por lote y generar alerta temprana</w:t>
            </w:r>
          </w:p>
        </w:tc>
        <w:tc>
          <w:tcPr>
            <w:tcW w:type="dxa" w:w="2995"/>
          </w:tcPr>
          <w:p>
            <w:pPr>
              <w:spacing w:after="20"/>
            </w:pPr>
            <w:r>
              <w:rPr>
                <w:b w:val="0"/>
                <w:sz w:val="17"/>
              </w:rPr>
              <w:t>necesidad oculta del jefe de farmacovigilancia</w:t>
            </w:r>
          </w:p>
        </w:tc>
      </w:tr>
      <w:tr>
        <w:tc>
          <w:tcPr>
            <w:tcW w:type="dxa" w:w="936"/>
          </w:tcPr>
          <w:p>
            <w:pPr>
              <w:spacing w:after="20"/>
            </w:pPr>
            <w:r>
              <w:rPr>
                <w:b w:val="0"/>
                <w:sz w:val="17"/>
              </w:rPr>
              <w:t>RF-31</w:t>
            </w:r>
          </w:p>
        </w:tc>
        <w:tc>
          <w:tcPr>
            <w:tcW w:type="dxa" w:w="5429"/>
          </w:tcPr>
          <w:p>
            <w:pPr>
              <w:spacing w:after="20"/>
            </w:pPr>
            <w:r>
              <w:rPr>
                <w:b w:val="0"/>
                <w:sz w:val="17"/>
              </w:rPr>
              <w:t>Notificar la próxima dosis al paciente (SMS/WhatsApp)</w:t>
            </w:r>
          </w:p>
        </w:tc>
        <w:tc>
          <w:tcPr>
            <w:tcW w:type="dxa" w:w="2995"/>
          </w:tcPr>
          <w:p>
            <w:pPr>
              <w:spacing w:after="20"/>
            </w:pPr>
            <w:r>
              <w:rPr>
                <w:b w:val="0"/>
                <w:sz w:val="17"/>
              </w:rPr>
              <w:t>necesidad oculta del paciente</w:t>
            </w:r>
          </w:p>
        </w:tc>
      </w:tr>
      <w:tr>
        <w:tc>
          <w:tcPr>
            <w:tcW w:type="dxa" w:w="936"/>
          </w:tcPr>
          <w:p>
            <w:pPr>
              <w:spacing w:after="20"/>
            </w:pPr>
            <w:r>
              <w:rPr>
                <w:b w:val="0"/>
                <w:sz w:val="17"/>
              </w:rPr>
              <w:t>RF-32</w:t>
            </w:r>
          </w:p>
        </w:tc>
        <w:tc>
          <w:tcPr>
            <w:tcW w:type="dxa" w:w="5429"/>
          </w:tcPr>
          <w:p>
            <w:pPr>
              <w:spacing w:after="20"/>
            </w:pPr>
            <w:r>
              <w:rPr>
                <w:b w:val="0"/>
                <w:sz w:val="17"/>
              </w:rPr>
              <w:t>Verificar trazabilidad del medicamento por QR (paciente)</w:t>
            </w:r>
          </w:p>
        </w:tc>
        <w:tc>
          <w:tcPr>
            <w:tcW w:type="dxa" w:w="2995"/>
          </w:tcPr>
          <w:p>
            <w:pPr>
              <w:spacing w:after="20"/>
            </w:pPr>
            <w:r>
              <w:rPr>
                <w:b w:val="0"/>
                <w:sz w:val="17"/>
              </w:rPr>
              <w:t>necesidad oculta del paciente</w:t>
            </w:r>
          </w:p>
        </w:tc>
      </w:tr>
      <w:tr>
        <w:tc>
          <w:tcPr>
            <w:tcW w:type="dxa" w:w="936"/>
          </w:tcPr>
          <w:p>
            <w:pPr>
              <w:spacing w:after="20"/>
            </w:pPr>
            <w:r>
              <w:rPr>
                <w:b/>
                <w:sz w:val="17"/>
              </w:rPr>
              <w:t>CDU-07 Control y auditoría</w:t>
            </w:r>
          </w:p>
        </w:tc>
        <w:tc>
          <w:tcPr>
            <w:tcW w:type="dxa" w:w="5429"/>
          </w:tcPr>
          <w:p>
            <w:pPr>
              <w:spacing w:after="20"/>
            </w:pPr>
          </w:p>
        </w:tc>
        <w:tc>
          <w:tcPr>
            <w:tcW w:type="dxa" w:w="2995"/>
          </w:tcPr>
          <w:p>
            <w:pPr>
              <w:spacing w:after="20"/>
            </w:pPr>
          </w:p>
        </w:tc>
      </w:tr>
      <w:tr>
        <w:tc>
          <w:tcPr>
            <w:tcW w:type="dxa" w:w="936"/>
          </w:tcPr>
          <w:p>
            <w:pPr>
              <w:spacing w:after="20"/>
            </w:pPr>
            <w:r>
              <w:rPr>
                <w:b w:val="0"/>
                <w:sz w:val="17"/>
              </w:rPr>
              <w:t>RF-33</w:t>
            </w:r>
          </w:p>
        </w:tc>
        <w:tc>
          <w:tcPr>
            <w:tcW w:type="dxa" w:w="5429"/>
          </w:tcPr>
          <w:p>
            <w:pPr>
              <w:spacing w:after="20"/>
            </w:pPr>
            <w:r>
              <w:rPr>
                <w:b w:val="0"/>
                <w:sz w:val="17"/>
              </w:rPr>
              <w:t>Generar informe forense de lote en &lt; 10 min sobre registros inmutables</w:t>
            </w:r>
          </w:p>
        </w:tc>
        <w:tc>
          <w:tcPr>
            <w:tcW w:type="dxa" w:w="2995"/>
          </w:tcPr>
          <w:p>
            <w:pPr>
              <w:spacing w:after="20"/>
            </w:pPr>
            <w:r>
              <w:rPr>
                <w:b w:val="0"/>
                <w:sz w:val="17"/>
              </w:rPr>
              <w:t>escenario 4</w:t>
            </w:r>
          </w:p>
        </w:tc>
      </w:tr>
      <w:tr>
        <w:tc>
          <w:tcPr>
            <w:tcW w:type="dxa" w:w="936"/>
          </w:tcPr>
          <w:p>
            <w:pPr>
              <w:spacing w:after="20"/>
            </w:pPr>
            <w:r>
              <w:rPr>
                <w:b w:val="0"/>
                <w:sz w:val="17"/>
              </w:rPr>
              <w:t>RF-34</w:t>
            </w:r>
          </w:p>
        </w:tc>
        <w:tc>
          <w:tcPr>
            <w:tcW w:type="dxa" w:w="5429"/>
          </w:tcPr>
          <w:p>
            <w:pPr>
              <w:spacing w:after="20"/>
            </w:pPr>
            <w:r>
              <w:rPr>
                <w:b w:val="0"/>
                <w:sz w:val="17"/>
              </w:rPr>
              <w:t>Presentar tablero de costo por paciente, por servicio y % de desperdicio</w:t>
            </w:r>
          </w:p>
        </w:tc>
        <w:tc>
          <w:tcPr>
            <w:tcW w:type="dxa" w:w="2995"/>
          </w:tcPr>
          <w:p>
            <w:pPr>
              <w:spacing w:after="20"/>
            </w:pPr>
            <w:r>
              <w:rPr>
                <w:b w:val="0"/>
                <w:sz w:val="17"/>
              </w:rPr>
              <w:t>necesidad oculta del director</w:t>
            </w:r>
          </w:p>
        </w:tc>
      </w:tr>
      <w:tr>
        <w:tc>
          <w:tcPr>
            <w:tcW w:type="dxa" w:w="936"/>
          </w:tcPr>
          <w:p>
            <w:pPr>
              <w:spacing w:after="20"/>
            </w:pPr>
            <w:r>
              <w:rPr>
                <w:b w:val="0"/>
                <w:sz w:val="17"/>
              </w:rPr>
              <w:t>RF-35</w:t>
            </w:r>
          </w:p>
        </w:tc>
        <w:tc>
          <w:tcPr>
            <w:tcW w:type="dxa" w:w="5429"/>
          </w:tcPr>
          <w:p>
            <w:pPr>
              <w:spacing w:after="20"/>
            </w:pPr>
            <w:r>
              <w:rPr>
                <w:b w:val="0"/>
                <w:sz w:val="17"/>
              </w:rPr>
              <w:t>Auditar autorizaciones de compra y bajas de inventario</w:t>
            </w:r>
          </w:p>
        </w:tc>
        <w:tc>
          <w:tcPr>
            <w:tcW w:type="dxa" w:w="2995"/>
          </w:tcPr>
          <w:p>
            <w:pPr>
              <w:spacing w:after="20"/>
            </w:pPr>
            <w:r>
              <w:rPr>
                <w:b w:val="0"/>
                <w:sz w:val="17"/>
              </w:rPr>
              <w:t>necesidad oculta del director</w:t>
            </w:r>
          </w:p>
        </w:tc>
      </w:tr>
      <w:tr>
        <w:tc>
          <w:tcPr>
            <w:tcW w:type="dxa" w:w="936"/>
          </w:tcPr>
          <w:p>
            <w:pPr>
              <w:spacing w:after="20"/>
            </w:pPr>
            <w:r>
              <w:rPr>
                <w:b w:val="0"/>
                <w:sz w:val="17"/>
              </w:rPr>
              <w:t>RF-36</w:t>
            </w:r>
          </w:p>
        </w:tc>
        <w:tc>
          <w:tcPr>
            <w:tcW w:type="dxa" w:w="5429"/>
          </w:tcPr>
          <w:p>
            <w:pPr>
              <w:spacing w:after="20"/>
            </w:pPr>
            <w:r>
              <w:rPr>
                <w:b w:val="0"/>
                <w:sz w:val="17"/>
              </w:rPr>
              <w:t>Responder solicitudes de información pública con datos anonimizados</w:t>
            </w:r>
          </w:p>
        </w:tc>
        <w:tc>
          <w:tcPr>
            <w:tcW w:type="dxa" w:w="2995"/>
          </w:tcPr>
          <w:p>
            <w:pPr>
              <w:spacing w:after="20"/>
            </w:pPr>
            <w:r>
              <w:rPr>
                <w:b w:val="0"/>
                <w:sz w:val="17"/>
              </w:rPr>
              <w:t>Ley de Acceso a la Información</w:t>
            </w:r>
          </w:p>
        </w:tc>
      </w:tr>
      <w:tr>
        <w:tc>
          <w:tcPr>
            <w:tcW w:type="dxa" w:w="936"/>
          </w:tcPr>
          <w:p>
            <w:pPr>
              <w:spacing w:after="20"/>
            </w:pPr>
            <w:r>
              <w:rPr>
                <w:b w:val="0"/>
                <w:sz w:val="17"/>
              </w:rPr>
              <w:t>RF-37</w:t>
            </w:r>
          </w:p>
        </w:tc>
        <w:tc>
          <w:tcPr>
            <w:tcW w:type="dxa" w:w="5429"/>
          </w:tcPr>
          <w:p>
            <w:pPr>
              <w:spacing w:after="20"/>
            </w:pPr>
            <w:r>
              <w:rPr>
                <w:b w:val="0"/>
                <w:sz w:val="17"/>
              </w:rPr>
              <w:t>Exportar datos en HL7 FHIR y exponer API para el sistema nacional</w:t>
            </w:r>
          </w:p>
        </w:tc>
        <w:tc>
          <w:tcPr>
            <w:tcW w:type="dxa" w:w="2995"/>
          </w:tcPr>
          <w:p>
            <w:pPr>
              <w:spacing w:after="20"/>
            </w:pPr>
            <w:r>
              <w:rPr>
                <w:b w:val="0"/>
                <w:sz w:val="17"/>
              </w:rPr>
              <w:t>necesidad del MSPAS</w:t>
            </w:r>
          </w:p>
        </w:tc>
      </w:tr>
    </w:tbl>
    <w:p>
      <w:pPr>
        <w:spacing w:after="40"/>
      </w:pPr>
    </w:p>
    <w:p>
      <w:pPr>
        <w:spacing w:after="120"/>
      </w:pPr>
      <w:r>
        <w:rPr>
          <w:b/>
          <w:sz w:val="21"/>
        </w:rPr>
        <w:t>37 drivers RF</w:t>
      </w:r>
      <w:r>
        <w:rPr>
          <w:b w:val="0"/>
          <w:sz w:val="21"/>
        </w:rPr>
        <w:t xml:space="preserve">, cada uno trazable a su proceso (CDU-nn) y a su origen en el enunciado. Esa doble columna </w:t>
      </w:r>
      <w:r>
        <w:rPr>
          <w:b/>
          <w:sz w:val="21"/>
        </w:rPr>
        <w:t>es</w:t>
      </w:r>
      <w:r>
        <w:rPr>
          <w:b w:val="0"/>
          <w:sz w:val="21"/>
        </w:rPr>
        <w:t xml:space="preserve"> la prueba de completitud que pide el criterio.</w:t>
      </w:r>
    </w:p>
    <w:p>
      <w:pPr>
        <w:pStyle w:val="Heading3"/>
      </w:pPr>
      <w:r>
        <w:rPr>
          <w:color w:val="000000"/>
        </w:rPr>
      </w:r>
      <w:r>
        <w:rPr>
          <w:b/>
          <w:color w:val="000000"/>
        </w:rPr>
        <w:t>Expandido de CDU-03 Prescripción — el diagrama profundo</w:t>
      </w:r>
    </w:p>
    <w:p>
      <w:pPr>
        <w:spacing w:after="120"/>
      </w:pPr>
      <w:r>
        <w:rPr>
          <w:b w:val="0"/>
          <w:sz w:val="21"/>
        </w:rPr>
        <w:t xml:space="preserve">El más rico del caso: junta las </w:t>
      </w:r>
      <w:r>
        <w:rPr>
          <w:b/>
          <w:sz w:val="21"/>
        </w:rPr>
        <w:t>dos justificaciones de include</w:t>
      </w:r>
      <w:r>
        <w:rPr>
          <w:b w:val="0"/>
          <w:sz w:val="21"/>
        </w:rPr>
        <w:t xml:space="preserve">, un extend condicionado y la </w:t>
      </w:r>
      <w:r>
        <w:rPr>
          <w:b/>
          <w:sz w:val="21"/>
        </w:rPr>
        <w:t>generalización de actores</w:t>
      </w:r>
      <w:r>
        <w:rPr>
          <w:b w:val="0"/>
          <w:sz w:val="21"/>
        </w:rPr>
        <w:t xml:space="preserve"> del molde del Hospital de la cátedra.</w:t>
      </w:r>
    </w:p>
    <w:p>
      <w:pPr>
        <w:jc w:val="center"/>
      </w:pPr>
      <w:r>
        <w:drawing>
          <wp:inline xmlns:a="http://schemas.openxmlformats.org/drawingml/2006/main" xmlns:pic="http://schemas.openxmlformats.org/drawingml/2006/picture">
            <wp:extent cx="5669280" cy="3894925"/>
            <wp:docPr id="4" name="Picture 4"/>
            <wp:cNvGraphicFramePr>
              <a:graphicFrameLocks noChangeAspect="1"/>
            </wp:cNvGraphicFramePr>
            <a:graphic>
              <a:graphicData uri="http://schemas.openxmlformats.org/drawingml/2006/picture">
                <pic:pic>
                  <pic:nvPicPr>
                    <pic:cNvPr id="0" name="cdu-expandido-prescripcion.png"/>
                    <pic:cNvPicPr/>
                  </pic:nvPicPr>
                  <pic:blipFill>
                    <a:blip r:embed="rId12"/>
                    <a:stretch>
                      <a:fillRect/>
                    </a:stretch>
                  </pic:blipFill>
                  <pic:spPr>
                    <a:xfrm>
                      <a:off x="0" y="0"/>
                      <a:ext cx="5669280" cy="3894925"/>
                    </a:xfrm>
                    <a:prstGeom prst="rect"/>
                  </pic:spPr>
                </pic:pic>
              </a:graphicData>
            </a:graphic>
          </wp:inline>
        </w:drawing>
      </w:r>
    </w:p>
    <w:p>
      <w:pPr>
        <w:jc w:val="center"/>
      </w:pPr>
      <w:r>
        <w:rPr>
          <w:b w:val="0"/>
          <w:i/>
          <w:color w:val="555555"/>
          <w:sz w:val="18"/>
        </w:rPr>
        <w:t>CDU-03 expandido — plano del sistema: sin estereotipos de negocio, include punteado base→incluido, extend punteado extensión→base con su condición, y generalización de actores.</w:t>
      </w:r>
    </w:p>
    <w:tbl>
      <w:tblPr>
        <w:tblStyle w:val="TableGrid"/>
        <w:jc w:val="center"/>
        <w:tblLayout w:type="fixed"/>
        <w:tblLook w:firstColumn="1" w:firstRow="1" w:lastColumn="0" w:lastRow="0" w:noHBand="0" w:noVBand="1" w:val="04A0"/>
        <w:tblW w:type="dxa" w:w="9360"/>
      </w:tblPr>
      <w:tblGrid>
        <w:gridCol w:w="2808"/>
        <w:gridCol w:w="1872"/>
        <w:gridCol w:w="4680"/>
      </w:tblGrid>
      <w:tr>
        <w:trPr>
          <w:tblHeader w:val="true"/>
        </w:trPr>
        <w:tc>
          <w:tcPr>
            <w:tcW w:type="dxa" w:w="2808"/>
            <w:shd w:val="clear" w:color="auto" w:fill="EDEFF2"/>
          </w:tcPr>
          <w:p>
            <w:pPr>
              <w:keepNext w:val="0"/>
              <w:spacing w:after="20"/>
            </w:pPr>
            <w:r>
              <w:rPr>
                <w:b/>
                <w:sz w:val="17"/>
              </w:rPr>
              <w:t>Relación</w:t>
            </w:r>
          </w:p>
        </w:tc>
        <w:tc>
          <w:tcPr>
            <w:tcW w:type="dxa" w:w="1872"/>
            <w:shd w:val="clear" w:color="auto" w:fill="EDEFF2"/>
          </w:tcPr>
          <w:p>
            <w:pPr>
              <w:keepNext w:val="0"/>
              <w:spacing w:after="20"/>
            </w:pPr>
            <w:r>
              <w:rPr>
                <w:b/>
                <w:sz w:val="17"/>
              </w:rPr>
              <w:t>Tipo</w:t>
            </w:r>
          </w:p>
        </w:tc>
        <w:tc>
          <w:tcPr>
            <w:tcW w:type="dxa" w:w="4680"/>
            <w:shd w:val="clear" w:color="auto" w:fill="EDEFF2"/>
          </w:tcPr>
          <w:p>
            <w:pPr>
              <w:keepNext w:val="0"/>
              <w:spacing w:after="20"/>
            </w:pPr>
            <w:r>
              <w:rPr>
                <w:b/>
                <w:sz w:val="17"/>
              </w:rPr>
              <w:t>Justificación (el criterio, no la sintaxis)</w:t>
            </w:r>
          </w:p>
        </w:tc>
      </w:tr>
      <w:tr>
        <w:tc>
          <w:tcPr>
            <w:tcW w:type="dxa" w:w="2808"/>
          </w:tcPr>
          <w:p>
            <w:pPr>
              <w:spacing w:after="20"/>
            </w:pPr>
            <w:r>
              <w:rPr>
                <w:b w:val="0"/>
                <w:sz w:val="17"/>
              </w:rPr>
              <w:t>Prescribir → Validar protocolo / interacciones / contraindicaciones</w:t>
            </w:r>
          </w:p>
        </w:tc>
        <w:tc>
          <w:tcPr>
            <w:tcW w:type="dxa" w:w="1872"/>
          </w:tcPr>
          <w:p>
            <w:pPr>
              <w:spacing w:after="20"/>
            </w:pPr>
            <w:r>
              <w:rPr>
                <w:b w:val="0"/>
                <w:sz w:val="17"/>
              </w:rPr>
              <w:t xml:space="preserve">include por </w:t>
            </w:r>
            <w:r>
              <w:rPr>
                <w:b/>
                <w:sz w:val="17"/>
              </w:rPr>
              <w:t>particionamiento</w:t>
            </w:r>
          </w:p>
        </w:tc>
        <w:tc>
          <w:tcPr>
            <w:tcW w:type="dxa" w:w="4680"/>
          </w:tcPr>
          <w:p>
            <w:pPr>
              <w:spacing w:after="20"/>
            </w:pPr>
            <w:r>
              <w:rPr>
                <w:b w:val="0"/>
                <w:sz w:val="17"/>
              </w:rPr>
              <w:t xml:space="preserve">El enunciado exige las tres validaciones </w:t>
            </w:r>
            <w:r>
              <w:rPr>
                <w:b/>
                <w:sz w:val="17"/>
              </w:rPr>
              <w:t>siempre</w:t>
            </w:r>
            <w:r>
              <w:rPr>
                <w:b w:val="0"/>
                <w:sz w:val="17"/>
              </w:rPr>
              <w:t>: el base no funciona sin ellas. Partirlas hace legible el CU y son casos de apoyo sin actor (excepción de los convenios)</w:t>
            </w:r>
          </w:p>
        </w:tc>
      </w:tr>
      <w:tr>
        <w:tc>
          <w:tcPr>
            <w:tcW w:type="dxa" w:w="2808"/>
          </w:tcPr>
          <w:p>
            <w:pPr>
              <w:spacing w:after="20"/>
            </w:pPr>
            <w:r>
              <w:rPr>
                <w:b w:val="0"/>
                <w:sz w:val="17"/>
              </w:rPr>
              <w:t>Prescribir → Consultar inventario</w:t>
            </w:r>
          </w:p>
        </w:tc>
        <w:tc>
          <w:tcPr>
            <w:tcW w:type="dxa" w:w="1872"/>
          </w:tcPr>
          <w:p>
            <w:pPr>
              <w:spacing w:after="20"/>
            </w:pPr>
            <w:r>
              <w:rPr>
                <w:b w:val="0"/>
                <w:sz w:val="17"/>
              </w:rPr>
              <w:t xml:space="preserve">include por </w:t>
            </w:r>
            <w:r>
              <w:rPr>
                <w:b/>
                <w:sz w:val="17"/>
              </w:rPr>
              <w:t>reutilización</w:t>
            </w:r>
          </w:p>
        </w:tc>
        <w:tc>
          <w:tcPr>
            <w:tcW w:type="dxa" w:w="4680"/>
          </w:tcPr>
          <w:p>
            <w:pPr>
              <w:spacing w:after="20"/>
            </w:pPr>
            <w:r>
              <w:rPr>
                <w:b w:val="0"/>
                <w:sz w:val="17"/>
              </w:rPr>
              <w:t>También lo necesita Dispensar (RF-17): comportamiento compartido entre dos CU</w:t>
            </w:r>
          </w:p>
        </w:tc>
      </w:tr>
      <w:tr>
        <w:tc>
          <w:tcPr>
            <w:tcW w:type="dxa" w:w="2808"/>
          </w:tcPr>
          <w:p>
            <w:pPr>
              <w:spacing w:after="20"/>
            </w:pPr>
            <w:r>
              <w:rPr>
                <w:b w:val="0"/>
                <w:sz w:val="17"/>
              </w:rPr>
              <w:t>Solicitar compra urgente → Prescribir</w:t>
            </w:r>
          </w:p>
        </w:tc>
        <w:tc>
          <w:tcPr>
            <w:tcW w:type="dxa" w:w="1872"/>
          </w:tcPr>
          <w:p>
            <w:pPr>
              <w:spacing w:after="20"/>
            </w:pPr>
            <w:r>
              <w:rPr>
                <w:b w:val="0"/>
                <w:sz w:val="17"/>
              </w:rPr>
              <w:t>extend con condición [sin stock]</w:t>
            </w:r>
          </w:p>
        </w:tc>
        <w:tc>
          <w:tcPr>
            <w:tcW w:type="dxa" w:w="4680"/>
          </w:tcPr>
          <w:p>
            <w:pPr>
              <w:spacing w:after="20"/>
            </w:pPr>
            <w:r>
              <w:rPr>
                <w:b w:val="0"/>
                <w:sz w:val="17"/>
              </w:rPr>
              <w:t xml:space="preserve">Prescribir </w:t>
            </w:r>
            <w:r>
              <w:rPr>
                <w:b/>
                <w:sz w:val="17"/>
              </w:rPr>
              <w:t>funciona perfectamente sin él</w:t>
            </w:r>
            <w:r>
              <w:rPr>
                <w:b w:val="0"/>
                <w:sz w:val="17"/>
              </w:rPr>
              <w:t>; solo se dispara en la excepción</w:t>
            </w:r>
          </w:p>
        </w:tc>
      </w:tr>
      <w:tr>
        <w:tc>
          <w:tcPr>
            <w:tcW w:type="dxa" w:w="2808"/>
          </w:tcPr>
          <w:p>
            <w:pPr>
              <w:spacing w:after="20"/>
            </w:pPr>
            <w:r>
              <w:rPr>
                <w:b w:val="0"/>
                <w:sz w:val="17"/>
              </w:rPr>
              <w:t>Médico tratante / de urgencias → Médico</w:t>
            </w:r>
          </w:p>
        </w:tc>
        <w:tc>
          <w:tcPr>
            <w:tcW w:type="dxa" w:w="1872"/>
          </w:tcPr>
          <w:p>
            <w:pPr>
              <w:spacing w:after="20"/>
            </w:pPr>
            <w:r>
              <w:rPr>
                <w:b/>
                <w:sz w:val="17"/>
              </w:rPr>
              <w:t>generalización</w:t>
            </w:r>
          </w:p>
        </w:tc>
        <w:tc>
          <w:tcPr>
            <w:tcW w:type="dxa" w:w="4680"/>
          </w:tcPr>
          <w:p>
            <w:pPr>
              <w:spacing w:after="20"/>
            </w:pPr>
            <w:r>
              <w:rPr>
                <w:b w:val="0"/>
                <w:sz w:val="17"/>
              </w:rPr>
              <w:t xml:space="preserve">El CU compartido (Prescribir) queda en el </w:t>
            </w:r>
            <w:r>
              <w:rPr>
                <w:b/>
                <w:sz w:val="17"/>
              </w:rPr>
              <w:t>padre</w:t>
            </w:r>
            <w:r>
              <w:rPr>
                <w:b w:val="0"/>
                <w:sz w:val="17"/>
              </w:rPr>
              <w:t>; cada hijo se queda con el suyo — el patrón exacto del Hospital de la cátedra</w:t>
            </w:r>
          </w:p>
        </w:tc>
      </w:tr>
      <w:tr>
        <w:tc>
          <w:tcPr>
            <w:tcW w:type="dxa" w:w="2808"/>
          </w:tcPr>
          <w:p>
            <w:pPr>
              <w:spacing w:after="20"/>
            </w:pPr>
            <w:r>
              <w:rPr>
                <w:b w:val="0"/>
                <w:sz w:val="17"/>
              </w:rPr>
              <w:t>Médico de urgencias — Acceder a diagnóstico</w:t>
            </w:r>
          </w:p>
        </w:tc>
        <w:tc>
          <w:tcPr>
            <w:tcW w:type="dxa" w:w="1872"/>
          </w:tcPr>
          <w:p>
            <w:pPr>
              <w:spacing w:after="20"/>
            </w:pPr>
            <w:r>
              <w:rPr>
                <w:b w:val="0"/>
                <w:sz w:val="17"/>
              </w:rPr>
              <w:t>asociación propia del hijo</w:t>
            </w:r>
          </w:p>
        </w:tc>
        <w:tc>
          <w:tcPr>
            <w:tcW w:type="dxa" w:w="4680"/>
          </w:tcPr>
          <w:p>
            <w:pPr>
              <w:spacing w:after="20"/>
            </w:pPr>
            <w:r>
              <w:rPr>
                <w:b w:val="0"/>
                <w:sz w:val="17"/>
              </w:rPr>
              <w:t>Solo urgencias tiene ese derecho (ABAC, acuerdo de calidad 4)</w:t>
            </w:r>
          </w:p>
        </w:tc>
      </w:tr>
    </w:tbl>
    <w:p>
      <w:pPr>
        <w:spacing w:after="40"/>
      </w:pPr>
    </w:p>
    <w:p>
      <w:pPr>
        <w:spacing w:after="120"/>
      </w:pPr>
      <w:r>
        <w:rPr>
          <w:b w:val="0"/>
          <w:sz w:val="21"/>
        </w:rPr>
        <w:t xml:space="preserve">Nota de reutilización entre procesos: *Consultar inventario* lo incluyen </w:t>
      </w:r>
      <w:r>
        <w:rPr>
          <w:b/>
          <w:sz w:val="21"/>
        </w:rPr>
        <w:t>Prescribir y Dispensar</w:t>
      </w:r>
      <w:r>
        <w:rPr>
          <w:b w:val="0"/>
          <w:sz w:val="21"/>
        </w:rPr>
        <w:t xml:space="preserve">; *Doble registro INCAP* lo incluyen </w:t>
      </w:r>
      <w:r>
        <w:rPr>
          <w:b/>
          <w:sz w:val="21"/>
        </w:rPr>
        <w:t>Dispensar y Administrar</w:t>
      </w:r>
      <w:r>
        <w:rPr>
          <w:b w:val="0"/>
          <w:sz w:val="21"/>
        </w:rPr>
        <w:t xml:space="preserve"> (la regulación exige que ambos extremos coincidan). Esa es la inclusión por reutilización operando </w:t>
      </w:r>
      <w:r>
        <w:rPr>
          <w:b/>
          <w:sz w:val="21"/>
        </w:rPr>
        <w:t>entre</w:t>
      </w:r>
      <w:r>
        <w:rPr>
          <w:b w:val="0"/>
          <w:sz w:val="21"/>
        </w:rPr>
        <w:t xml:space="preserve"> expandidos, no solo adentro de uno.</w:t>
      </w:r>
    </w:p>
    <w:p>
      <w:pPr>
        <w:pStyle w:val="Heading2"/>
      </w:pPr>
      <w:r>
        <w:rPr>
          <w:color w:val="000000"/>
        </w:rPr>
      </w:r>
      <w:r>
        <w:rPr>
          <w:b/>
          <w:color w:val="000000"/>
        </w:rPr>
        <w:t>3.2 Drivers de atributos de calidad</w:t>
      </w:r>
    </w:p>
    <w:p>
      <w:pPr>
        <w:spacing w:after="120"/>
      </w:pPr>
      <w:r>
        <w:rPr>
          <w:b/>
          <w:sz w:val="21"/>
        </w:rPr>
        <w:t>Un atributo de calidad NO es un caso de uso, y un nombre de atributo NO es un driver.</w:t>
      </w:r>
      <w:r>
        <w:rPr>
          <w:b w:val="0"/>
          <w:sz w:val="21"/>
        </w:rPr>
        <w:t xml:space="preserve"> Los 8 «acuerdos de calidad esperados» del enunciado —que él mismo ordena «clasificar bajo el nombre que corresponda y tratar como drivers arquitectónicos»— van acá como </w:t>
      </w:r>
      <w:r>
        <w:rPr>
          <w:b/>
          <w:sz w:val="21"/>
        </w:rPr>
        <w:t>escenarios de seis partes</w:t>
      </w:r>
      <w:r>
        <w:rPr>
          <w:b w:val="0"/>
          <w:sz w:val="21"/>
        </w:rPr>
        <w:t xml:space="preserve">: fuente, estímulo, artefacto, entorno, respuesta y </w:t>
      </w:r>
      <w:r>
        <w:rPr>
          <w:b/>
          <w:sz w:val="21"/>
        </w:rPr>
        <w:t>medida de respuesta</w:t>
      </w:r>
      <w:r>
        <w:rPr>
          <w:b w:val="0"/>
          <w:sz w:val="21"/>
        </w:rPr>
        <w:t>. La medida es la parte que convierte el deseo en driver: sin número no se puede diseñar ni verificar.</w:t>
      </w:r>
    </w:p>
    <w:p>
      <w:pPr>
        <w:spacing w:after="60"/>
        <w:ind w:left="432"/>
      </w:pPr>
      <w:r>
        <w:rPr>
          <w:b/>
          <w:sz w:val="20"/>
        </w:rPr>
        <w:t>Taxonomía usada, declarada</w:t>
      </w:r>
    </w:p>
    <w:p>
      <w:pPr>
        <w:spacing w:after="200"/>
        <w:ind w:left="432"/>
      </w:pPr>
      <w:r>
        <w:rPr>
          <w:b w:val="0"/>
          <w:sz w:val="19"/>
        </w:rPr>
        <w:t xml:space="preserve">Se clasifica con </w:t>
      </w:r>
      <w:r>
        <w:rPr>
          <w:b/>
          <w:sz w:val="19"/>
        </w:rPr>
        <w:t>los seis atributos del programa</w:t>
      </w:r>
      <w:r>
        <w:rPr>
          <w:b w:val="0"/>
          <w:sz w:val="19"/>
        </w:rPr>
        <w:t xml:space="preserve"> (ISO 9126): funcionalidad, fiabilidad, usabilidad, eficiencia, mantenibilidad, portabilidad. En esa taxonomía la </w:t>
      </w:r>
      <w:r>
        <w:rPr>
          <w:b/>
          <w:sz w:val="19"/>
        </w:rPr>
        <w:t>seguridad</w:t>
      </w:r>
      <w:r>
        <w:rPr>
          <w:b w:val="0"/>
          <w:sz w:val="19"/>
        </w:rPr>
        <w:t xml:space="preserve"> y la </w:t>
      </w:r>
      <w:r>
        <w:rPr>
          <w:b/>
          <w:sz w:val="19"/>
        </w:rPr>
        <w:t>interoperabilidad</w:t>
      </w:r>
      <w:r>
        <w:rPr>
          <w:b w:val="0"/>
          <w:sz w:val="19"/>
        </w:rPr>
        <w:t xml:space="preserve"> son subcaracterísticas de </w:t>
      </w:r>
      <w:r>
        <w:rPr>
          <w:b/>
          <w:sz w:val="19"/>
        </w:rPr>
        <w:t>funcionalidad</w:t>
      </w:r>
      <w:r>
        <w:rPr>
          <w:b w:val="0"/>
          <w:sz w:val="19"/>
        </w:rPr>
        <w:t xml:space="preserve"> — en su sucesora ISO 25010 serían características de primer nivel. Los acuerdos 3, 4, 6 y 8 caen ahí, y se dice explícitamente en cada ficha. Cuando un escenario toca dos atributos, se declara </w:t>
      </w:r>
      <w:r>
        <w:rPr>
          <w:b/>
          <w:sz w:val="19"/>
        </w:rPr>
        <w:t>cuál domina</w:t>
      </w:r>
      <w:r>
        <w:rPr>
          <w:b w:val="0"/>
          <w:sz w:val="19"/>
        </w:rPr>
        <w:t>: un driver con dos categorías sin decidir no orienta ninguna decisión.</w:t>
      </w:r>
    </w:p>
    <w:tbl>
      <w:tblPr>
        <w:tblStyle w:val="TableGrid"/>
        <w:jc w:val="center"/>
        <w:tblLayout w:type="fixed"/>
        <w:tblLook w:firstColumn="1" w:firstRow="1" w:lastColumn="0" w:lastRow="0" w:noHBand="0" w:noVBand="1" w:val="04A0"/>
        <w:tblW w:type="dxa" w:w="9360"/>
      </w:tblPr>
      <w:tblGrid>
        <w:gridCol w:w="749"/>
        <w:gridCol w:w="3182"/>
        <w:gridCol w:w="2434"/>
        <w:gridCol w:w="1404"/>
        <w:gridCol w:w="1591"/>
      </w:tblGrid>
      <w:tr>
        <w:trPr>
          <w:tblHeader w:val="true"/>
        </w:trPr>
        <w:tc>
          <w:tcPr>
            <w:tcW w:type="dxa" w:w="749"/>
            <w:shd w:val="clear" w:color="auto" w:fill="EDEFF2"/>
          </w:tcPr>
          <w:p>
            <w:pPr>
              <w:keepNext w:val="0"/>
              <w:spacing w:after="20"/>
            </w:pPr>
            <w:r>
              <w:rPr>
                <w:b/>
                <w:sz w:val="17"/>
              </w:rPr>
              <w:t>ID</w:t>
            </w:r>
          </w:p>
        </w:tc>
        <w:tc>
          <w:tcPr>
            <w:tcW w:type="dxa" w:w="3182"/>
            <w:shd w:val="clear" w:color="auto" w:fill="EDEFF2"/>
          </w:tcPr>
          <w:p>
            <w:pPr>
              <w:keepNext w:val="0"/>
              <w:spacing w:after="20"/>
            </w:pPr>
            <w:r>
              <w:rPr>
                <w:b/>
                <w:sz w:val="17"/>
              </w:rPr>
              <w:t>Acuerdo</w:t>
            </w:r>
          </w:p>
        </w:tc>
        <w:tc>
          <w:tcPr>
            <w:tcW w:type="dxa" w:w="2434"/>
            <w:shd w:val="clear" w:color="auto" w:fill="EDEFF2"/>
          </w:tcPr>
          <w:p>
            <w:pPr>
              <w:keepNext w:val="0"/>
              <w:spacing w:after="20"/>
            </w:pPr>
            <w:r>
              <w:rPr>
                <w:b/>
                <w:sz w:val="17"/>
              </w:rPr>
              <w:t>Atributo dominante</w:t>
            </w:r>
          </w:p>
        </w:tc>
        <w:tc>
          <w:tcPr>
            <w:tcW w:type="dxa" w:w="1404"/>
            <w:shd w:val="clear" w:color="auto" w:fill="EDEFF2"/>
          </w:tcPr>
          <w:p>
            <w:pPr>
              <w:keepNext w:val="0"/>
              <w:spacing w:after="20"/>
            </w:pPr>
            <w:r>
              <w:rPr>
                <w:b/>
                <w:sz w:val="17"/>
              </w:rPr>
              <w:t>Otros</w:t>
            </w:r>
          </w:p>
        </w:tc>
        <w:tc>
          <w:tcPr>
            <w:tcW w:type="dxa" w:w="1591"/>
            <w:shd w:val="clear" w:color="auto" w:fill="EDEFF2"/>
          </w:tcPr>
          <w:p>
            <w:pPr>
              <w:keepNext w:val="0"/>
              <w:spacing w:after="20"/>
            </w:pPr>
            <w:r>
              <w:rPr>
                <w:b/>
                <w:sz w:val="17"/>
              </w:rPr>
              <w:t>Stakeholder detrás</w:t>
            </w:r>
          </w:p>
        </w:tc>
      </w:tr>
      <w:tr>
        <w:tc>
          <w:tcPr>
            <w:tcW w:type="dxa" w:w="749"/>
          </w:tcPr>
          <w:p>
            <w:pPr>
              <w:spacing w:after="20"/>
            </w:pPr>
            <w:r>
              <w:rPr>
                <w:b w:val="0"/>
                <w:sz w:val="17"/>
              </w:rPr>
              <w:t>AC-01</w:t>
            </w:r>
          </w:p>
        </w:tc>
        <w:tc>
          <w:tcPr>
            <w:tcW w:type="dxa" w:w="3182"/>
          </w:tcPr>
          <w:p>
            <w:pPr>
              <w:spacing w:after="20"/>
            </w:pPr>
            <w:r>
              <w:rPr>
                <w:b w:val="0"/>
                <w:sz w:val="17"/>
              </w:rPr>
              <w:t>Validación paciente-medicamento &lt; 500 ms / &lt; 2 s</w:t>
            </w:r>
          </w:p>
        </w:tc>
        <w:tc>
          <w:tcPr>
            <w:tcW w:type="dxa" w:w="2434"/>
          </w:tcPr>
          <w:p>
            <w:pPr>
              <w:spacing w:after="20"/>
            </w:pPr>
            <w:r>
              <w:rPr>
                <w:b/>
                <w:sz w:val="17"/>
              </w:rPr>
              <w:t>eficiencia</w:t>
            </w:r>
          </w:p>
        </w:tc>
        <w:tc>
          <w:tcPr>
            <w:tcW w:type="dxa" w:w="1404"/>
          </w:tcPr>
          <w:p>
            <w:pPr>
              <w:spacing w:after="20"/>
            </w:pPr>
            <w:r>
              <w:rPr>
                <w:b w:val="0"/>
                <w:sz w:val="17"/>
              </w:rPr>
              <w:t>fiabilidad</w:t>
            </w:r>
          </w:p>
        </w:tc>
        <w:tc>
          <w:tcPr>
            <w:tcW w:type="dxa" w:w="1591"/>
          </w:tcPr>
          <w:p>
            <w:pPr>
              <w:spacing w:after="20"/>
            </w:pPr>
            <w:r>
              <w:rPr>
                <w:b w:val="0"/>
                <w:sz w:val="17"/>
              </w:rPr>
              <w:t>STK-03 enfermero</w:t>
            </w:r>
          </w:p>
        </w:tc>
      </w:tr>
      <w:tr>
        <w:tc>
          <w:tcPr>
            <w:tcW w:type="dxa" w:w="749"/>
          </w:tcPr>
          <w:p>
            <w:pPr>
              <w:spacing w:after="20"/>
            </w:pPr>
            <w:r>
              <w:rPr>
                <w:b w:val="0"/>
                <w:sz w:val="17"/>
              </w:rPr>
              <w:t>AC-02</w:t>
            </w:r>
          </w:p>
        </w:tc>
        <w:tc>
          <w:tcPr>
            <w:tcW w:type="dxa" w:w="3182"/>
          </w:tcPr>
          <w:p>
            <w:pPr>
              <w:spacing w:after="20"/>
            </w:pPr>
            <w:r>
              <w:rPr>
                <w:b w:val="0"/>
                <w:sz w:val="17"/>
              </w:rPr>
              <w:t>Operación offline ≥ 4 h con reconciliación</w:t>
            </w:r>
          </w:p>
        </w:tc>
        <w:tc>
          <w:tcPr>
            <w:tcW w:type="dxa" w:w="2434"/>
          </w:tcPr>
          <w:p>
            <w:pPr>
              <w:spacing w:after="20"/>
            </w:pPr>
            <w:r>
              <w:rPr>
                <w:b/>
                <w:sz w:val="17"/>
              </w:rPr>
              <w:t>fiabilidad</w:t>
            </w:r>
          </w:p>
        </w:tc>
        <w:tc>
          <w:tcPr>
            <w:tcW w:type="dxa" w:w="1404"/>
          </w:tcPr>
          <w:p>
            <w:pPr>
              <w:spacing w:after="20"/>
            </w:pPr>
            <w:r>
              <w:rPr>
                <w:b w:val="0"/>
                <w:sz w:val="17"/>
              </w:rPr>
              <w:t>funcionalidad</w:t>
            </w:r>
          </w:p>
        </w:tc>
        <w:tc>
          <w:tcPr>
            <w:tcW w:type="dxa" w:w="1591"/>
          </w:tcPr>
          <w:p>
            <w:pPr>
              <w:spacing w:after="20"/>
            </w:pPr>
            <w:r>
              <w:rPr>
                <w:b w:val="0"/>
                <w:sz w:val="17"/>
              </w:rPr>
              <w:t>STK-02 / STK-03</w:t>
            </w:r>
          </w:p>
        </w:tc>
      </w:tr>
      <w:tr>
        <w:tc>
          <w:tcPr>
            <w:tcW w:type="dxa" w:w="749"/>
          </w:tcPr>
          <w:p>
            <w:pPr>
              <w:spacing w:after="20"/>
            </w:pPr>
            <w:r>
              <w:rPr>
                <w:b w:val="0"/>
                <w:sz w:val="17"/>
              </w:rPr>
              <w:t>AC-03</w:t>
            </w:r>
          </w:p>
        </w:tc>
        <w:tc>
          <w:tcPr>
            <w:tcW w:type="dxa" w:w="3182"/>
          </w:tcPr>
          <w:p>
            <w:pPr>
              <w:spacing w:after="20"/>
            </w:pPr>
            <w:r>
              <w:rPr>
                <w:b w:val="0"/>
                <w:sz w:val="17"/>
              </w:rPr>
              <w:t>Registros inmutables y trazables sin degradar</w:t>
            </w:r>
          </w:p>
        </w:tc>
        <w:tc>
          <w:tcPr>
            <w:tcW w:type="dxa" w:w="2434"/>
          </w:tcPr>
          <w:p>
            <w:pPr>
              <w:spacing w:after="20"/>
            </w:pPr>
            <w:r>
              <w:rPr>
                <w:b/>
                <w:sz w:val="17"/>
              </w:rPr>
              <w:t>funcionalidad</w:t>
            </w:r>
            <w:r>
              <w:rPr>
                <w:b w:val="0"/>
                <w:sz w:val="17"/>
              </w:rPr>
              <w:t xml:space="preserve"> (seguridad: no repudio)</w:t>
            </w:r>
          </w:p>
        </w:tc>
        <w:tc>
          <w:tcPr>
            <w:tcW w:type="dxa" w:w="1404"/>
          </w:tcPr>
          <w:p>
            <w:pPr>
              <w:spacing w:after="20"/>
            </w:pPr>
            <w:r>
              <w:rPr>
                <w:b w:val="0"/>
                <w:sz w:val="17"/>
              </w:rPr>
              <w:t>eficiencia</w:t>
            </w:r>
          </w:p>
        </w:tc>
        <w:tc>
          <w:tcPr>
            <w:tcW w:type="dxa" w:w="1591"/>
          </w:tcPr>
          <w:p>
            <w:pPr>
              <w:spacing w:after="20"/>
            </w:pPr>
            <w:r>
              <w:rPr>
                <w:b w:val="0"/>
                <w:sz w:val="17"/>
              </w:rPr>
              <w:t>STK-11 Contraloría</w:t>
            </w:r>
          </w:p>
        </w:tc>
      </w:tr>
      <w:tr>
        <w:tc>
          <w:tcPr>
            <w:tcW w:type="dxa" w:w="749"/>
          </w:tcPr>
          <w:p>
            <w:pPr>
              <w:spacing w:after="20"/>
            </w:pPr>
            <w:r>
              <w:rPr>
                <w:b w:val="0"/>
                <w:sz w:val="17"/>
              </w:rPr>
              <w:t>AC-04</w:t>
            </w:r>
          </w:p>
        </w:tc>
        <w:tc>
          <w:tcPr>
            <w:tcW w:type="dxa" w:w="3182"/>
          </w:tcPr>
          <w:p>
            <w:pPr>
              <w:spacing w:after="20"/>
            </w:pPr>
            <w:r>
              <w:rPr>
                <w:b w:val="0"/>
                <w:sz w:val="17"/>
              </w:rPr>
              <w:t>Autorización contextual ABAC con excepción auditada</w:t>
            </w:r>
          </w:p>
        </w:tc>
        <w:tc>
          <w:tcPr>
            <w:tcW w:type="dxa" w:w="2434"/>
          </w:tcPr>
          <w:p>
            <w:pPr>
              <w:spacing w:after="20"/>
            </w:pPr>
            <w:r>
              <w:rPr>
                <w:b/>
                <w:sz w:val="17"/>
              </w:rPr>
              <w:t>funcionalidad</w:t>
            </w:r>
            <w:r>
              <w:rPr>
                <w:b w:val="0"/>
                <w:sz w:val="17"/>
              </w:rPr>
              <w:t xml:space="preserve"> (seguridad: confidencialidad)</w:t>
            </w:r>
          </w:p>
        </w:tc>
        <w:tc>
          <w:tcPr>
            <w:tcW w:type="dxa" w:w="1404"/>
          </w:tcPr>
          <w:p>
            <w:pPr>
              <w:spacing w:after="20"/>
            </w:pPr>
            <w:r>
              <w:rPr>
                <w:b w:val="0"/>
                <w:sz w:val="17"/>
              </w:rPr>
              <w:t>eficiencia</w:t>
            </w:r>
          </w:p>
        </w:tc>
        <w:tc>
          <w:tcPr>
            <w:tcW w:type="dxa" w:w="1591"/>
          </w:tcPr>
          <w:p>
            <w:pPr>
              <w:spacing w:after="20"/>
            </w:pPr>
            <w:r>
              <w:rPr>
                <w:b w:val="0"/>
                <w:sz w:val="17"/>
              </w:rPr>
              <w:t>STK-06 paciente</w:t>
            </w:r>
          </w:p>
        </w:tc>
      </w:tr>
      <w:tr>
        <w:tc>
          <w:tcPr>
            <w:tcW w:type="dxa" w:w="749"/>
          </w:tcPr>
          <w:p>
            <w:pPr>
              <w:spacing w:after="20"/>
            </w:pPr>
            <w:r>
              <w:rPr>
                <w:b w:val="0"/>
                <w:sz w:val="17"/>
              </w:rPr>
              <w:t>AC-05</w:t>
            </w:r>
          </w:p>
        </w:tc>
        <w:tc>
          <w:tcPr>
            <w:tcW w:type="dxa" w:w="3182"/>
          </w:tcPr>
          <w:p>
            <w:pPr>
              <w:spacing w:after="20"/>
            </w:pPr>
            <w:r>
              <w:rPr>
                <w:b w:val="0"/>
                <w:sz w:val="17"/>
              </w:rPr>
              <w:t>Pico de 10x con presupuesto fijo</w:t>
            </w:r>
          </w:p>
        </w:tc>
        <w:tc>
          <w:tcPr>
            <w:tcW w:type="dxa" w:w="2434"/>
          </w:tcPr>
          <w:p>
            <w:pPr>
              <w:spacing w:after="20"/>
            </w:pPr>
            <w:r>
              <w:rPr>
                <w:b/>
                <w:sz w:val="17"/>
              </w:rPr>
              <w:t>eficiencia</w:t>
            </w:r>
          </w:p>
        </w:tc>
        <w:tc>
          <w:tcPr>
            <w:tcW w:type="dxa" w:w="1404"/>
          </w:tcPr>
          <w:p>
            <w:pPr>
              <w:spacing w:after="20"/>
            </w:pPr>
            <w:r>
              <w:rPr>
                <w:b w:val="0"/>
                <w:sz w:val="17"/>
              </w:rPr>
              <w:t>fiabilidad</w:t>
            </w:r>
          </w:p>
        </w:tc>
        <w:tc>
          <w:tcPr>
            <w:tcW w:type="dxa" w:w="1591"/>
          </w:tcPr>
          <w:p>
            <w:pPr>
              <w:spacing w:after="20"/>
            </w:pPr>
            <w:r>
              <w:rPr>
                <w:b w:val="0"/>
                <w:sz w:val="17"/>
              </w:rPr>
              <w:t>STK-13 operaciones</w:t>
            </w:r>
          </w:p>
        </w:tc>
      </w:tr>
      <w:tr>
        <w:tc>
          <w:tcPr>
            <w:tcW w:type="dxa" w:w="749"/>
          </w:tcPr>
          <w:p>
            <w:pPr>
              <w:spacing w:after="20"/>
            </w:pPr>
            <w:r>
              <w:rPr>
                <w:b w:val="0"/>
                <w:sz w:val="17"/>
              </w:rPr>
              <w:t>AC-06</w:t>
            </w:r>
          </w:p>
        </w:tc>
        <w:tc>
          <w:tcPr>
            <w:tcW w:type="dxa" w:w="3182"/>
          </w:tcPr>
          <w:p>
            <w:pPr>
              <w:spacing w:after="20"/>
            </w:pPr>
            <w:r>
              <w:rPr>
                <w:b w:val="0"/>
                <w:sz w:val="17"/>
              </w:rPr>
              <w:t>Integración legacy SOAP + nacional XML/DTD</w:t>
            </w:r>
          </w:p>
        </w:tc>
        <w:tc>
          <w:tcPr>
            <w:tcW w:type="dxa" w:w="2434"/>
          </w:tcPr>
          <w:p>
            <w:pPr>
              <w:spacing w:after="20"/>
            </w:pPr>
            <w:r>
              <w:rPr>
                <w:b/>
                <w:sz w:val="17"/>
              </w:rPr>
              <w:t>funcionalidad</w:t>
            </w:r>
            <w:r>
              <w:rPr>
                <w:b w:val="0"/>
                <w:sz w:val="17"/>
              </w:rPr>
              <w:t xml:space="preserve"> (interoperabilidad)</w:t>
            </w:r>
          </w:p>
        </w:tc>
        <w:tc>
          <w:tcPr>
            <w:tcW w:type="dxa" w:w="1404"/>
          </w:tcPr>
          <w:p>
            <w:pPr>
              <w:spacing w:after="20"/>
            </w:pPr>
            <w:r>
              <w:rPr>
                <w:b w:val="0"/>
                <w:sz w:val="17"/>
              </w:rPr>
              <w:t>fiabilidad, eficiencia</w:t>
            </w:r>
          </w:p>
        </w:tc>
        <w:tc>
          <w:tcPr>
            <w:tcW w:type="dxa" w:w="1591"/>
          </w:tcPr>
          <w:p>
            <w:pPr>
              <w:spacing w:after="20"/>
            </w:pPr>
            <w:r>
              <w:rPr>
                <w:b w:val="0"/>
                <w:sz w:val="17"/>
              </w:rPr>
              <w:t>STK-07 MSPAS</w:t>
            </w:r>
          </w:p>
        </w:tc>
      </w:tr>
      <w:tr>
        <w:tc>
          <w:tcPr>
            <w:tcW w:type="dxa" w:w="749"/>
          </w:tcPr>
          <w:p>
            <w:pPr>
              <w:spacing w:after="20"/>
            </w:pPr>
            <w:r>
              <w:rPr>
                <w:b w:val="0"/>
                <w:sz w:val="17"/>
              </w:rPr>
              <w:t>AC-07</w:t>
            </w:r>
          </w:p>
        </w:tc>
        <w:tc>
          <w:tcPr>
            <w:tcW w:type="dxa" w:w="3182"/>
          </w:tcPr>
          <w:p>
            <w:pPr>
              <w:spacing w:after="20"/>
            </w:pPr>
            <w:r>
              <w:rPr>
                <w:b w:val="0"/>
                <w:sz w:val="17"/>
              </w:rPr>
              <w:t>Mantenible por el equipo interno tras la consultora</w:t>
            </w:r>
          </w:p>
        </w:tc>
        <w:tc>
          <w:tcPr>
            <w:tcW w:type="dxa" w:w="2434"/>
          </w:tcPr>
          <w:p>
            <w:pPr>
              <w:spacing w:after="20"/>
            </w:pPr>
            <w:r>
              <w:rPr>
                <w:b/>
                <w:sz w:val="17"/>
              </w:rPr>
              <w:t>mantenibilidad</w:t>
            </w:r>
          </w:p>
        </w:tc>
        <w:tc>
          <w:tcPr>
            <w:tcW w:type="dxa" w:w="1404"/>
          </w:tcPr>
          <w:p>
            <w:pPr>
              <w:spacing w:after="20"/>
            </w:pPr>
            <w:r>
              <w:rPr>
                <w:b w:val="0"/>
                <w:sz w:val="17"/>
              </w:rPr>
              <w:t>—</w:t>
            </w:r>
          </w:p>
        </w:tc>
        <w:tc>
          <w:tcPr>
            <w:tcW w:type="dxa" w:w="1591"/>
          </w:tcPr>
          <w:p>
            <w:pPr>
              <w:spacing w:after="20"/>
            </w:pPr>
            <w:r>
              <w:rPr>
                <w:b w:val="0"/>
                <w:sz w:val="17"/>
              </w:rPr>
              <w:t>STK-08 equipo interno</w:t>
            </w:r>
          </w:p>
        </w:tc>
      </w:tr>
      <w:tr>
        <w:tc>
          <w:tcPr>
            <w:tcW w:type="dxa" w:w="749"/>
          </w:tcPr>
          <w:p>
            <w:pPr>
              <w:spacing w:after="20"/>
            </w:pPr>
            <w:r>
              <w:rPr>
                <w:b w:val="0"/>
                <w:sz w:val="17"/>
              </w:rPr>
              <w:t>AC-08</w:t>
            </w:r>
          </w:p>
        </w:tc>
        <w:tc>
          <w:tcPr>
            <w:tcW w:type="dxa" w:w="3182"/>
          </w:tcPr>
          <w:p>
            <w:pPr>
              <w:spacing w:after="20"/>
            </w:pPr>
            <w:r>
              <w:rPr>
                <w:b w:val="0"/>
                <w:sz w:val="17"/>
              </w:rPr>
              <w:t>Temperaturas inalterables y verificables criptográficamente</w:t>
            </w:r>
          </w:p>
        </w:tc>
        <w:tc>
          <w:tcPr>
            <w:tcW w:type="dxa" w:w="2434"/>
          </w:tcPr>
          <w:p>
            <w:pPr>
              <w:spacing w:after="20"/>
            </w:pPr>
            <w:r>
              <w:rPr>
                <w:b/>
                <w:sz w:val="17"/>
              </w:rPr>
              <w:t>funcionalidad</w:t>
            </w:r>
            <w:r>
              <w:rPr>
                <w:b w:val="0"/>
                <w:sz w:val="17"/>
              </w:rPr>
              <w:t xml:space="preserve"> (seguridad: integridad)</w:t>
            </w:r>
          </w:p>
        </w:tc>
        <w:tc>
          <w:tcPr>
            <w:tcW w:type="dxa" w:w="1404"/>
          </w:tcPr>
          <w:p>
            <w:pPr>
              <w:spacing w:after="20"/>
            </w:pPr>
            <w:r>
              <w:rPr>
                <w:b w:val="0"/>
                <w:sz w:val="17"/>
              </w:rPr>
              <w:t>—</w:t>
            </w:r>
          </w:p>
        </w:tc>
        <w:tc>
          <w:tcPr>
            <w:tcW w:type="dxa" w:w="1591"/>
          </w:tcPr>
          <w:p>
            <w:pPr>
              <w:spacing w:after="20"/>
            </w:pPr>
            <w:r>
              <w:rPr>
                <w:b w:val="0"/>
                <w:sz w:val="17"/>
              </w:rPr>
              <w:t>STK-11 Contraloría</w:t>
            </w:r>
          </w:p>
        </w:tc>
      </w:tr>
    </w:tbl>
    <w:p>
      <w:pPr>
        <w:spacing w:after="40"/>
      </w:pPr>
    </w:p>
    <w:p>
      <w:pPr>
        <w:pStyle w:val="Heading3"/>
      </w:pPr>
      <w:r>
        <w:rPr>
          <w:color w:val="000000"/>
        </w:rPr>
      </w:r>
      <w:r>
        <w:rPr>
          <w:b/>
          <w:color w:val="000000"/>
        </w:rPr>
        <w:t>Las fichas — los 8 escenarios en seis partes</w:t>
      </w:r>
    </w:p>
    <w:p>
      <w:pPr>
        <w:pStyle w:val="Heading4"/>
      </w:pPr>
      <w:r>
        <w:rPr>
          <w:color w:val="000000"/>
        </w:rPr>
      </w:r>
      <w:r>
        <w:rPr>
          <w:b/>
          <w:color w:val="000000"/>
        </w:rPr>
        <w:t>AC-01 — Eficiencia (comportamiento temporal) · secundario: fiabilidad · acuerdo 1 + escenario crítico 3</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El enfermero de piso, desde la Toughpad junto a la cama</w:t>
            </w:r>
          </w:p>
        </w:tc>
      </w:tr>
      <w:tr>
        <w:tc>
          <w:tcPr>
            <w:tcW w:type="dxa" w:w="1404"/>
          </w:tcPr>
          <w:p>
            <w:pPr>
              <w:spacing w:after="20"/>
            </w:pPr>
            <w:r>
              <w:rPr>
                <w:b w:val="0"/>
                <w:sz w:val="17"/>
              </w:rPr>
              <w:t>Estímulo</w:t>
            </w:r>
          </w:p>
        </w:tc>
        <w:tc>
          <w:tcPr>
            <w:tcW w:type="dxa" w:w="7956"/>
          </w:tcPr>
          <w:p>
            <w:pPr>
              <w:spacing w:after="20"/>
            </w:pPr>
            <w:r>
              <w:rPr>
                <w:b w:val="0"/>
                <w:sz w:val="17"/>
              </w:rPr>
              <w:t>Escanea la pulsera del paciente y el código del medicamento para validar</w:t>
            </w:r>
          </w:p>
        </w:tc>
      </w:tr>
      <w:tr>
        <w:tc>
          <w:tcPr>
            <w:tcW w:type="dxa" w:w="1404"/>
          </w:tcPr>
          <w:p>
            <w:pPr>
              <w:spacing w:after="20"/>
            </w:pPr>
            <w:r>
              <w:rPr>
                <w:b w:val="0"/>
                <w:sz w:val="17"/>
              </w:rPr>
              <w:t>Artefacto</w:t>
            </w:r>
          </w:p>
        </w:tc>
        <w:tc>
          <w:tcPr>
            <w:tcW w:type="dxa" w:w="7956"/>
          </w:tcPr>
          <w:p>
            <w:pPr>
              <w:spacing w:after="20"/>
            </w:pPr>
            <w:r>
              <w:rPr>
                <w:b w:val="0"/>
                <w:sz w:val="17"/>
              </w:rPr>
              <w:t>El módulo de administración (validación paciente-medicamento)</w:t>
            </w:r>
          </w:p>
        </w:tc>
      </w:tr>
      <w:tr>
        <w:tc>
          <w:tcPr>
            <w:tcW w:type="dxa" w:w="1404"/>
          </w:tcPr>
          <w:p>
            <w:pPr>
              <w:spacing w:after="20"/>
            </w:pPr>
            <w:r>
              <w:rPr>
                <w:b w:val="0"/>
                <w:sz w:val="17"/>
              </w:rPr>
              <w:t>Entorno</w:t>
            </w:r>
          </w:p>
        </w:tc>
        <w:tc>
          <w:tcPr>
            <w:tcW w:type="dxa" w:w="7956"/>
          </w:tcPr>
          <w:p>
            <w:pPr>
              <w:spacing w:after="20"/>
            </w:pPr>
            <w:r>
              <w:rPr>
                <w:b w:val="0"/>
                <w:sz w:val="17"/>
              </w:rPr>
              <w:t xml:space="preserve">Operación normal de red; y </w:t>
            </w:r>
            <w:r>
              <w:rPr>
                <w:b/>
                <w:sz w:val="17"/>
              </w:rPr>
              <w:t>condición degradada</w:t>
            </w:r>
            <w:r>
              <w:rPr>
                <w:b w:val="0"/>
                <w:sz w:val="17"/>
              </w:rPr>
              <w:t xml:space="preserve"> (Wi-Fi inestable del piso)</w:t>
            </w:r>
          </w:p>
        </w:tc>
      </w:tr>
      <w:tr>
        <w:tc>
          <w:tcPr>
            <w:tcW w:type="dxa" w:w="1404"/>
          </w:tcPr>
          <w:p>
            <w:pPr>
              <w:spacing w:after="20"/>
            </w:pPr>
            <w:r>
              <w:rPr>
                <w:b w:val="0"/>
                <w:sz w:val="17"/>
              </w:rPr>
              <w:t>Respuesta</w:t>
            </w:r>
          </w:p>
        </w:tc>
        <w:tc>
          <w:tcPr>
            <w:tcW w:type="dxa" w:w="7956"/>
          </w:tcPr>
          <w:p>
            <w:pPr>
              <w:spacing w:after="20"/>
            </w:pPr>
            <w:r>
              <w:rPr>
                <w:b w:val="0"/>
                <w:sz w:val="17"/>
              </w:rPr>
              <w:t>Confirma la correspondencia o dispara la alerta roja de discrepancia</w:t>
            </w:r>
          </w:p>
        </w:tc>
      </w:tr>
      <w:tr>
        <w:tc>
          <w:tcPr>
            <w:tcW w:type="dxa" w:w="1404"/>
          </w:tcPr>
          <w:p>
            <w:pPr>
              <w:spacing w:after="20"/>
            </w:pPr>
            <w:r>
              <w:rPr>
                <w:b/>
                <w:sz w:val="17"/>
              </w:rPr>
              <w:t>Medida</w:t>
            </w:r>
          </w:p>
        </w:tc>
        <w:tc>
          <w:tcPr>
            <w:tcW w:type="dxa" w:w="7956"/>
          </w:tcPr>
          <w:p>
            <w:pPr>
              <w:spacing w:after="20"/>
            </w:pPr>
            <w:r>
              <w:rPr>
                <w:b/>
                <w:sz w:val="17"/>
              </w:rPr>
              <w:t>&lt; 500 ms</w:t>
            </w:r>
            <w:r>
              <w:rPr>
                <w:b w:val="0"/>
                <w:sz w:val="17"/>
              </w:rPr>
              <w:t xml:space="preserve"> (p95) en red normal y </w:t>
            </w:r>
            <w:r>
              <w:rPr>
                <w:b/>
                <w:sz w:val="17"/>
              </w:rPr>
              <w:t>&lt; 2 s</w:t>
            </w:r>
            <w:r>
              <w:rPr>
                <w:b w:val="0"/>
                <w:sz w:val="17"/>
              </w:rPr>
              <w:t xml:space="preserve"> en degradada, con 15,000 pacientes y 800 SKUs en base — la alerta de 4 s del escenario 3 es el contraejemplo</w:t>
            </w:r>
          </w:p>
        </w:tc>
      </w:tr>
    </w:tbl>
    <w:p>
      <w:pPr>
        <w:spacing w:after="40"/>
      </w:pPr>
    </w:p>
    <w:p>
      <w:pPr>
        <w:pStyle w:val="Heading4"/>
      </w:pPr>
      <w:r>
        <w:rPr>
          <w:color w:val="000000"/>
        </w:rPr>
      </w:r>
      <w:r>
        <w:rPr>
          <w:b/>
          <w:color w:val="000000"/>
        </w:rPr>
        <w:t>AC-02 — Fiabilidad (tolerancia a fallos y recuperabilidad) · secundario: funcionalidad · acuerdo 2 + escenario crítico 5</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La caída del servidor central (o del enlace)</w:t>
            </w:r>
          </w:p>
        </w:tc>
      </w:tr>
      <w:tr>
        <w:tc>
          <w:tcPr>
            <w:tcW w:type="dxa" w:w="1404"/>
          </w:tcPr>
          <w:p>
            <w:pPr>
              <w:spacing w:after="20"/>
            </w:pPr>
            <w:r>
              <w:rPr>
                <w:b w:val="0"/>
                <w:sz w:val="17"/>
              </w:rPr>
              <w:t>Estímulo</w:t>
            </w:r>
          </w:p>
        </w:tc>
        <w:tc>
          <w:tcPr>
            <w:tcW w:type="dxa" w:w="7956"/>
          </w:tcPr>
          <w:p>
            <w:pPr>
              <w:spacing w:after="20"/>
            </w:pPr>
            <w:r>
              <w:rPr>
                <w:b w:val="0"/>
                <w:sz w:val="17"/>
              </w:rPr>
              <w:t>Los puestos de farmacia y las tablets pierden conectividad</w:t>
            </w:r>
          </w:p>
        </w:tc>
      </w:tr>
      <w:tr>
        <w:tc>
          <w:tcPr>
            <w:tcW w:type="dxa" w:w="1404"/>
          </w:tcPr>
          <w:p>
            <w:pPr>
              <w:spacing w:after="20"/>
            </w:pPr>
            <w:r>
              <w:rPr>
                <w:b w:val="0"/>
                <w:sz w:val="17"/>
              </w:rPr>
              <w:t>Artefacto</w:t>
            </w:r>
          </w:p>
        </w:tc>
        <w:tc>
          <w:tcPr>
            <w:tcW w:type="dxa" w:w="7956"/>
          </w:tcPr>
          <w:p>
            <w:pPr>
              <w:spacing w:after="20"/>
            </w:pPr>
            <w:r>
              <w:rPr>
                <w:b w:val="0"/>
                <w:sz w:val="17"/>
              </w:rPr>
              <w:t>Los módulos de dispensación y administración</w:t>
            </w:r>
          </w:p>
        </w:tc>
      </w:tr>
      <w:tr>
        <w:tc>
          <w:tcPr>
            <w:tcW w:type="dxa" w:w="1404"/>
          </w:tcPr>
          <w:p>
            <w:pPr>
              <w:spacing w:after="20"/>
            </w:pPr>
            <w:r>
              <w:rPr>
                <w:b w:val="0"/>
                <w:sz w:val="17"/>
              </w:rPr>
              <w:t>Entorno</w:t>
            </w:r>
          </w:p>
        </w:tc>
        <w:tc>
          <w:tcPr>
            <w:tcW w:type="dxa" w:w="7956"/>
          </w:tcPr>
          <w:p>
            <w:pPr>
              <w:spacing w:after="20"/>
            </w:pPr>
            <w:r>
              <w:rPr>
                <w:b w:val="0"/>
                <w:sz w:val="17"/>
              </w:rPr>
              <w:t>Hora pico — lunes 8:30, el peor momento posible</w:t>
            </w:r>
          </w:p>
        </w:tc>
      </w:tr>
      <w:tr>
        <w:tc>
          <w:tcPr>
            <w:tcW w:type="dxa" w:w="1404"/>
          </w:tcPr>
          <w:p>
            <w:pPr>
              <w:spacing w:after="20"/>
            </w:pPr>
            <w:r>
              <w:rPr>
                <w:b w:val="0"/>
                <w:sz w:val="17"/>
              </w:rPr>
              <w:t>Respuesta</w:t>
            </w:r>
          </w:p>
        </w:tc>
        <w:tc>
          <w:tcPr>
            <w:tcW w:type="dxa" w:w="7956"/>
          </w:tcPr>
          <w:p>
            <w:pPr>
              <w:spacing w:after="20"/>
            </w:pPr>
            <w:r>
              <w:rPr>
                <w:b w:val="0"/>
                <w:sz w:val="17"/>
              </w:rPr>
              <w:t>Siguen operando con registro local; al reconectar, la trazabilidad se reconcilia automáticamente</w:t>
            </w:r>
          </w:p>
        </w:tc>
      </w:tr>
      <w:tr>
        <w:tc>
          <w:tcPr>
            <w:tcW w:type="dxa" w:w="1404"/>
          </w:tcPr>
          <w:p>
            <w:pPr>
              <w:spacing w:after="20"/>
            </w:pPr>
            <w:r>
              <w:rPr>
                <w:b/>
                <w:sz w:val="17"/>
              </w:rPr>
              <w:t>Medida</w:t>
            </w:r>
          </w:p>
        </w:tc>
        <w:tc>
          <w:tcPr>
            <w:tcW w:type="dxa" w:w="7956"/>
          </w:tcPr>
          <w:p>
            <w:pPr>
              <w:spacing w:after="20"/>
            </w:pPr>
            <w:r>
              <w:rPr>
                <w:b w:val="0"/>
                <w:sz w:val="17"/>
              </w:rPr>
              <w:t xml:space="preserve">Operación offline </w:t>
            </w:r>
            <w:r>
              <w:rPr>
                <w:b/>
                <w:sz w:val="17"/>
              </w:rPr>
              <w:t>≥ 4 horas</w:t>
            </w:r>
            <w:r>
              <w:rPr>
                <w:b w:val="0"/>
                <w:sz w:val="17"/>
              </w:rPr>
              <w:t xml:space="preserve">; </w:t>
            </w:r>
            <w:r>
              <w:rPr>
                <w:b/>
                <w:sz w:val="17"/>
              </w:rPr>
              <w:t>100 %</w:t>
            </w:r>
            <w:r>
              <w:rPr>
                <w:b w:val="0"/>
                <w:sz w:val="17"/>
              </w:rPr>
              <w:t xml:space="preserve"> de los registros reconciliados, </w:t>
            </w:r>
            <w:r>
              <w:rPr>
                <w:b/>
                <w:sz w:val="17"/>
              </w:rPr>
              <w:t>0 duplicados</w:t>
            </w:r>
          </w:p>
        </w:tc>
      </w:tr>
    </w:tbl>
    <w:p>
      <w:pPr>
        <w:spacing w:after="40"/>
      </w:pPr>
    </w:p>
    <w:p>
      <w:pPr>
        <w:pStyle w:val="Heading4"/>
      </w:pPr>
      <w:r>
        <w:rPr>
          <w:color w:val="000000"/>
        </w:rPr>
      </w:r>
      <w:r>
        <w:rPr>
          <w:b/>
          <w:color w:val="000000"/>
        </w:rPr>
        <w:t>AC-03 — Funcionalidad → seguridad: no repudio · secundario: eficiencia · acuerdo 3 + escenario crítico 4</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 xml:space="preserve">Cualquier usuario — </w:t>
            </w:r>
            <w:r>
              <w:rPr>
                <w:b/>
                <w:sz w:val="17"/>
              </w:rPr>
              <w:t>incluido el administrador del sistema</w:t>
            </w:r>
          </w:p>
        </w:tc>
      </w:tr>
      <w:tr>
        <w:tc>
          <w:tcPr>
            <w:tcW w:type="dxa" w:w="1404"/>
          </w:tcPr>
          <w:p>
            <w:pPr>
              <w:spacing w:after="20"/>
            </w:pPr>
            <w:r>
              <w:rPr>
                <w:b w:val="0"/>
                <w:sz w:val="17"/>
              </w:rPr>
              <w:t>Estímulo</w:t>
            </w:r>
          </w:p>
        </w:tc>
        <w:tc>
          <w:tcPr>
            <w:tcW w:type="dxa" w:w="7956"/>
          </w:tcPr>
          <w:p>
            <w:pPr>
              <w:spacing w:after="20"/>
            </w:pPr>
            <w:r>
              <w:rPr>
                <w:b w:val="0"/>
                <w:sz w:val="17"/>
              </w:rPr>
              <w:t>Intenta modificar o eliminar un registro histórico (inventario, prescripción, dispensación, administración)</w:t>
            </w:r>
          </w:p>
        </w:tc>
      </w:tr>
      <w:tr>
        <w:tc>
          <w:tcPr>
            <w:tcW w:type="dxa" w:w="1404"/>
          </w:tcPr>
          <w:p>
            <w:pPr>
              <w:spacing w:after="20"/>
            </w:pPr>
            <w:r>
              <w:rPr>
                <w:b w:val="0"/>
                <w:sz w:val="17"/>
              </w:rPr>
              <w:t>Artefacto</w:t>
            </w:r>
          </w:p>
        </w:tc>
        <w:tc>
          <w:tcPr>
            <w:tcW w:type="dxa" w:w="7956"/>
          </w:tcPr>
          <w:p>
            <w:pPr>
              <w:spacing w:after="20"/>
            </w:pPr>
            <w:r>
              <w:rPr>
                <w:b w:val="0"/>
                <w:sz w:val="17"/>
              </w:rPr>
              <w:t>El almacén de registros del sistema</w:t>
            </w:r>
          </w:p>
        </w:tc>
      </w:tr>
      <w:tr>
        <w:tc>
          <w:tcPr>
            <w:tcW w:type="dxa" w:w="1404"/>
          </w:tcPr>
          <w:p>
            <w:pPr>
              <w:spacing w:after="20"/>
            </w:pPr>
            <w:r>
              <w:rPr>
                <w:b w:val="0"/>
                <w:sz w:val="17"/>
              </w:rPr>
              <w:t>Entorno</w:t>
            </w:r>
          </w:p>
        </w:tc>
        <w:tc>
          <w:tcPr>
            <w:tcW w:type="dxa" w:w="7956"/>
          </w:tcPr>
          <w:p>
            <w:pPr>
              <w:spacing w:after="20"/>
            </w:pPr>
            <w:r>
              <w:rPr>
                <w:b w:val="0"/>
                <w:sz w:val="17"/>
              </w:rPr>
              <w:t>Operación normal</w:t>
            </w:r>
          </w:p>
        </w:tc>
      </w:tr>
      <w:tr>
        <w:tc>
          <w:tcPr>
            <w:tcW w:type="dxa" w:w="1404"/>
          </w:tcPr>
          <w:p>
            <w:pPr>
              <w:spacing w:after="20"/>
            </w:pPr>
            <w:r>
              <w:rPr>
                <w:b w:val="0"/>
                <w:sz w:val="17"/>
              </w:rPr>
              <w:t>Respuesta</w:t>
            </w:r>
          </w:p>
        </w:tc>
        <w:tc>
          <w:tcPr>
            <w:tcW w:type="dxa" w:w="7956"/>
          </w:tcPr>
          <w:p>
            <w:pPr>
              <w:spacing w:after="20"/>
            </w:pPr>
            <w:r>
              <w:rPr>
                <w:b w:val="0"/>
                <w:sz w:val="17"/>
              </w:rPr>
              <w:t xml:space="preserve">La modificación se rechaza; todo cambio entra como </w:t>
            </w:r>
            <w:r>
              <w:rPr>
                <w:b/>
                <w:sz w:val="17"/>
              </w:rPr>
              <w:t>evento nuevo</w:t>
            </w:r>
            <w:r>
              <w:rPr>
                <w:b w:val="0"/>
                <w:sz w:val="17"/>
              </w:rPr>
              <w:t xml:space="preserve"> trazado a su usuario</w:t>
            </w:r>
          </w:p>
        </w:tc>
      </w:tr>
      <w:tr>
        <w:tc>
          <w:tcPr>
            <w:tcW w:type="dxa" w:w="1404"/>
          </w:tcPr>
          <w:p>
            <w:pPr>
              <w:spacing w:after="20"/>
            </w:pPr>
            <w:r>
              <w:rPr>
                <w:b/>
                <w:sz w:val="17"/>
              </w:rPr>
              <w:t>Medida</w:t>
            </w:r>
          </w:p>
        </w:tc>
        <w:tc>
          <w:tcPr>
            <w:tcW w:type="dxa" w:w="7956"/>
          </w:tcPr>
          <w:p>
            <w:pPr>
              <w:spacing w:after="20"/>
            </w:pPr>
            <w:r>
              <w:rPr>
                <w:b/>
                <w:sz w:val="17"/>
              </w:rPr>
              <w:t>0</w:t>
            </w:r>
            <w:r>
              <w:rPr>
                <w:b w:val="0"/>
                <w:sz w:val="17"/>
              </w:rPr>
              <w:t xml:space="preserve"> modificaciones históricas posibles; </w:t>
            </w:r>
            <w:r>
              <w:rPr>
                <w:b/>
                <w:sz w:val="17"/>
              </w:rPr>
              <w:t>100 %</w:t>
            </w:r>
            <w:r>
              <w:rPr>
                <w:b w:val="0"/>
                <w:sz w:val="17"/>
              </w:rPr>
              <w:t xml:space="preserve"> de eventos con usuario; el rendimiento de operación no se degrada por el historial (escrituras dentro de AC-01)</w:t>
            </w:r>
          </w:p>
        </w:tc>
      </w:tr>
    </w:tbl>
    <w:p>
      <w:pPr>
        <w:spacing w:after="40"/>
      </w:pPr>
    </w:p>
    <w:p>
      <w:pPr>
        <w:pStyle w:val="Heading4"/>
      </w:pPr>
      <w:r>
        <w:rPr>
          <w:color w:val="000000"/>
        </w:rPr>
      </w:r>
      <w:r>
        <w:rPr>
          <w:b/>
          <w:color w:val="000000"/>
        </w:rPr>
        <w:t>AC-04 — Funcionalidad → seguridad: confidencialidad · secundario: eficiencia · acuerdo 4 + política de datos del hospital</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 xml:space="preserve">Un médico de urgencias que </w:t>
            </w:r>
            <w:r>
              <w:rPr>
                <w:b/>
                <w:sz w:val="17"/>
              </w:rPr>
              <w:t>no</w:t>
            </w:r>
            <w:r>
              <w:rPr>
                <w:b w:val="0"/>
                <w:sz w:val="17"/>
              </w:rPr>
              <w:t xml:space="preserve"> es el tratante (y, en el caso negativo, personal de admisión)</w:t>
            </w:r>
          </w:p>
        </w:tc>
      </w:tr>
      <w:tr>
        <w:tc>
          <w:tcPr>
            <w:tcW w:type="dxa" w:w="1404"/>
          </w:tcPr>
          <w:p>
            <w:pPr>
              <w:spacing w:after="20"/>
            </w:pPr>
            <w:r>
              <w:rPr>
                <w:b w:val="0"/>
                <w:sz w:val="17"/>
              </w:rPr>
              <w:t>Estímulo</w:t>
            </w:r>
          </w:p>
        </w:tc>
        <w:tc>
          <w:tcPr>
            <w:tcW w:type="dxa" w:w="7956"/>
          </w:tcPr>
          <w:p>
            <w:pPr>
              <w:spacing w:after="20"/>
            </w:pPr>
            <w:r>
              <w:rPr>
                <w:b w:val="0"/>
                <w:sz w:val="17"/>
              </w:rPr>
              <w:t>Solicita el diagnóstico sensible (VIH, cáncer) de un paciente</w:t>
            </w:r>
          </w:p>
        </w:tc>
      </w:tr>
      <w:tr>
        <w:tc>
          <w:tcPr>
            <w:tcW w:type="dxa" w:w="1404"/>
          </w:tcPr>
          <w:p>
            <w:pPr>
              <w:spacing w:after="20"/>
            </w:pPr>
            <w:r>
              <w:rPr>
                <w:b w:val="0"/>
                <w:sz w:val="17"/>
              </w:rPr>
              <w:t>Artefacto</w:t>
            </w:r>
          </w:p>
        </w:tc>
        <w:tc>
          <w:tcPr>
            <w:tcW w:type="dxa" w:w="7956"/>
          </w:tcPr>
          <w:p>
            <w:pPr>
              <w:spacing w:after="20"/>
            </w:pPr>
            <w:r>
              <w:rPr>
                <w:b w:val="0"/>
                <w:sz w:val="17"/>
              </w:rPr>
              <w:t>El módulo de expedientes y su motor de autorización (ABAC)</w:t>
            </w:r>
          </w:p>
        </w:tc>
      </w:tr>
      <w:tr>
        <w:tc>
          <w:tcPr>
            <w:tcW w:type="dxa" w:w="1404"/>
          </w:tcPr>
          <w:p>
            <w:pPr>
              <w:spacing w:after="20"/>
            </w:pPr>
            <w:r>
              <w:rPr>
                <w:b w:val="0"/>
                <w:sz w:val="17"/>
              </w:rPr>
              <w:t>Entorno</w:t>
            </w:r>
          </w:p>
        </w:tc>
        <w:tc>
          <w:tcPr>
            <w:tcW w:type="dxa" w:w="7956"/>
          </w:tcPr>
          <w:p>
            <w:pPr>
              <w:spacing w:after="20"/>
            </w:pPr>
            <w:r>
              <w:rPr>
                <w:b w:val="0"/>
                <w:sz w:val="17"/>
              </w:rPr>
              <w:t>Emergencia, fuera del horario del tratante</w:t>
            </w:r>
          </w:p>
        </w:tc>
      </w:tr>
      <w:tr>
        <w:tc>
          <w:tcPr>
            <w:tcW w:type="dxa" w:w="1404"/>
          </w:tcPr>
          <w:p>
            <w:pPr>
              <w:spacing w:after="20"/>
            </w:pPr>
            <w:r>
              <w:rPr>
                <w:b w:val="0"/>
                <w:sz w:val="17"/>
              </w:rPr>
              <w:t>Respuesta</w:t>
            </w:r>
          </w:p>
        </w:tc>
        <w:tc>
          <w:tcPr>
            <w:tcW w:type="dxa" w:w="7956"/>
          </w:tcPr>
          <w:p>
            <w:pPr>
              <w:spacing w:after="20"/>
            </w:pPr>
            <w:r>
              <w:rPr>
                <w:b w:val="0"/>
                <w:sz w:val="17"/>
              </w:rPr>
              <w:t xml:space="preserve">A urgencias: concede </w:t>
            </w:r>
            <w:r>
              <w:rPr>
                <w:b/>
                <w:sz w:val="17"/>
              </w:rPr>
              <w:t>con justificación obligatoria</w:t>
            </w:r>
            <w:r>
              <w:rPr>
                <w:b w:val="0"/>
                <w:sz w:val="17"/>
              </w:rPr>
              <w:t xml:space="preserve"> y registro en el log. A admisión: </w:t>
            </w:r>
            <w:r>
              <w:rPr>
                <w:b/>
                <w:sz w:val="17"/>
              </w:rPr>
              <w:t>niega siempre</w:t>
            </w:r>
            <w:r>
              <w:rPr>
                <w:b w:val="0"/>
                <w:sz w:val="17"/>
              </w:rPr>
              <w:t xml:space="preserve"> — ni el director accede sin orden judicial</w:t>
            </w:r>
          </w:p>
        </w:tc>
      </w:tr>
      <w:tr>
        <w:tc>
          <w:tcPr>
            <w:tcW w:type="dxa" w:w="1404"/>
          </w:tcPr>
          <w:p>
            <w:pPr>
              <w:spacing w:after="20"/>
            </w:pPr>
            <w:r>
              <w:rPr>
                <w:b/>
                <w:sz w:val="17"/>
              </w:rPr>
              <w:t>Medida</w:t>
            </w:r>
          </w:p>
        </w:tc>
        <w:tc>
          <w:tcPr>
            <w:tcW w:type="dxa" w:w="7956"/>
          </w:tcPr>
          <w:p>
            <w:pPr>
              <w:spacing w:after="20"/>
            </w:pPr>
            <w:r>
              <w:rPr>
                <w:b/>
                <w:sz w:val="17"/>
              </w:rPr>
              <w:t>100 %</w:t>
            </w:r>
            <w:r>
              <w:rPr>
                <w:b w:val="0"/>
                <w:sz w:val="17"/>
              </w:rPr>
              <w:t xml:space="preserve"> de accesos de excepción con justificación registrada; </w:t>
            </w:r>
            <w:r>
              <w:rPr>
                <w:b/>
                <w:sz w:val="17"/>
              </w:rPr>
              <w:t>0</w:t>
            </w:r>
            <w:r>
              <w:rPr>
                <w:b w:val="0"/>
                <w:sz w:val="17"/>
              </w:rPr>
              <w:t xml:space="preserve"> accesos de personal no autorizado; decisión de autorización </w:t>
            </w:r>
            <w:r>
              <w:rPr>
                <w:b/>
                <w:sz w:val="17"/>
              </w:rPr>
              <w:t>&lt; 200 ms</w:t>
            </w:r>
          </w:p>
        </w:tc>
      </w:tr>
    </w:tbl>
    <w:p>
      <w:pPr>
        <w:spacing w:after="40"/>
      </w:pPr>
    </w:p>
    <w:p>
      <w:pPr>
        <w:pStyle w:val="Heading4"/>
      </w:pPr>
      <w:r>
        <w:rPr>
          <w:color w:val="000000"/>
        </w:rPr>
      </w:r>
      <w:r>
        <w:rPr>
          <w:b/>
          <w:color w:val="000000"/>
        </w:rPr>
        <w:t>AC-05 — Eficiencia (utilización de recursos bajo sobrecarga) · secundario: fiabilidad · acuerdo 5 + escenario crítico 5</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Los usuarios concurrentes de todo el hospital</w:t>
            </w:r>
          </w:p>
        </w:tc>
      </w:tr>
      <w:tr>
        <w:tc>
          <w:tcPr>
            <w:tcW w:type="dxa" w:w="1404"/>
          </w:tcPr>
          <w:p>
            <w:pPr>
              <w:spacing w:after="20"/>
            </w:pPr>
            <w:r>
              <w:rPr>
                <w:b w:val="0"/>
                <w:sz w:val="17"/>
              </w:rPr>
              <w:t>Estímulo</w:t>
            </w:r>
          </w:p>
        </w:tc>
        <w:tc>
          <w:tcPr>
            <w:tcW w:type="dxa" w:w="7956"/>
          </w:tcPr>
          <w:p>
            <w:pPr>
              <w:spacing w:after="20"/>
            </w:pPr>
            <w:r>
              <w:rPr>
                <w:b w:val="0"/>
                <w:sz w:val="17"/>
              </w:rPr>
              <w:t xml:space="preserve">Un pico de </w:t>
            </w:r>
            <w:r>
              <w:rPr>
                <w:b/>
                <w:sz w:val="17"/>
              </w:rPr>
              <w:t>10× el tráfico normal</w:t>
            </w:r>
          </w:p>
        </w:tc>
      </w:tr>
      <w:tr>
        <w:tc>
          <w:tcPr>
            <w:tcW w:type="dxa" w:w="1404"/>
          </w:tcPr>
          <w:p>
            <w:pPr>
              <w:spacing w:after="20"/>
            </w:pPr>
            <w:r>
              <w:rPr>
                <w:b w:val="0"/>
                <w:sz w:val="17"/>
              </w:rPr>
              <w:t>Artefacto</w:t>
            </w:r>
          </w:p>
        </w:tc>
        <w:tc>
          <w:tcPr>
            <w:tcW w:type="dxa" w:w="7956"/>
          </w:tcPr>
          <w:p>
            <w:pPr>
              <w:spacing w:after="20"/>
            </w:pPr>
            <w:r>
              <w:rPr>
                <w:b w:val="0"/>
                <w:sz w:val="17"/>
              </w:rPr>
              <w:t xml:space="preserve">El sistema completo, sobre el data center fijo (32 vCPU / 128 GB / SAN 10 TB, </w:t>
            </w:r>
            <w:r>
              <w:rPr>
                <w:b/>
                <w:sz w:val="17"/>
              </w:rPr>
              <w:t>sin autoescalado</w:t>
            </w:r>
            <w:r>
              <w:rPr>
                <w:b w:val="0"/>
                <w:sz w:val="17"/>
              </w:rPr>
              <w:t>)</w:t>
            </w:r>
          </w:p>
        </w:tc>
      </w:tr>
      <w:tr>
        <w:tc>
          <w:tcPr>
            <w:tcW w:type="dxa" w:w="1404"/>
          </w:tcPr>
          <w:p>
            <w:pPr>
              <w:spacing w:after="20"/>
            </w:pPr>
            <w:r>
              <w:rPr>
                <w:b w:val="0"/>
                <w:sz w:val="17"/>
              </w:rPr>
              <w:t>Entorno</w:t>
            </w:r>
          </w:p>
        </w:tc>
        <w:tc>
          <w:tcPr>
            <w:tcW w:type="dxa" w:w="7956"/>
          </w:tcPr>
          <w:p>
            <w:pPr>
              <w:spacing w:after="20"/>
            </w:pPr>
            <w:r>
              <w:rPr>
                <w:b w:val="0"/>
                <w:sz w:val="17"/>
              </w:rPr>
              <w:t>Lunes 8:30 — sobrecarga</w:t>
            </w:r>
          </w:p>
        </w:tc>
      </w:tr>
      <w:tr>
        <w:tc>
          <w:tcPr>
            <w:tcW w:type="dxa" w:w="1404"/>
          </w:tcPr>
          <w:p>
            <w:pPr>
              <w:spacing w:after="20"/>
            </w:pPr>
            <w:r>
              <w:rPr>
                <w:b w:val="0"/>
                <w:sz w:val="17"/>
              </w:rPr>
              <w:t>Respuesta</w:t>
            </w:r>
          </w:p>
        </w:tc>
        <w:tc>
          <w:tcPr>
            <w:tcW w:type="dxa" w:w="7956"/>
          </w:tcPr>
          <w:p>
            <w:pPr>
              <w:spacing w:after="20"/>
            </w:pPr>
            <w:r>
              <w:rPr>
                <w:b w:val="0"/>
                <w:sz w:val="17"/>
              </w:rPr>
              <w:t>Sigue atendiendo priorizando el tráfico crítico (dispensaciones); degrada lo no crítico</w:t>
            </w:r>
          </w:p>
        </w:tc>
      </w:tr>
      <w:tr>
        <w:tc>
          <w:tcPr>
            <w:tcW w:type="dxa" w:w="1404"/>
          </w:tcPr>
          <w:p>
            <w:pPr>
              <w:spacing w:after="20"/>
            </w:pPr>
            <w:r>
              <w:rPr>
                <w:b/>
                <w:sz w:val="17"/>
              </w:rPr>
              <w:t>Medida</w:t>
            </w:r>
          </w:p>
        </w:tc>
        <w:tc>
          <w:tcPr>
            <w:tcW w:type="dxa" w:w="7956"/>
          </w:tcPr>
          <w:p>
            <w:pPr>
              <w:spacing w:after="20"/>
            </w:pPr>
            <w:r>
              <w:rPr>
                <w:b/>
                <w:sz w:val="17"/>
              </w:rPr>
              <w:t>0 colapsos</w:t>
            </w:r>
            <w:r>
              <w:rPr>
                <w:b w:val="0"/>
                <w:sz w:val="17"/>
              </w:rPr>
              <w:t xml:space="preserve">; las dispensaciones se mantienen dentro de la medida de AC-01; </w:t>
            </w:r>
            <w:r>
              <w:rPr>
                <w:b/>
                <w:sz w:val="17"/>
              </w:rPr>
              <w:t>sin hardware adicional</w:t>
            </w:r>
            <w:r>
              <w:rPr>
                <w:b w:val="0"/>
                <w:sz w:val="17"/>
              </w:rPr>
              <w:t xml:space="preserve"> (mitigación arquitectónica: caché, colas, réplicas de lectura)</w:t>
            </w:r>
          </w:p>
        </w:tc>
      </w:tr>
    </w:tbl>
    <w:p>
      <w:pPr>
        <w:spacing w:after="40"/>
      </w:pPr>
    </w:p>
    <w:p>
      <w:pPr>
        <w:pStyle w:val="Heading4"/>
      </w:pPr>
      <w:r>
        <w:rPr>
          <w:color w:val="000000"/>
        </w:rPr>
      </w:r>
      <w:r>
        <w:rPr>
          <w:b/>
          <w:color w:val="000000"/>
        </w:rPr>
        <w:t>AC-06 — Funcionalidad → interoperabilidad · secundarios: fiabilidad, eficiencia · acuerdo 6 + escenario crítico 6</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El sistema legacy de admisiones (COBOL/SOAP, 3-5 s, 7:00-17:00) y el sistema nacional de farmacovigilancia (XML/DTD, 8:00-16:00)</w:t>
            </w:r>
          </w:p>
        </w:tc>
      </w:tr>
      <w:tr>
        <w:tc>
          <w:tcPr>
            <w:tcW w:type="dxa" w:w="1404"/>
          </w:tcPr>
          <w:p>
            <w:pPr>
              <w:spacing w:after="20"/>
            </w:pPr>
            <w:r>
              <w:rPr>
                <w:b w:val="0"/>
                <w:sz w:val="17"/>
              </w:rPr>
              <w:t>Estímulo</w:t>
            </w:r>
          </w:p>
        </w:tc>
        <w:tc>
          <w:tcPr>
            <w:tcW w:type="dxa" w:w="7956"/>
          </w:tcPr>
          <w:p>
            <w:pPr>
              <w:spacing w:after="20"/>
            </w:pPr>
            <w:r>
              <w:rPr>
                <w:b w:val="0"/>
                <w:sz w:val="17"/>
              </w:rPr>
              <w:t>El sistema necesita identidad del paciente; debe entregar un reporte de efecto adverso</w:t>
            </w:r>
          </w:p>
        </w:tc>
      </w:tr>
      <w:tr>
        <w:tc>
          <w:tcPr>
            <w:tcW w:type="dxa" w:w="1404"/>
          </w:tcPr>
          <w:p>
            <w:pPr>
              <w:spacing w:after="20"/>
            </w:pPr>
            <w:r>
              <w:rPr>
                <w:b w:val="0"/>
                <w:sz w:val="17"/>
              </w:rPr>
              <w:t>Artefacto</w:t>
            </w:r>
          </w:p>
        </w:tc>
        <w:tc>
          <w:tcPr>
            <w:tcW w:type="dxa" w:w="7956"/>
          </w:tcPr>
          <w:p>
            <w:pPr>
              <w:spacing w:after="20"/>
            </w:pPr>
            <w:r>
              <w:rPr>
                <w:b w:val="0"/>
                <w:sz w:val="17"/>
              </w:rPr>
              <w:t>Los adaptadores de integración</w:t>
            </w:r>
          </w:p>
        </w:tc>
      </w:tr>
      <w:tr>
        <w:tc>
          <w:tcPr>
            <w:tcW w:type="dxa" w:w="1404"/>
          </w:tcPr>
          <w:p>
            <w:pPr>
              <w:spacing w:after="20"/>
            </w:pPr>
            <w:r>
              <w:rPr>
                <w:b w:val="0"/>
                <w:sz w:val="17"/>
              </w:rPr>
              <w:t>Entorno</w:t>
            </w:r>
          </w:p>
        </w:tc>
        <w:tc>
          <w:tcPr>
            <w:tcW w:type="dxa" w:w="7956"/>
          </w:tcPr>
          <w:p>
            <w:pPr>
              <w:spacing w:after="20"/>
            </w:pPr>
            <w:r>
              <w:rPr>
                <w:b w:val="0"/>
                <w:sz w:val="17"/>
              </w:rPr>
              <w:t xml:space="preserve">El incidente ocurre </w:t>
            </w:r>
            <w:r>
              <w:rPr>
                <w:b/>
                <w:sz w:val="17"/>
              </w:rPr>
              <w:t>fuera de la ventana</w:t>
            </w:r>
            <w:r>
              <w:rPr>
                <w:b w:val="0"/>
                <w:sz w:val="17"/>
              </w:rPr>
              <w:t xml:space="preserve"> del sistema externo (la anafilaxia de las 19:30)</w:t>
            </w:r>
          </w:p>
        </w:tc>
      </w:tr>
      <w:tr>
        <w:tc>
          <w:tcPr>
            <w:tcW w:type="dxa" w:w="1404"/>
          </w:tcPr>
          <w:p>
            <w:pPr>
              <w:spacing w:after="20"/>
            </w:pPr>
            <w:r>
              <w:rPr>
                <w:b w:val="0"/>
                <w:sz w:val="17"/>
              </w:rPr>
              <w:t>Respuesta</w:t>
            </w:r>
          </w:p>
        </w:tc>
        <w:tc>
          <w:tcPr>
            <w:tcW w:type="dxa" w:w="7956"/>
          </w:tcPr>
          <w:p>
            <w:pPr>
              <w:spacing w:after="20"/>
            </w:pPr>
            <w:r>
              <w:rPr>
                <w:b w:val="0"/>
                <w:sz w:val="17"/>
              </w:rPr>
              <w:t xml:space="preserve">Los datos de admisiones se </w:t>
            </w:r>
            <w:r>
              <w:rPr>
                <w:b/>
                <w:sz w:val="17"/>
              </w:rPr>
              <w:t>replican/cachean</w:t>
            </w:r>
            <w:r>
              <w:rPr>
                <w:b w:val="0"/>
                <w:sz w:val="17"/>
              </w:rPr>
              <w:t xml:space="preserve"> para no bloquear la operación; los reportes se </w:t>
            </w:r>
            <w:r>
              <w:rPr>
                <w:b/>
                <w:sz w:val="17"/>
              </w:rPr>
              <w:t>encolan y reintentan</w:t>
            </w:r>
            <w:r>
              <w:rPr>
                <w:b w:val="0"/>
                <w:sz w:val="17"/>
              </w:rPr>
              <w:t xml:space="preserve"> en ventana hábil — el plazo legal lo cumple el registro local</w:t>
            </w:r>
          </w:p>
        </w:tc>
      </w:tr>
      <w:tr>
        <w:tc>
          <w:tcPr>
            <w:tcW w:type="dxa" w:w="1404"/>
          </w:tcPr>
          <w:p>
            <w:pPr>
              <w:spacing w:after="20"/>
            </w:pPr>
            <w:r>
              <w:rPr>
                <w:b/>
                <w:sz w:val="17"/>
              </w:rPr>
              <w:t>Medida</w:t>
            </w:r>
          </w:p>
        </w:tc>
        <w:tc>
          <w:tcPr>
            <w:tcW w:type="dxa" w:w="7956"/>
          </w:tcPr>
          <w:p>
            <w:pPr>
              <w:spacing w:after="20"/>
            </w:pPr>
            <w:r>
              <w:rPr>
                <w:b w:val="0"/>
                <w:sz w:val="17"/>
              </w:rPr>
              <w:t xml:space="preserve">La respuesta al farmacéutico </w:t>
            </w:r>
            <w:r>
              <w:rPr>
                <w:b/>
                <w:sz w:val="17"/>
              </w:rPr>
              <w:t>no espera al legacy</w:t>
            </w:r>
            <w:r>
              <w:rPr>
                <w:b w:val="0"/>
                <w:sz w:val="17"/>
              </w:rPr>
              <w:t xml:space="preserve"> (dentro de AC-01); </w:t>
            </w:r>
            <w:r>
              <w:rPr>
                <w:b/>
                <w:sz w:val="17"/>
              </w:rPr>
              <w:t>100 %</w:t>
            </w:r>
            <w:r>
              <w:rPr>
                <w:b w:val="0"/>
                <w:sz w:val="17"/>
              </w:rPr>
              <w:t xml:space="preserve"> de reportes entregados </w:t>
            </w:r>
            <w:r>
              <w:rPr>
                <w:b/>
                <w:sz w:val="17"/>
              </w:rPr>
              <w:t>≤ 24 h</w:t>
            </w:r>
          </w:p>
        </w:tc>
      </w:tr>
    </w:tbl>
    <w:p>
      <w:pPr>
        <w:spacing w:after="40"/>
      </w:pPr>
    </w:p>
    <w:p>
      <w:pPr>
        <w:pStyle w:val="Heading4"/>
      </w:pPr>
      <w:r>
        <w:rPr>
          <w:color w:val="000000"/>
        </w:rPr>
      </w:r>
      <w:r>
        <w:rPr>
          <w:b/>
          <w:color w:val="000000"/>
        </w:rPr>
        <w:t>AC-07 — Mantenibilidad (cambiabilidad y analizabilidad) · acuerdo 7 + restricciones del equipo</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El equipo interno de TI: 3 personas, Java 8 / Spring Boot / Oracle PL/SQL / Angular</w:t>
            </w:r>
          </w:p>
        </w:tc>
      </w:tr>
      <w:tr>
        <w:tc>
          <w:tcPr>
            <w:tcW w:type="dxa" w:w="1404"/>
          </w:tcPr>
          <w:p>
            <w:pPr>
              <w:spacing w:after="20"/>
            </w:pPr>
            <w:r>
              <w:rPr>
                <w:b w:val="0"/>
                <w:sz w:val="17"/>
              </w:rPr>
              <w:t>Estímulo</w:t>
            </w:r>
          </w:p>
        </w:tc>
        <w:tc>
          <w:tcPr>
            <w:tcW w:type="dxa" w:w="7956"/>
          </w:tcPr>
          <w:p>
            <w:pPr>
              <w:spacing w:after="20"/>
            </w:pPr>
            <w:r>
              <w:rPr>
                <w:b w:val="0"/>
                <w:sz w:val="17"/>
              </w:rPr>
              <w:t xml:space="preserve">Un cambio normativo del MSPAS o una corrección, </w:t>
            </w:r>
            <w:r>
              <w:rPr>
                <w:b/>
                <w:sz w:val="17"/>
              </w:rPr>
              <w:t>después de que la consultora se fue</w:t>
            </w:r>
          </w:p>
        </w:tc>
      </w:tr>
      <w:tr>
        <w:tc>
          <w:tcPr>
            <w:tcW w:type="dxa" w:w="1404"/>
          </w:tcPr>
          <w:p>
            <w:pPr>
              <w:spacing w:after="20"/>
            </w:pPr>
            <w:r>
              <w:rPr>
                <w:b w:val="0"/>
                <w:sz w:val="17"/>
              </w:rPr>
              <w:t>Artefacto</w:t>
            </w:r>
          </w:p>
        </w:tc>
        <w:tc>
          <w:tcPr>
            <w:tcW w:type="dxa" w:w="7956"/>
          </w:tcPr>
          <w:p>
            <w:pPr>
              <w:spacing w:after="20"/>
            </w:pPr>
            <w:r>
              <w:rPr>
                <w:b w:val="0"/>
                <w:sz w:val="17"/>
              </w:rPr>
              <w:t>El código del sistema y su documentación viva</w:t>
            </w:r>
          </w:p>
        </w:tc>
      </w:tr>
      <w:tr>
        <w:tc>
          <w:tcPr>
            <w:tcW w:type="dxa" w:w="1404"/>
          </w:tcPr>
          <w:p>
            <w:pPr>
              <w:spacing w:after="20"/>
            </w:pPr>
            <w:r>
              <w:rPr>
                <w:b w:val="0"/>
                <w:sz w:val="17"/>
              </w:rPr>
              <w:t>Entorno</w:t>
            </w:r>
          </w:p>
        </w:tc>
        <w:tc>
          <w:tcPr>
            <w:tcW w:type="dxa" w:w="7956"/>
          </w:tcPr>
          <w:p>
            <w:pPr>
              <w:spacing w:after="20"/>
            </w:pPr>
            <w:r>
              <w:rPr>
                <w:b w:val="0"/>
                <w:sz w:val="17"/>
              </w:rPr>
              <w:t>Mantenimiento post-entrega, sin apoyo externo, con rotación de personal alta</w:t>
            </w:r>
          </w:p>
        </w:tc>
      </w:tr>
      <w:tr>
        <w:tc>
          <w:tcPr>
            <w:tcW w:type="dxa" w:w="1404"/>
          </w:tcPr>
          <w:p>
            <w:pPr>
              <w:spacing w:after="20"/>
            </w:pPr>
            <w:r>
              <w:rPr>
                <w:b w:val="0"/>
                <w:sz w:val="17"/>
              </w:rPr>
              <w:t>Respuesta</w:t>
            </w:r>
          </w:p>
        </w:tc>
        <w:tc>
          <w:tcPr>
            <w:tcW w:type="dxa" w:w="7956"/>
          </w:tcPr>
          <w:p>
            <w:pPr>
              <w:spacing w:after="20"/>
            </w:pPr>
            <w:r>
              <w:rPr>
                <w:b w:val="0"/>
                <w:sz w:val="17"/>
              </w:rPr>
              <w:t>El equipo implementa el cambio solo con su experiencia real y la documentación</w:t>
            </w:r>
          </w:p>
        </w:tc>
      </w:tr>
      <w:tr>
        <w:tc>
          <w:tcPr>
            <w:tcW w:type="dxa" w:w="1404"/>
          </w:tcPr>
          <w:p>
            <w:pPr>
              <w:spacing w:after="20"/>
            </w:pPr>
            <w:r>
              <w:rPr>
                <w:b/>
                <w:sz w:val="17"/>
              </w:rPr>
              <w:t>Medida</w:t>
            </w:r>
          </w:p>
        </w:tc>
        <w:tc>
          <w:tcPr>
            <w:tcW w:type="dxa" w:w="7956"/>
          </w:tcPr>
          <w:p>
            <w:pPr>
              <w:spacing w:after="20"/>
            </w:pPr>
            <w:r>
              <w:rPr>
                <w:b w:val="0"/>
                <w:sz w:val="17"/>
              </w:rPr>
              <w:t xml:space="preserve">El cambio afecta </w:t>
            </w:r>
            <w:r>
              <w:rPr>
                <w:b/>
                <w:sz w:val="17"/>
              </w:rPr>
              <w:t>un solo módulo</w:t>
            </w:r>
            <w:r>
              <w:rPr>
                <w:b w:val="0"/>
                <w:sz w:val="17"/>
              </w:rPr>
              <w:t xml:space="preserve"> (cambiar farmacovigilancia sin tocar inventario); resuelto </w:t>
            </w:r>
            <w:r>
              <w:rPr>
                <w:b/>
                <w:sz w:val="17"/>
              </w:rPr>
              <w:t>sin intervención externa</w:t>
            </w:r>
            <w:r>
              <w:rPr>
                <w:b w:val="0"/>
                <w:sz w:val="17"/>
              </w:rPr>
              <w:t>; evolución incremental por módulos posible</w:t>
            </w:r>
          </w:p>
        </w:tc>
      </w:tr>
    </w:tbl>
    <w:p>
      <w:pPr>
        <w:spacing w:after="40"/>
      </w:pPr>
    </w:p>
    <w:p>
      <w:pPr>
        <w:pStyle w:val="Heading4"/>
      </w:pPr>
      <w:r>
        <w:rPr>
          <w:color w:val="000000"/>
        </w:rPr>
      </w:r>
      <w:r>
        <w:rPr>
          <w:b/>
          <w:color w:val="000000"/>
        </w:rPr>
        <w:t>AC-08 — Funcionalidad → seguridad: integridad · acuerdo 8 + escenario crítico 1</w:t>
      </w:r>
    </w:p>
    <w:tbl>
      <w:tblPr>
        <w:tblStyle w:val="TableGrid"/>
        <w:jc w:val="center"/>
        <w:tblLayout w:type="fixed"/>
        <w:tblLook w:firstColumn="1" w:firstRow="1" w:lastColumn="0" w:lastRow="0" w:noHBand="0" w:noVBand="1" w:val="04A0"/>
        <w:tblW w:type="dxa" w:w="9359"/>
      </w:tblPr>
      <w:tblGrid>
        <w:gridCol w:w="1404"/>
        <w:gridCol w:w="7956"/>
      </w:tblGrid>
      <w:tr>
        <w:trPr>
          <w:tblHeader w:val="true"/>
        </w:trPr>
        <w:tc>
          <w:tcPr>
            <w:tcW w:type="dxa" w:w="1404"/>
            <w:shd w:val="clear" w:color="auto" w:fill="EDEFF2"/>
          </w:tcPr>
          <w:p>
            <w:pPr>
              <w:keepNext w:val="0"/>
              <w:spacing w:after="20"/>
            </w:pPr>
            <w:r>
              <w:rPr>
                <w:b/>
                <w:sz w:val="17"/>
              </w:rPr>
              <w:t>Parte</w:t>
            </w:r>
          </w:p>
        </w:tc>
        <w:tc>
          <w:tcPr>
            <w:tcW w:type="dxa" w:w="7956"/>
            <w:shd w:val="clear" w:color="auto" w:fill="EDEFF2"/>
          </w:tcPr>
          <w:p>
            <w:pPr>
              <w:keepNext w:val="0"/>
              <w:spacing w:after="20"/>
            </w:pPr>
            <w:r>
              <w:rPr>
                <w:b/>
                <w:sz w:val="17"/>
              </w:rPr>
              <w:t>Contenido</w:t>
            </w:r>
          </w:p>
        </w:tc>
      </w:tr>
      <w:tr>
        <w:tc>
          <w:tcPr>
            <w:tcW w:type="dxa" w:w="1404"/>
          </w:tcPr>
          <w:p>
            <w:pPr>
              <w:spacing w:after="20"/>
            </w:pPr>
            <w:r>
              <w:rPr>
                <w:b w:val="0"/>
                <w:sz w:val="17"/>
              </w:rPr>
              <w:t>Fuente</w:t>
            </w:r>
          </w:p>
        </w:tc>
        <w:tc>
          <w:tcPr>
            <w:tcW w:type="dxa" w:w="7956"/>
          </w:tcPr>
          <w:p>
            <w:pPr>
              <w:spacing w:after="20"/>
            </w:pPr>
            <w:r>
              <w:rPr>
                <w:b w:val="0"/>
                <w:sz w:val="17"/>
              </w:rPr>
              <w:t>Un auditor de la Contraloría (o el farmacéutico jefe que evalúa un lote)</w:t>
            </w:r>
          </w:p>
        </w:tc>
      </w:tr>
      <w:tr>
        <w:tc>
          <w:tcPr>
            <w:tcW w:type="dxa" w:w="1404"/>
          </w:tcPr>
          <w:p>
            <w:pPr>
              <w:spacing w:after="20"/>
            </w:pPr>
            <w:r>
              <w:rPr>
                <w:b w:val="0"/>
                <w:sz w:val="17"/>
              </w:rPr>
              <w:t>Estímulo</w:t>
            </w:r>
          </w:p>
        </w:tc>
        <w:tc>
          <w:tcPr>
            <w:tcW w:type="dxa" w:w="7956"/>
          </w:tcPr>
          <w:p>
            <w:pPr>
              <w:spacing w:after="20"/>
            </w:pPr>
            <w:r>
              <w:rPr>
                <w:b w:val="0"/>
                <w:sz w:val="17"/>
              </w:rPr>
              <w:t xml:space="preserve">Verifica que las lecturas de temperatura que justificaron descartar un lote </w:t>
            </w:r>
            <w:r>
              <w:rPr>
                <w:b/>
                <w:sz w:val="17"/>
              </w:rPr>
              <w:t>no fueron manipuladas</w:t>
            </w:r>
          </w:p>
        </w:tc>
      </w:tr>
      <w:tr>
        <w:tc>
          <w:tcPr>
            <w:tcW w:type="dxa" w:w="1404"/>
          </w:tcPr>
          <w:p>
            <w:pPr>
              <w:spacing w:after="20"/>
            </w:pPr>
            <w:r>
              <w:rPr>
                <w:b w:val="0"/>
                <w:sz w:val="17"/>
              </w:rPr>
              <w:t>Artefacto</w:t>
            </w:r>
          </w:p>
        </w:tc>
        <w:tc>
          <w:tcPr>
            <w:tcW w:type="dxa" w:w="7956"/>
          </w:tcPr>
          <w:p>
            <w:pPr>
              <w:spacing w:after="20"/>
            </w:pPr>
            <w:r>
              <w:rPr>
                <w:b w:val="0"/>
                <w:sz w:val="17"/>
              </w:rPr>
              <w:t>El registro de lecturas de los sensores IoT</w:t>
            </w:r>
          </w:p>
        </w:tc>
      </w:tr>
      <w:tr>
        <w:tc>
          <w:tcPr>
            <w:tcW w:type="dxa" w:w="1404"/>
          </w:tcPr>
          <w:p>
            <w:pPr>
              <w:spacing w:after="20"/>
            </w:pPr>
            <w:r>
              <w:rPr>
                <w:b w:val="0"/>
                <w:sz w:val="17"/>
              </w:rPr>
              <w:t>Entorno</w:t>
            </w:r>
          </w:p>
        </w:tc>
        <w:tc>
          <w:tcPr>
            <w:tcW w:type="dxa" w:w="7956"/>
          </w:tcPr>
          <w:p>
            <w:pPr>
              <w:spacing w:after="20"/>
            </w:pPr>
            <w:r>
              <w:rPr>
                <w:b w:val="0"/>
                <w:sz w:val="17"/>
              </w:rPr>
              <w:t>Auditoría posterior al descarte (el informe forense del escenario 4)</w:t>
            </w:r>
          </w:p>
        </w:tc>
      </w:tr>
      <w:tr>
        <w:tc>
          <w:tcPr>
            <w:tcW w:type="dxa" w:w="1404"/>
          </w:tcPr>
          <w:p>
            <w:pPr>
              <w:spacing w:after="20"/>
            </w:pPr>
            <w:r>
              <w:rPr>
                <w:b w:val="0"/>
                <w:sz w:val="17"/>
              </w:rPr>
              <w:t>Respuesta</w:t>
            </w:r>
          </w:p>
        </w:tc>
        <w:tc>
          <w:tcPr>
            <w:tcW w:type="dxa" w:w="7956"/>
          </w:tcPr>
          <w:p>
            <w:pPr>
              <w:spacing w:after="20"/>
            </w:pPr>
            <w:r>
              <w:rPr>
                <w:b w:val="0"/>
                <w:sz w:val="17"/>
              </w:rPr>
              <w:t xml:space="preserve">El sistema </w:t>
            </w:r>
            <w:r>
              <w:rPr>
                <w:b/>
                <w:sz w:val="17"/>
              </w:rPr>
              <w:t>demuestra criptográficamente</w:t>
            </w:r>
            <w:r>
              <w:rPr>
                <w:b w:val="0"/>
                <w:sz w:val="17"/>
              </w:rPr>
              <w:t xml:space="preserve"> la integridad de la serie (hash encadenado o firma de sensores)</w:t>
            </w:r>
          </w:p>
        </w:tc>
      </w:tr>
      <w:tr>
        <w:tc>
          <w:tcPr>
            <w:tcW w:type="dxa" w:w="1404"/>
          </w:tcPr>
          <w:p>
            <w:pPr>
              <w:spacing w:after="20"/>
            </w:pPr>
            <w:r>
              <w:rPr>
                <w:b/>
                <w:sz w:val="17"/>
              </w:rPr>
              <w:t>Medida</w:t>
            </w:r>
          </w:p>
        </w:tc>
        <w:tc>
          <w:tcPr>
            <w:tcW w:type="dxa" w:w="7956"/>
          </w:tcPr>
          <w:p>
            <w:pPr>
              <w:spacing w:after="20"/>
            </w:pPr>
            <w:r>
              <w:rPr>
                <w:b/>
                <w:sz w:val="17"/>
              </w:rPr>
              <w:t>100 %</w:t>
            </w:r>
            <w:r>
              <w:rPr>
                <w:b w:val="0"/>
                <w:sz w:val="17"/>
              </w:rPr>
              <w:t xml:space="preserve"> de las lecturas verificables; </w:t>
            </w:r>
            <w:r>
              <w:rPr>
                <w:b/>
                <w:sz w:val="17"/>
              </w:rPr>
              <w:t>cualquier</w:t>
            </w:r>
            <w:r>
              <w:rPr>
                <w:b w:val="0"/>
                <w:sz w:val="17"/>
              </w:rPr>
              <w:t xml:space="preserve"> alteración posterior es detectable</w:t>
            </w:r>
          </w:p>
        </w:tc>
      </w:tr>
    </w:tbl>
    <w:p>
      <w:pPr>
        <w:spacing w:after="40"/>
      </w:pPr>
    </w:p>
    <w:p>
      <w:pPr>
        <w:pStyle w:val="Heading2"/>
      </w:pPr>
      <w:r>
        <w:rPr>
          <w:color w:val="000000"/>
        </w:rPr>
      </w:r>
      <w:r>
        <w:rPr>
          <w:b/>
          <w:color w:val="000000"/>
        </w:rPr>
        <w:t>3.3 Drivers de restricción</w:t>
      </w:r>
    </w:p>
    <w:p>
      <w:pPr>
        <w:spacing w:after="120"/>
      </w:pPr>
      <w:r>
        <w:rPr>
          <w:b w:val="0"/>
          <w:sz w:val="21"/>
        </w:rPr>
        <w:t xml:space="preserve">Una restricción es </w:t>
      </w:r>
      <w:r>
        <w:rPr>
          <w:b/>
          <w:sz w:val="21"/>
        </w:rPr>
        <w:t>una decisión de diseño que ya está tomada</w:t>
      </w:r>
      <w:r>
        <w:rPr>
          <w:b w:val="0"/>
          <w:sz w:val="21"/>
        </w:rPr>
        <w:t xml:space="preserve"> y que el arquitecto no negocia. Se reconoce porque se escribe con «debe» o «no se puede», y porque </w:t>
      </w:r>
      <w:r>
        <w:rPr>
          <w:b/>
          <w:sz w:val="21"/>
        </w:rPr>
        <w:t>no tiene medida</w:t>
      </w:r>
      <w:r>
        <w:rPr>
          <w:b w:val="0"/>
          <w:sz w:val="21"/>
        </w:rPr>
        <w:t xml:space="preserve">: se cumple o no se cumple. Por eso </w:t>
      </w:r>
      <w:r>
        <w:rPr>
          <w:b/>
          <w:sz w:val="21"/>
        </w:rPr>
        <w:t>no se priorizan</w:t>
      </w:r>
      <w:r>
        <w:rPr>
          <w:b w:val="0"/>
          <w:sz w:val="21"/>
        </w:rPr>
        <w:t>: todas son obligatorias — la diferencia tajante con los atributos de calidad de §3.2.</w:t>
      </w:r>
    </w:p>
    <w:p>
      <w:pPr>
        <w:spacing w:after="120"/>
      </w:pPr>
      <w:r>
        <w:rPr>
          <w:b w:val="0"/>
          <w:sz w:val="21"/>
        </w:rPr>
        <w:t xml:space="preserve">La columna </w:t>
      </w:r>
      <w:r>
        <w:rPr>
          <w:b/>
          <w:sz w:val="21"/>
        </w:rPr>
        <w:t>«qué decisión bloquea»</w:t>
      </w:r>
      <w:r>
        <w:rPr>
          <w:b w:val="0"/>
          <w:sz w:val="21"/>
        </w:rPr>
        <w:t xml:space="preserve"> es la que convierte la cita en driver: una restricción sirve para </w:t>
      </w:r>
      <w:r>
        <w:rPr>
          <w:b/>
          <w:sz w:val="21"/>
        </w:rPr>
        <w:t>descartar alternativas</w:t>
      </w:r>
      <w:r>
        <w:rPr>
          <w:b w:val="0"/>
          <w:sz w:val="21"/>
        </w:rPr>
        <w:t>, y eso se hace visible.</w:t>
      </w:r>
    </w:p>
    <w:p>
      <w:pPr>
        <w:pStyle w:val="Heading3"/>
      </w:pPr>
      <w:r>
        <w:rPr>
          <w:color w:val="000000"/>
        </w:rPr>
      </w:r>
      <w:r>
        <w:rPr>
          <w:b/>
          <w:color w:val="000000"/>
        </w:rPr>
        <w:t>Las 8 explícitas del enunciado (textuales, sin parafrasear)</w:t>
      </w:r>
    </w:p>
    <w:tbl>
      <w:tblPr>
        <w:tblStyle w:val="TableGrid"/>
        <w:jc w:val="center"/>
        <w:tblLayout w:type="fixed"/>
        <w:tblLook w:firstColumn="1" w:firstRow="1" w:lastColumn="0" w:lastRow="0" w:noHBand="0" w:noVBand="1" w:val="04A0"/>
        <w:tblW w:type="dxa" w:w="9360"/>
      </w:tblPr>
      <w:tblGrid>
        <w:gridCol w:w="749"/>
        <w:gridCol w:w="4306"/>
        <w:gridCol w:w="936"/>
        <w:gridCol w:w="3370"/>
      </w:tblGrid>
      <w:tr>
        <w:trPr>
          <w:tblHeader w:val="true"/>
        </w:trPr>
        <w:tc>
          <w:tcPr>
            <w:tcW w:type="dxa" w:w="749"/>
            <w:shd w:val="clear" w:color="auto" w:fill="EDEFF2"/>
          </w:tcPr>
          <w:p>
            <w:pPr>
              <w:keepNext w:val="0"/>
              <w:spacing w:after="20"/>
            </w:pPr>
            <w:r>
              <w:rPr>
                <w:b/>
                <w:sz w:val="17"/>
              </w:rPr>
              <w:t>ID</w:t>
            </w:r>
          </w:p>
        </w:tc>
        <w:tc>
          <w:tcPr>
            <w:tcW w:type="dxa" w:w="4306"/>
            <w:shd w:val="clear" w:color="auto" w:fill="EDEFF2"/>
          </w:tcPr>
          <w:p>
            <w:pPr>
              <w:keepNext w:val="0"/>
              <w:spacing w:after="20"/>
            </w:pPr>
            <w:r>
              <w:rPr>
                <w:b/>
                <w:sz w:val="17"/>
              </w:rPr>
              <w:t>Restricción (textual)</w:t>
            </w:r>
          </w:p>
        </w:tc>
        <w:tc>
          <w:tcPr>
            <w:tcW w:type="dxa" w:w="936"/>
            <w:shd w:val="clear" w:color="auto" w:fill="EDEFF2"/>
          </w:tcPr>
          <w:p>
            <w:pPr>
              <w:keepNext w:val="0"/>
              <w:spacing w:after="20"/>
            </w:pPr>
            <w:r>
              <w:rPr>
                <w:b/>
                <w:sz w:val="17"/>
              </w:rPr>
              <w:t>Tipo</w:t>
            </w:r>
          </w:p>
        </w:tc>
        <w:tc>
          <w:tcPr>
            <w:tcW w:type="dxa" w:w="3370"/>
            <w:shd w:val="clear" w:color="auto" w:fill="EDEFF2"/>
          </w:tcPr>
          <w:p>
            <w:pPr>
              <w:keepNext w:val="0"/>
              <w:spacing w:after="20"/>
            </w:pPr>
            <w:r>
              <w:rPr>
                <w:b/>
                <w:sz w:val="17"/>
              </w:rPr>
              <w:t>Qué decisión bloquea</w:t>
            </w:r>
          </w:p>
        </w:tc>
      </w:tr>
      <w:tr>
        <w:tc>
          <w:tcPr>
            <w:tcW w:type="dxa" w:w="749"/>
          </w:tcPr>
          <w:p>
            <w:pPr>
              <w:spacing w:after="20"/>
            </w:pPr>
            <w:r>
              <w:rPr>
                <w:b w:val="0"/>
                <w:sz w:val="17"/>
              </w:rPr>
              <w:t>RE-01</w:t>
            </w:r>
          </w:p>
        </w:tc>
        <w:tc>
          <w:tcPr>
            <w:tcW w:type="dxa" w:w="4306"/>
          </w:tcPr>
          <w:p>
            <w:pPr>
              <w:spacing w:after="20"/>
            </w:pPr>
            <w:r>
              <w:rPr>
                <w:b w:val="0"/>
                <w:sz w:val="17"/>
              </w:rPr>
              <w:t>«No se puede usar una base de datos que no soporte transacciones ACID para el módulo de inventario»</w:t>
            </w:r>
          </w:p>
        </w:tc>
        <w:tc>
          <w:tcPr>
            <w:tcW w:type="dxa" w:w="936"/>
          </w:tcPr>
          <w:p>
            <w:pPr>
              <w:spacing w:after="20"/>
            </w:pPr>
            <w:r>
              <w:rPr>
                <w:b w:val="0"/>
                <w:sz w:val="17"/>
              </w:rPr>
              <w:t>técnica</w:t>
            </w:r>
          </w:p>
        </w:tc>
        <w:tc>
          <w:tcPr>
            <w:tcW w:type="dxa" w:w="3370"/>
          </w:tcPr>
          <w:p>
            <w:pPr>
              <w:spacing w:after="20"/>
            </w:pPr>
            <w:r>
              <w:rPr>
                <w:b w:val="0"/>
                <w:sz w:val="17"/>
              </w:rPr>
              <w:t>Descarta NoSQL sin ACID para inventario — el MongoDB de la consultora incluido</w:t>
            </w:r>
          </w:p>
        </w:tc>
      </w:tr>
      <w:tr>
        <w:tc>
          <w:tcPr>
            <w:tcW w:type="dxa" w:w="749"/>
          </w:tcPr>
          <w:p>
            <w:pPr>
              <w:spacing w:after="20"/>
            </w:pPr>
            <w:r>
              <w:rPr>
                <w:b w:val="0"/>
                <w:sz w:val="17"/>
              </w:rPr>
              <w:t>RE-02</w:t>
            </w:r>
          </w:p>
        </w:tc>
        <w:tc>
          <w:tcPr>
            <w:tcW w:type="dxa" w:w="4306"/>
          </w:tcPr>
          <w:p>
            <w:pPr>
              <w:spacing w:after="20"/>
            </w:pPr>
            <w:r>
              <w:rPr>
                <w:b w:val="0"/>
                <w:sz w:val="17"/>
              </w:rPr>
              <w:t>«No se puede depender de la nube pública para el almacenamiento de datos sensibles… solo… análisis estadístico agregado (datos anonimizados)»</w:t>
            </w:r>
          </w:p>
        </w:tc>
        <w:tc>
          <w:tcPr>
            <w:tcW w:type="dxa" w:w="936"/>
          </w:tcPr>
          <w:p>
            <w:pPr>
              <w:spacing w:after="20"/>
            </w:pPr>
            <w:r>
              <w:rPr>
                <w:b w:val="0"/>
                <w:sz w:val="17"/>
              </w:rPr>
              <w:t>técnica</w:t>
            </w:r>
          </w:p>
        </w:tc>
        <w:tc>
          <w:tcPr>
            <w:tcW w:type="dxa" w:w="3370"/>
          </w:tcPr>
          <w:p>
            <w:pPr>
              <w:spacing w:after="20"/>
            </w:pPr>
            <w:r>
              <w:rPr>
                <w:b w:val="0"/>
                <w:sz w:val="17"/>
              </w:rPr>
              <w:t>Descarta bases y SaaS en la nube para lo clínico; todo en el data center local</w:t>
            </w:r>
          </w:p>
        </w:tc>
      </w:tr>
      <w:tr>
        <w:tc>
          <w:tcPr>
            <w:tcW w:type="dxa" w:w="749"/>
          </w:tcPr>
          <w:p>
            <w:pPr>
              <w:spacing w:after="20"/>
            </w:pPr>
            <w:r>
              <w:rPr>
                <w:b w:val="0"/>
                <w:sz w:val="17"/>
              </w:rPr>
              <w:t>RE-03</w:t>
            </w:r>
          </w:p>
        </w:tc>
        <w:tc>
          <w:tcPr>
            <w:tcW w:type="dxa" w:w="4306"/>
          </w:tcPr>
          <w:p>
            <w:pPr>
              <w:spacing w:after="20"/>
            </w:pPr>
            <w:r>
              <w:rPr>
                <w:b w:val="0"/>
                <w:sz w:val="17"/>
              </w:rPr>
              <w:t>«No se puede usar una tecnología que requiera licencias de pago anuales… (ej. Oracle Enterprise, SQL Server Enterprise). Se prefiere software open-source»</w:t>
            </w:r>
          </w:p>
        </w:tc>
        <w:tc>
          <w:tcPr>
            <w:tcW w:type="dxa" w:w="936"/>
          </w:tcPr>
          <w:p>
            <w:pPr>
              <w:spacing w:after="20"/>
            </w:pPr>
            <w:r>
              <w:rPr>
                <w:b w:val="0"/>
                <w:sz w:val="17"/>
              </w:rPr>
              <w:t>negocio</w:t>
            </w:r>
          </w:p>
        </w:tc>
        <w:tc>
          <w:tcPr>
            <w:tcW w:type="dxa" w:w="3370"/>
          </w:tcPr>
          <w:p>
            <w:pPr>
              <w:spacing w:after="20"/>
            </w:pPr>
            <w:r>
              <w:rPr>
                <w:b w:val="0"/>
                <w:sz w:val="17"/>
              </w:rPr>
              <w:t xml:space="preserve">Descarta las bases comerciales — </w:t>
            </w:r>
            <w:r>
              <w:rPr>
                <w:b/>
                <w:sz w:val="17"/>
              </w:rPr>
              <w:t>incluida la Oracle que el equipo interno prefiere</w:t>
            </w:r>
          </w:p>
        </w:tc>
      </w:tr>
      <w:tr>
        <w:tc>
          <w:tcPr>
            <w:tcW w:type="dxa" w:w="749"/>
          </w:tcPr>
          <w:p>
            <w:pPr>
              <w:spacing w:after="20"/>
            </w:pPr>
            <w:r>
              <w:rPr>
                <w:b w:val="0"/>
                <w:sz w:val="17"/>
              </w:rPr>
              <w:t>RE-04</w:t>
            </w:r>
          </w:p>
        </w:tc>
        <w:tc>
          <w:tcPr>
            <w:tcW w:type="dxa" w:w="4306"/>
          </w:tcPr>
          <w:p>
            <w:pPr>
              <w:spacing w:after="20"/>
            </w:pPr>
            <w:r>
              <w:rPr>
                <w:b w:val="0"/>
                <w:sz w:val="17"/>
              </w:rPr>
              <w:t>«No se puede obligar a los enfermeros a usar dispositivos personales (BYOD)… el hospital provee los Toughpads»</w:t>
            </w:r>
          </w:p>
        </w:tc>
        <w:tc>
          <w:tcPr>
            <w:tcW w:type="dxa" w:w="936"/>
          </w:tcPr>
          <w:p>
            <w:pPr>
              <w:spacing w:after="20"/>
            </w:pPr>
            <w:r>
              <w:rPr>
                <w:b w:val="0"/>
                <w:sz w:val="17"/>
              </w:rPr>
              <w:t>negocio</w:t>
            </w:r>
          </w:p>
        </w:tc>
        <w:tc>
          <w:tcPr>
            <w:tcW w:type="dxa" w:w="3370"/>
          </w:tcPr>
          <w:p>
            <w:pPr>
              <w:spacing w:after="20"/>
            </w:pPr>
            <w:r>
              <w:rPr>
                <w:b w:val="0"/>
                <w:sz w:val="17"/>
              </w:rPr>
              <w:t>El cliente de enfermería se diseña para las Toughpad, no para «cualquier teléfono»</w:t>
            </w:r>
          </w:p>
        </w:tc>
      </w:tr>
      <w:tr>
        <w:tc>
          <w:tcPr>
            <w:tcW w:type="dxa" w:w="749"/>
          </w:tcPr>
          <w:p>
            <w:pPr>
              <w:spacing w:after="20"/>
            </w:pPr>
            <w:r>
              <w:rPr>
                <w:b w:val="0"/>
                <w:sz w:val="17"/>
              </w:rPr>
              <w:t>RE-05</w:t>
            </w:r>
          </w:p>
        </w:tc>
        <w:tc>
          <w:tcPr>
            <w:tcW w:type="dxa" w:w="4306"/>
          </w:tcPr>
          <w:p>
            <w:pPr>
              <w:spacing w:after="20"/>
            </w:pPr>
            <w:r>
              <w:rPr>
                <w:b w:val="0"/>
                <w:sz w:val="17"/>
              </w:rPr>
              <w:t>«No se puede diseñar un sistema monolítico, porque el módulo de farmacovigilancia tiene ciclos de entrega diferentes…»</w:t>
            </w:r>
          </w:p>
        </w:tc>
        <w:tc>
          <w:tcPr>
            <w:tcW w:type="dxa" w:w="936"/>
          </w:tcPr>
          <w:p>
            <w:pPr>
              <w:spacing w:after="20"/>
            </w:pPr>
            <w:r>
              <w:rPr>
                <w:b w:val="0"/>
                <w:sz w:val="17"/>
              </w:rPr>
              <w:t>técnica</w:t>
            </w:r>
          </w:p>
        </w:tc>
        <w:tc>
          <w:tcPr>
            <w:tcW w:type="dxa" w:w="3370"/>
          </w:tcPr>
          <w:p>
            <w:pPr>
              <w:spacing w:after="20"/>
            </w:pPr>
            <w:r>
              <w:rPr>
                <w:b w:val="0"/>
                <w:sz w:val="17"/>
              </w:rPr>
              <w:t>Obliga módulos desplegables por separado; descarta el despliegue único</w:t>
            </w:r>
          </w:p>
        </w:tc>
      </w:tr>
      <w:tr>
        <w:tc>
          <w:tcPr>
            <w:tcW w:type="dxa" w:w="749"/>
          </w:tcPr>
          <w:p>
            <w:pPr>
              <w:spacing w:after="20"/>
            </w:pPr>
            <w:r>
              <w:rPr>
                <w:b w:val="0"/>
                <w:sz w:val="17"/>
              </w:rPr>
              <w:t>RE-06</w:t>
            </w:r>
          </w:p>
        </w:tc>
        <w:tc>
          <w:tcPr>
            <w:tcW w:type="dxa" w:w="4306"/>
          </w:tcPr>
          <w:p>
            <w:pPr>
              <w:spacing w:after="20"/>
            </w:pPr>
            <w:r>
              <w:rPr>
                <w:b w:val="0"/>
                <w:sz w:val="17"/>
              </w:rPr>
              <w:t>«No se pueden almacenar contraseñas ni credenciales en texto plano en ninguna capa»</w:t>
            </w:r>
          </w:p>
        </w:tc>
        <w:tc>
          <w:tcPr>
            <w:tcW w:type="dxa" w:w="936"/>
          </w:tcPr>
          <w:p>
            <w:pPr>
              <w:spacing w:after="20"/>
            </w:pPr>
            <w:r>
              <w:rPr>
                <w:b w:val="0"/>
                <w:sz w:val="17"/>
              </w:rPr>
              <w:t>técnica</w:t>
            </w:r>
          </w:p>
        </w:tc>
        <w:tc>
          <w:tcPr>
            <w:tcW w:type="dxa" w:w="3370"/>
          </w:tcPr>
          <w:p>
            <w:pPr>
              <w:spacing w:after="20"/>
            </w:pPr>
            <w:r>
              <w:rPr>
                <w:b w:val="0"/>
                <w:sz w:val="17"/>
              </w:rPr>
              <w:t>Descarta configuraciones y logs con secretos; obliga hashing y gestión de secretos</w:t>
            </w:r>
          </w:p>
        </w:tc>
      </w:tr>
      <w:tr>
        <w:tc>
          <w:tcPr>
            <w:tcW w:type="dxa" w:w="749"/>
          </w:tcPr>
          <w:p>
            <w:pPr>
              <w:spacing w:after="20"/>
            </w:pPr>
            <w:r>
              <w:rPr>
                <w:b w:val="0"/>
                <w:sz w:val="17"/>
              </w:rPr>
              <w:t>RE-07</w:t>
            </w:r>
          </w:p>
        </w:tc>
        <w:tc>
          <w:tcPr>
            <w:tcW w:type="dxa" w:w="4306"/>
          </w:tcPr>
          <w:p>
            <w:pPr>
              <w:spacing w:after="20"/>
            </w:pPr>
            <w:r>
              <w:rPr>
                <w:b w:val="0"/>
                <w:sz w:val="17"/>
              </w:rPr>
              <w:t>«No se puede implementar una solución que requiera entrenamiento de más de 2 horas para los enfermeros»</w:t>
            </w:r>
          </w:p>
        </w:tc>
        <w:tc>
          <w:tcPr>
            <w:tcW w:type="dxa" w:w="936"/>
          </w:tcPr>
          <w:p>
            <w:pPr>
              <w:spacing w:after="20"/>
            </w:pPr>
            <w:r>
              <w:rPr>
                <w:b w:val="0"/>
                <w:sz w:val="17"/>
              </w:rPr>
              <w:t>negocio</w:t>
            </w:r>
          </w:p>
        </w:tc>
        <w:tc>
          <w:tcPr>
            <w:tcW w:type="dxa" w:w="3370"/>
          </w:tcPr>
          <w:p>
            <w:pPr>
              <w:spacing w:after="20"/>
            </w:pPr>
            <w:r>
              <w:rPr>
                <w:b w:val="0"/>
                <w:sz w:val="17"/>
              </w:rPr>
              <w:t>Acota la complejidad de la interfaz de enfermería; descarta flujos que exijan curso</w:t>
            </w:r>
          </w:p>
        </w:tc>
      </w:tr>
      <w:tr>
        <w:tc>
          <w:tcPr>
            <w:tcW w:type="dxa" w:w="749"/>
          </w:tcPr>
          <w:p>
            <w:pPr>
              <w:spacing w:after="20"/>
            </w:pPr>
            <w:r>
              <w:rPr>
                <w:b w:val="0"/>
                <w:sz w:val="17"/>
              </w:rPr>
              <w:t>RE-08</w:t>
            </w:r>
          </w:p>
        </w:tc>
        <w:tc>
          <w:tcPr>
            <w:tcW w:type="dxa" w:w="4306"/>
          </w:tcPr>
          <w:p>
            <w:pPr>
              <w:spacing w:after="20"/>
            </w:pPr>
            <w:r>
              <w:rPr>
                <w:b w:val="0"/>
                <w:sz w:val="17"/>
              </w:rPr>
              <w:t>«No se puede generar un único punto de falla en la autenticación; si… (LDAP) cae, el hospital debe seguir operando con… respaldo (ej. OTP por SMS)»</w:t>
            </w:r>
          </w:p>
        </w:tc>
        <w:tc>
          <w:tcPr>
            <w:tcW w:type="dxa" w:w="936"/>
          </w:tcPr>
          <w:p>
            <w:pPr>
              <w:spacing w:after="20"/>
            </w:pPr>
            <w:r>
              <w:rPr>
                <w:b w:val="0"/>
                <w:sz w:val="17"/>
              </w:rPr>
              <w:t>técnica</w:t>
            </w:r>
          </w:p>
        </w:tc>
        <w:tc>
          <w:tcPr>
            <w:tcW w:type="dxa" w:w="3370"/>
          </w:tcPr>
          <w:p>
            <w:pPr>
              <w:spacing w:after="20"/>
            </w:pPr>
            <w:r>
              <w:rPr>
                <w:b w:val="0"/>
                <w:sz w:val="17"/>
              </w:rPr>
              <w:t>Descarta autenticar solo contra LDAP; obliga el mecanismo de respaldo</w:t>
            </w:r>
          </w:p>
        </w:tc>
      </w:tr>
    </w:tbl>
    <w:p>
      <w:pPr>
        <w:spacing w:after="40"/>
      </w:pPr>
    </w:p>
    <w:p>
      <w:pPr>
        <w:pStyle w:val="Heading3"/>
      </w:pPr>
      <w:r>
        <w:rPr>
          <w:color w:val="000000"/>
        </w:rPr>
      </w:r>
      <w:r>
        <w:rPr>
          <w:b/>
          <w:color w:val="000000"/>
        </w:rPr>
        <w:t>Las implícitas — regulatorias, del entorno y organizativas</w:t>
      </w:r>
    </w:p>
    <w:p>
      <w:pPr>
        <w:spacing w:after="120"/>
      </w:pPr>
      <w:r>
        <w:rPr>
          <w:b w:val="0"/>
          <w:sz w:val="21"/>
        </w:rPr>
        <w:t>Repartidas por el enunciado fuera de la sección de restricciones; se barren por origen:</w:t>
      </w:r>
    </w:p>
    <w:tbl>
      <w:tblPr>
        <w:tblStyle w:val="TableGrid"/>
        <w:jc w:val="center"/>
        <w:tblLayout w:type="fixed"/>
        <w:tblLook w:firstColumn="1" w:firstRow="1" w:lastColumn="0" w:lastRow="0" w:noHBand="0" w:noVBand="1" w:val="04A0"/>
        <w:tblW w:type="dxa" w:w="9360"/>
      </w:tblPr>
      <w:tblGrid>
        <w:gridCol w:w="655"/>
        <w:gridCol w:w="3557"/>
        <w:gridCol w:w="2059"/>
        <w:gridCol w:w="3089"/>
      </w:tblGrid>
      <w:tr>
        <w:trPr>
          <w:tblHeader w:val="true"/>
        </w:trPr>
        <w:tc>
          <w:tcPr>
            <w:tcW w:type="dxa" w:w="655"/>
            <w:shd w:val="clear" w:color="auto" w:fill="EDEFF2"/>
          </w:tcPr>
          <w:p>
            <w:pPr>
              <w:keepNext w:val="0"/>
              <w:spacing w:after="20"/>
            </w:pPr>
            <w:r>
              <w:rPr>
                <w:b/>
                <w:sz w:val="17"/>
              </w:rPr>
              <w:t>ID</w:t>
            </w:r>
          </w:p>
        </w:tc>
        <w:tc>
          <w:tcPr>
            <w:tcW w:type="dxa" w:w="3557"/>
            <w:shd w:val="clear" w:color="auto" w:fill="EDEFF2"/>
          </w:tcPr>
          <w:p>
            <w:pPr>
              <w:keepNext w:val="0"/>
              <w:spacing w:after="20"/>
            </w:pPr>
            <w:r>
              <w:rPr>
                <w:b/>
                <w:sz w:val="17"/>
              </w:rPr>
              <w:t>Restricción</w:t>
            </w:r>
          </w:p>
        </w:tc>
        <w:tc>
          <w:tcPr>
            <w:tcW w:type="dxa" w:w="2059"/>
            <w:shd w:val="clear" w:color="auto" w:fill="EDEFF2"/>
          </w:tcPr>
          <w:p>
            <w:pPr>
              <w:keepNext w:val="0"/>
              <w:spacing w:after="20"/>
            </w:pPr>
            <w:r>
              <w:rPr>
                <w:b/>
                <w:sz w:val="17"/>
              </w:rPr>
              <w:t>Origen</w:t>
            </w:r>
          </w:p>
        </w:tc>
        <w:tc>
          <w:tcPr>
            <w:tcW w:type="dxa" w:w="3089"/>
            <w:shd w:val="clear" w:color="auto" w:fill="EDEFF2"/>
          </w:tcPr>
          <w:p>
            <w:pPr>
              <w:keepNext w:val="0"/>
              <w:spacing w:after="20"/>
            </w:pPr>
            <w:r>
              <w:rPr>
                <w:b/>
                <w:sz w:val="17"/>
              </w:rPr>
              <w:t>Qué decisión bloquea / dónde se realiza</w:t>
            </w:r>
          </w:p>
        </w:tc>
      </w:tr>
      <w:tr>
        <w:tc>
          <w:tcPr>
            <w:tcW w:type="dxa" w:w="655"/>
          </w:tcPr>
          <w:p>
            <w:pPr>
              <w:spacing w:after="20"/>
            </w:pPr>
            <w:r>
              <w:rPr>
                <w:b w:val="0"/>
                <w:sz w:val="17"/>
              </w:rPr>
              <w:t>RE-09</w:t>
            </w:r>
          </w:p>
        </w:tc>
        <w:tc>
          <w:tcPr>
            <w:tcW w:type="dxa" w:w="3557"/>
          </w:tcPr>
          <w:p>
            <w:pPr>
              <w:spacing w:after="20"/>
            </w:pPr>
            <w:r>
              <w:rPr>
                <w:b w:val="0"/>
                <w:sz w:val="17"/>
              </w:rPr>
              <w:t xml:space="preserve">Reporte de efectos adversos </w:t>
            </w:r>
            <w:r>
              <w:rPr>
                <w:b/>
                <w:sz w:val="17"/>
              </w:rPr>
              <w:t>≤ 24 h</w:t>
            </w:r>
            <w:r>
              <w:rPr>
                <w:b w:val="0"/>
                <w:sz w:val="17"/>
              </w:rPr>
              <w:t xml:space="preserve"> en </w:t>
            </w:r>
            <w:r>
              <w:rPr>
                <w:b/>
                <w:sz w:val="17"/>
              </w:rPr>
              <w:t>XML con la DTD del MSPAS</w:t>
            </w:r>
          </w:p>
        </w:tc>
        <w:tc>
          <w:tcPr>
            <w:tcW w:type="dxa" w:w="2059"/>
          </w:tcPr>
          <w:p>
            <w:pPr>
              <w:spacing w:after="20"/>
            </w:pPr>
            <w:r>
              <w:rPr>
                <w:b w:val="0"/>
                <w:sz w:val="17"/>
              </w:rPr>
              <w:t>regulatoria — Norma Técnica de Farmacovigilancia</w:t>
            </w:r>
          </w:p>
        </w:tc>
        <w:tc>
          <w:tcPr>
            <w:tcW w:type="dxa" w:w="3089"/>
          </w:tcPr>
          <w:p>
            <w:pPr>
              <w:spacing w:after="20"/>
            </w:pPr>
            <w:r>
              <w:rPr>
                <w:b w:val="0"/>
                <w:sz w:val="17"/>
              </w:rPr>
              <w:t>El formato y el plazo no se negocian; se realiza en RF-29 y AC-06</w:t>
            </w:r>
          </w:p>
        </w:tc>
      </w:tr>
      <w:tr>
        <w:tc>
          <w:tcPr>
            <w:tcW w:type="dxa" w:w="655"/>
          </w:tcPr>
          <w:p>
            <w:pPr>
              <w:spacing w:after="20"/>
            </w:pPr>
            <w:r>
              <w:rPr>
                <w:b w:val="0"/>
                <w:sz w:val="17"/>
              </w:rPr>
              <w:t>RE-10</w:t>
            </w:r>
          </w:p>
        </w:tc>
        <w:tc>
          <w:tcPr>
            <w:tcW w:type="dxa" w:w="3557"/>
          </w:tcPr>
          <w:p>
            <w:pPr>
              <w:spacing w:after="20"/>
            </w:pPr>
            <w:r>
              <w:rPr>
                <w:b/>
                <w:sz w:val="17"/>
              </w:rPr>
              <w:t>Doble registro</w:t>
            </w:r>
            <w:r>
              <w:rPr>
                <w:b w:val="0"/>
                <w:sz w:val="17"/>
              </w:rPr>
              <w:t xml:space="preserve"> farmacéutico-enfermero para oncológicos y opioides; alerta si discrepancia </w:t>
            </w:r>
            <w:r>
              <w:rPr>
                <w:b/>
                <w:sz w:val="17"/>
              </w:rPr>
              <w:t>&gt; 5 min</w:t>
            </w:r>
          </w:p>
        </w:tc>
        <w:tc>
          <w:tcPr>
            <w:tcW w:type="dxa" w:w="2059"/>
          </w:tcPr>
          <w:p>
            <w:pPr>
              <w:spacing w:after="20"/>
            </w:pPr>
            <w:r>
              <w:rPr>
                <w:b w:val="0"/>
                <w:sz w:val="17"/>
              </w:rPr>
              <w:t>regulatoria — INCAP</w:t>
            </w:r>
          </w:p>
        </w:tc>
        <w:tc>
          <w:tcPr>
            <w:tcW w:type="dxa" w:w="3089"/>
          </w:tcPr>
          <w:p>
            <w:pPr>
              <w:spacing w:after="20"/>
            </w:pPr>
            <w:r>
              <w:rPr>
                <w:b w:val="0"/>
                <w:sz w:val="17"/>
              </w:rPr>
              <w:t>Obliga la coincidencia en tiempo real; se realiza en RF-22</w:t>
            </w:r>
          </w:p>
        </w:tc>
      </w:tr>
      <w:tr>
        <w:tc>
          <w:tcPr>
            <w:tcW w:type="dxa" w:w="655"/>
          </w:tcPr>
          <w:p>
            <w:pPr>
              <w:spacing w:after="20"/>
            </w:pPr>
            <w:r>
              <w:rPr>
                <w:b w:val="0"/>
                <w:sz w:val="17"/>
              </w:rPr>
              <w:t>RE-11</w:t>
            </w:r>
          </w:p>
        </w:tc>
        <w:tc>
          <w:tcPr>
            <w:tcW w:type="dxa" w:w="3557"/>
          </w:tcPr>
          <w:p>
            <w:pPr>
              <w:spacing w:after="20"/>
            </w:pPr>
            <w:r>
              <w:rPr>
                <w:b w:val="0"/>
                <w:sz w:val="17"/>
              </w:rPr>
              <w:t xml:space="preserve">Responder solicitudes ciudadanas de datos estadísticos (no personales) en </w:t>
            </w:r>
            <w:r>
              <w:rPr>
                <w:b/>
                <w:sz w:val="17"/>
              </w:rPr>
              <w:t>10 días hábiles</w:t>
            </w:r>
          </w:p>
        </w:tc>
        <w:tc>
          <w:tcPr>
            <w:tcW w:type="dxa" w:w="2059"/>
          </w:tcPr>
          <w:p>
            <w:pPr>
              <w:spacing w:after="20"/>
            </w:pPr>
            <w:r>
              <w:rPr>
                <w:b w:val="0"/>
                <w:sz w:val="17"/>
              </w:rPr>
              <w:t>regulatoria — Ley de Acceso a la Información Pública</w:t>
            </w:r>
          </w:p>
        </w:tc>
        <w:tc>
          <w:tcPr>
            <w:tcW w:type="dxa" w:w="3089"/>
          </w:tcPr>
          <w:p>
            <w:pPr>
              <w:spacing w:after="20"/>
            </w:pPr>
            <w:r>
              <w:rPr>
                <w:b w:val="0"/>
                <w:sz w:val="17"/>
              </w:rPr>
              <w:t>Obliga la vía de datos anonimizados; se realiza en RF-36</w:t>
            </w:r>
          </w:p>
        </w:tc>
      </w:tr>
      <w:tr>
        <w:tc>
          <w:tcPr>
            <w:tcW w:type="dxa" w:w="655"/>
          </w:tcPr>
          <w:p>
            <w:pPr>
              <w:spacing w:after="20"/>
            </w:pPr>
            <w:r>
              <w:rPr>
                <w:b w:val="0"/>
                <w:sz w:val="17"/>
              </w:rPr>
              <w:t>RE-12</w:t>
            </w:r>
          </w:p>
        </w:tc>
        <w:tc>
          <w:tcPr>
            <w:tcW w:type="dxa" w:w="3557"/>
          </w:tcPr>
          <w:p>
            <w:pPr>
              <w:spacing w:after="20"/>
            </w:pPr>
            <w:r>
              <w:rPr>
                <w:b w:val="0"/>
                <w:sz w:val="17"/>
              </w:rPr>
              <w:t xml:space="preserve">Diagnósticos sensibles visibles </w:t>
            </w:r>
            <w:r>
              <w:rPr>
                <w:b/>
                <w:sz w:val="17"/>
              </w:rPr>
              <w:t>solo</w:t>
            </w:r>
            <w:r>
              <w:rPr>
                <w:b w:val="0"/>
                <w:sz w:val="17"/>
              </w:rPr>
              <w:t xml:space="preserve"> para tratante, farmacéutico y enfermero asignado; el director </w:t>
            </w:r>
            <w:r>
              <w:rPr>
                <w:b/>
                <w:sz w:val="17"/>
              </w:rPr>
              <w:t>solo con orden judicial</w:t>
            </w:r>
          </w:p>
        </w:tc>
        <w:tc>
          <w:tcPr>
            <w:tcW w:type="dxa" w:w="2059"/>
          </w:tcPr>
          <w:p>
            <w:pPr>
              <w:spacing w:after="20"/>
            </w:pPr>
            <w:r>
              <w:rPr>
                <w:b w:val="0"/>
                <w:sz w:val="17"/>
              </w:rPr>
              <w:t>regulatoria — Política de Datos del Hospital</w:t>
            </w:r>
          </w:p>
        </w:tc>
        <w:tc>
          <w:tcPr>
            <w:tcW w:type="dxa" w:w="3089"/>
          </w:tcPr>
          <w:p>
            <w:pPr>
              <w:spacing w:after="20"/>
            </w:pPr>
            <w:r>
              <w:rPr>
                <w:b w:val="0"/>
                <w:sz w:val="17"/>
              </w:rPr>
              <w:t>Fija el modelo de autorización; se realiza en AC-04 y RF-16</w:t>
            </w:r>
          </w:p>
        </w:tc>
      </w:tr>
      <w:tr>
        <w:tc>
          <w:tcPr>
            <w:tcW w:type="dxa" w:w="655"/>
          </w:tcPr>
          <w:p>
            <w:pPr>
              <w:spacing w:after="20"/>
            </w:pPr>
            <w:r>
              <w:rPr>
                <w:b w:val="0"/>
                <w:sz w:val="17"/>
              </w:rPr>
              <w:t>RE-13</w:t>
            </w:r>
          </w:p>
        </w:tc>
        <w:tc>
          <w:tcPr>
            <w:tcW w:type="dxa" w:w="3557"/>
          </w:tcPr>
          <w:p>
            <w:pPr>
              <w:spacing w:after="20"/>
            </w:pPr>
            <w:r>
              <w:rPr>
                <w:b w:val="0"/>
                <w:sz w:val="17"/>
              </w:rPr>
              <w:t xml:space="preserve">Data center fijo: </w:t>
            </w:r>
            <w:r>
              <w:rPr>
                <w:b/>
                <w:sz w:val="17"/>
              </w:rPr>
              <w:t>32 vCPU / 128 GB / SAN 10 TB, sin autoescalado</w:t>
            </w:r>
          </w:p>
        </w:tc>
        <w:tc>
          <w:tcPr>
            <w:tcW w:type="dxa" w:w="2059"/>
          </w:tcPr>
          <w:p>
            <w:pPr>
              <w:spacing w:after="20"/>
            </w:pPr>
            <w:r>
              <w:rPr>
                <w:b w:val="0"/>
                <w:sz w:val="17"/>
              </w:rPr>
              <w:t>técnica del entorno</w:t>
            </w:r>
          </w:p>
        </w:tc>
        <w:tc>
          <w:tcPr>
            <w:tcW w:type="dxa" w:w="3089"/>
          </w:tcPr>
          <w:p>
            <w:pPr>
              <w:spacing w:after="20"/>
            </w:pPr>
            <w:r>
              <w:rPr>
                <w:b w:val="0"/>
                <w:sz w:val="17"/>
              </w:rPr>
              <w:t>Descarta resolver el pico con hardware; obliga la mitigación arquitectónica de AC-05</w:t>
            </w:r>
          </w:p>
        </w:tc>
      </w:tr>
      <w:tr>
        <w:tc>
          <w:tcPr>
            <w:tcW w:type="dxa" w:w="655"/>
          </w:tcPr>
          <w:p>
            <w:pPr>
              <w:spacing w:after="20"/>
            </w:pPr>
            <w:r>
              <w:rPr>
                <w:b w:val="0"/>
                <w:sz w:val="17"/>
              </w:rPr>
              <w:t>RE-14</w:t>
            </w:r>
          </w:p>
        </w:tc>
        <w:tc>
          <w:tcPr>
            <w:tcW w:type="dxa" w:w="3557"/>
          </w:tcPr>
          <w:p>
            <w:pPr>
              <w:spacing w:after="20"/>
            </w:pPr>
            <w:r>
              <w:rPr>
                <w:b w:val="0"/>
                <w:sz w:val="17"/>
              </w:rPr>
              <w:t xml:space="preserve">Tablets </w:t>
            </w:r>
            <w:r>
              <w:rPr>
                <w:b/>
                <w:sz w:val="17"/>
              </w:rPr>
              <w:t>Panasonic Toughpad, Android 9, 3 GB RAM</w:t>
            </w:r>
            <w:r>
              <w:rPr>
                <w:b w:val="0"/>
                <w:sz w:val="17"/>
              </w:rPr>
              <w:t xml:space="preserve"> ya compradas</w:t>
            </w:r>
          </w:p>
        </w:tc>
        <w:tc>
          <w:tcPr>
            <w:tcW w:type="dxa" w:w="2059"/>
          </w:tcPr>
          <w:p>
            <w:pPr>
              <w:spacing w:after="20"/>
            </w:pPr>
            <w:r>
              <w:rPr>
                <w:b w:val="0"/>
                <w:sz w:val="17"/>
              </w:rPr>
              <w:t>técnica del entorno</w:t>
            </w:r>
          </w:p>
        </w:tc>
        <w:tc>
          <w:tcPr>
            <w:tcW w:type="dxa" w:w="3089"/>
          </w:tcPr>
          <w:p>
            <w:pPr>
              <w:spacing w:after="20"/>
            </w:pPr>
            <w:r>
              <w:rPr>
                <w:b w:val="0"/>
                <w:sz w:val="17"/>
              </w:rPr>
              <w:t>El cliente móvil debe correr ahí: descarta frameworks pesados y versiones de Android nuevas</w:t>
            </w:r>
          </w:p>
        </w:tc>
      </w:tr>
      <w:tr>
        <w:tc>
          <w:tcPr>
            <w:tcW w:type="dxa" w:w="655"/>
          </w:tcPr>
          <w:p>
            <w:pPr>
              <w:spacing w:after="20"/>
            </w:pPr>
            <w:r>
              <w:rPr>
                <w:b w:val="0"/>
                <w:sz w:val="17"/>
              </w:rPr>
              <w:t>RE-15</w:t>
            </w:r>
          </w:p>
        </w:tc>
        <w:tc>
          <w:tcPr>
            <w:tcW w:type="dxa" w:w="3557"/>
          </w:tcPr>
          <w:p>
            <w:pPr>
              <w:spacing w:after="20"/>
            </w:pPr>
            <w:r>
              <w:rPr>
                <w:b w:val="0"/>
                <w:sz w:val="17"/>
              </w:rPr>
              <w:t xml:space="preserve">Escáneres Bluetooth con </w:t>
            </w:r>
            <w:r>
              <w:rPr>
                <w:b/>
                <w:sz w:val="17"/>
              </w:rPr>
              <w:t>5 % de fallo</w:t>
            </w:r>
            <w:r>
              <w:rPr>
                <w:b w:val="0"/>
                <w:sz w:val="17"/>
              </w:rPr>
              <w:t>: la entrada manual del código es obligatoria</w:t>
            </w:r>
          </w:p>
        </w:tc>
        <w:tc>
          <w:tcPr>
            <w:tcW w:type="dxa" w:w="2059"/>
          </w:tcPr>
          <w:p>
            <w:pPr>
              <w:spacing w:after="20"/>
            </w:pPr>
            <w:r>
              <w:rPr>
                <w:b w:val="0"/>
                <w:sz w:val="17"/>
              </w:rPr>
              <w:t>técnica del entorno</w:t>
            </w:r>
          </w:p>
        </w:tc>
        <w:tc>
          <w:tcPr>
            <w:tcW w:type="dxa" w:w="3089"/>
          </w:tcPr>
          <w:p>
            <w:pPr>
              <w:spacing w:after="20"/>
            </w:pPr>
            <w:r>
              <w:rPr>
                <w:b w:val="0"/>
                <w:sz w:val="17"/>
              </w:rPr>
              <w:t>Obliga el respaldo manual de RF-25; descarta flujos solo-escáner</w:t>
            </w:r>
          </w:p>
        </w:tc>
      </w:tr>
      <w:tr>
        <w:tc>
          <w:tcPr>
            <w:tcW w:type="dxa" w:w="655"/>
          </w:tcPr>
          <w:p>
            <w:pPr>
              <w:spacing w:after="20"/>
            </w:pPr>
            <w:r>
              <w:rPr>
                <w:b w:val="0"/>
                <w:sz w:val="17"/>
              </w:rPr>
              <w:t>RE-16</w:t>
            </w:r>
          </w:p>
        </w:tc>
        <w:tc>
          <w:tcPr>
            <w:tcW w:type="dxa" w:w="3557"/>
          </w:tcPr>
          <w:p>
            <w:pPr>
              <w:spacing w:after="20"/>
            </w:pPr>
            <w:r>
              <w:rPr>
                <w:b/>
                <w:sz w:val="17"/>
              </w:rPr>
              <w:t>Wi-Fi inestable</w:t>
            </w:r>
            <w:r>
              <w:rPr>
                <w:b w:val="0"/>
                <w:sz w:val="17"/>
              </w:rPr>
              <w:t xml:space="preserve"> en el sótano de farmacia; internet de 50 Mbps compartido con priorización de tráfico crítico</w:t>
            </w:r>
          </w:p>
        </w:tc>
        <w:tc>
          <w:tcPr>
            <w:tcW w:type="dxa" w:w="2059"/>
          </w:tcPr>
          <w:p>
            <w:pPr>
              <w:spacing w:after="20"/>
            </w:pPr>
            <w:r>
              <w:rPr>
                <w:b w:val="0"/>
                <w:sz w:val="17"/>
              </w:rPr>
              <w:t>técnica del entorno</w:t>
            </w:r>
          </w:p>
        </w:tc>
        <w:tc>
          <w:tcPr>
            <w:tcW w:type="dxa" w:w="3089"/>
          </w:tcPr>
          <w:p>
            <w:pPr>
              <w:spacing w:after="20"/>
            </w:pPr>
            <w:r>
              <w:rPr>
                <w:b w:val="0"/>
                <w:sz w:val="17"/>
              </w:rPr>
              <w:t>Descarta diseños que asuman red confiable; empuja AC-01 degradado y AC-02</w:t>
            </w:r>
          </w:p>
        </w:tc>
      </w:tr>
      <w:tr>
        <w:tc>
          <w:tcPr>
            <w:tcW w:type="dxa" w:w="655"/>
          </w:tcPr>
          <w:p>
            <w:pPr>
              <w:spacing w:after="20"/>
            </w:pPr>
            <w:r>
              <w:rPr>
                <w:b w:val="0"/>
                <w:sz w:val="17"/>
              </w:rPr>
              <w:t>RE-17</w:t>
            </w:r>
          </w:p>
        </w:tc>
        <w:tc>
          <w:tcPr>
            <w:tcW w:type="dxa" w:w="3557"/>
          </w:tcPr>
          <w:p>
            <w:pPr>
              <w:spacing w:after="20"/>
            </w:pPr>
            <w:r>
              <w:rPr>
                <w:b w:val="0"/>
                <w:sz w:val="17"/>
              </w:rPr>
              <w:t xml:space="preserve">El sistema debe poder ser </w:t>
            </w:r>
            <w:r>
              <w:rPr>
                <w:b/>
                <w:sz w:val="17"/>
              </w:rPr>
              <w:t>mantenido exclusivamente por el equipo interno</w:t>
            </w:r>
            <w:r>
              <w:rPr>
                <w:b w:val="0"/>
                <w:sz w:val="17"/>
              </w:rPr>
              <w:t xml:space="preserve"> (3 personas) tras los 12 meses</w:t>
            </w:r>
          </w:p>
        </w:tc>
        <w:tc>
          <w:tcPr>
            <w:tcW w:type="dxa" w:w="2059"/>
          </w:tcPr>
          <w:p>
            <w:pPr>
              <w:spacing w:after="20"/>
            </w:pPr>
            <w:r>
              <w:rPr>
                <w:b w:val="0"/>
                <w:sz w:val="17"/>
              </w:rPr>
              <w:t>organizativa</w:t>
            </w:r>
          </w:p>
        </w:tc>
        <w:tc>
          <w:tcPr>
            <w:tcW w:type="dxa" w:w="3089"/>
          </w:tcPr>
          <w:p>
            <w:pPr>
              <w:spacing w:after="20"/>
            </w:pPr>
            <w:r>
              <w:rPr>
                <w:b w:val="0"/>
                <w:sz w:val="17"/>
              </w:rPr>
              <w:t>Acota el stack a lo que el interno pueda heredar; es el origen de AC-07</w:t>
            </w:r>
          </w:p>
        </w:tc>
      </w:tr>
      <w:tr>
        <w:tc>
          <w:tcPr>
            <w:tcW w:type="dxa" w:w="655"/>
          </w:tcPr>
          <w:p>
            <w:pPr>
              <w:spacing w:after="20"/>
            </w:pPr>
            <w:r>
              <w:rPr>
                <w:b w:val="0"/>
                <w:sz w:val="17"/>
              </w:rPr>
              <w:t>RE-18</w:t>
            </w:r>
          </w:p>
        </w:tc>
        <w:tc>
          <w:tcPr>
            <w:tcW w:type="dxa" w:w="3557"/>
          </w:tcPr>
          <w:p>
            <w:pPr>
              <w:spacing w:after="20"/>
            </w:pPr>
            <w:r>
              <w:rPr>
                <w:b/>
                <w:sz w:val="17"/>
              </w:rPr>
              <w:t>Entrega en 12 meses</w:t>
            </w:r>
            <w:r>
              <w:rPr>
                <w:b w:val="0"/>
                <w:sz w:val="17"/>
              </w:rPr>
              <w:t xml:space="preserve">, con evolución </w:t>
            </w:r>
            <w:r>
              <w:rPr>
                <w:b/>
                <w:sz w:val="17"/>
              </w:rPr>
              <w:t>incremental</w:t>
            </w:r>
            <w:r>
              <w:rPr>
                <w:b w:val="0"/>
                <w:sz w:val="17"/>
              </w:rPr>
              <w:t>: dispensación y almacén → prescripción → farmacovigilancia</w:t>
            </w:r>
          </w:p>
        </w:tc>
        <w:tc>
          <w:tcPr>
            <w:tcW w:type="dxa" w:w="2059"/>
          </w:tcPr>
          <w:p>
            <w:pPr>
              <w:spacing w:after="20"/>
            </w:pPr>
            <w:r>
              <w:rPr>
                <w:b w:val="0"/>
                <w:sz w:val="17"/>
              </w:rPr>
              <w:t>organizativa</w:t>
            </w:r>
          </w:p>
        </w:tc>
        <w:tc>
          <w:tcPr>
            <w:tcW w:type="dxa" w:w="3089"/>
          </w:tcPr>
          <w:p>
            <w:pPr>
              <w:spacing w:after="20"/>
            </w:pPr>
            <w:r>
              <w:rPr>
                <w:b w:val="0"/>
                <w:sz w:val="17"/>
              </w:rPr>
              <w:t>Fija el orden de construcción y refuerza RE-05 (módulos separados)</w:t>
            </w:r>
          </w:p>
        </w:tc>
      </w:tr>
    </w:tbl>
    <w:p>
      <w:pPr>
        <w:spacing w:after="40"/>
      </w:pPr>
    </w:p>
    <w:p>
      <w:pPr>
        <w:spacing w:after="60"/>
        <w:ind w:left="432"/>
      </w:pPr>
      <w:r>
        <w:rPr>
          <w:b/>
          <w:sz w:val="20"/>
        </w:rPr>
        <w:t>La tensión que estas restricciones resuelven juntas</w:t>
      </w:r>
    </w:p>
    <w:p>
      <w:pPr>
        <w:spacing w:after="200"/>
        <w:ind w:left="432"/>
      </w:pPr>
      <w:r>
        <w:rPr>
          <w:b w:val="0"/>
          <w:sz w:val="19"/>
        </w:rPr>
        <w:t xml:space="preserve">RE-03 (sin licencias: descarta Oracle Enterprise) </w:t>
      </w:r>
      <w:r>
        <w:rPr>
          <w:b/>
          <w:sz w:val="19"/>
        </w:rPr>
        <w:t>choca</w:t>
      </w:r>
      <w:r>
        <w:rPr>
          <w:b w:val="0"/>
          <w:sz w:val="19"/>
        </w:rPr>
        <w:t xml:space="preserve"> con la preferencia del equipo interno (Oracle), y RE-17 exige que ese mismo equipo mantenga el sistema. Leídas juntas, acotan el stack por las dos puntas: </w:t>
      </w:r>
      <w:r>
        <w:rPr>
          <w:b/>
          <w:sz w:val="19"/>
        </w:rPr>
        <w:t>el lenguaje que el interno domina + una base open source con ACID</w:t>
      </w:r>
      <w:r>
        <w:rPr>
          <w:b w:val="0"/>
          <w:sz w:val="19"/>
        </w:rPr>
        <w:t xml:space="preserve"> (RE-01). El conflicto de stacks de la tabla de §1.3 no se resuelve por gusto: lo resuelven las restricciones.</w:t>
      </w:r>
    </w:p>
    <w:p>
      <w:pPr>
        <w:spacing w:after="60"/>
        <w:ind w:left="432"/>
      </w:pPr>
      <w:r>
        <w:rPr>
          <w:b/>
          <w:sz w:val="20"/>
        </w:rPr>
        <w:t>Los stakeholders recortados en §1.1, saldados acá</w:t>
      </w:r>
    </w:p>
    <w:p>
      <w:pPr>
        <w:spacing w:after="200"/>
        <w:ind w:left="432"/>
      </w:pPr>
      <w:r>
        <w:rPr>
          <w:b w:val="0"/>
          <w:sz w:val="19"/>
        </w:rPr>
        <w:t>INCAP reaparece como RE-10; el personal de admisiones como la cara negativa de RE-12; la capacitación limitada (RRHH) es RE-07. Ninguno se perdió: pagan sus puntos en este criterio, como se declaró al recortarlos.</w:t>
      </w:r>
    </w:p>
    <w:p>
      <w:pPr>
        <w:pStyle w:val="Heading2"/>
      </w:pPr>
      <w:r>
        <w:rPr>
          <w:color w:val="000000"/>
        </w:rPr>
      </w:r>
      <w:r>
        <w:rPr>
          <w:b/>
          <w:color w:val="000000"/>
        </w:rPr>
        <w:t>3.4 Los 5 drivers más críticos (contexto guatemalteco)</w:t>
      </w:r>
    </w:p>
    <w:p>
      <w:pPr>
        <w:spacing w:after="120"/>
      </w:pPr>
      <w:r>
        <w:rPr>
          <w:b/>
          <w:sz w:val="21"/>
        </w:rPr>
        <w:t>El método (ADD): dos ejes, no una nota única.</w:t>
      </w:r>
      <w:r>
        <w:rPr>
          <w:b w:val="0"/>
          <w:sz w:val="21"/>
        </w:rPr>
        <w:t xml:space="preserve"> La </w:t>
      </w:r>
      <w:r>
        <w:rPr>
          <w:b/>
          <w:sz w:val="21"/>
        </w:rPr>
        <w:t>importancia para el negocio</w:t>
      </w:r>
      <w:r>
        <w:rPr>
          <w:b w:val="0"/>
          <w:sz w:val="21"/>
        </w:rPr>
        <w:t xml:space="preserve"> la asignan los stakeholders; la </w:t>
      </w:r>
      <w:r>
        <w:rPr>
          <w:b/>
          <w:sz w:val="21"/>
        </w:rPr>
        <w:t>dificultad o riesgo técnico</w:t>
      </w:r>
      <w:r>
        <w:rPr>
          <w:b w:val="0"/>
          <w:sz w:val="21"/>
        </w:rPr>
        <w:t xml:space="preserve">, el arquitecto. Cada driver recibe un par (importancia, dificultad) en alto/medio/bajo, y lo que se ataca primero es la intersección </w:t>
      </w:r>
      <w:r>
        <w:rPr>
          <w:b/>
          <w:sz w:val="21"/>
        </w:rPr>
        <w:t>(A, A)</w:t>
      </w:r>
      <w:r>
        <w:rPr>
          <w:b w:val="0"/>
          <w:sz w:val="21"/>
        </w:rPr>
        <w:t>: alto valor y alta dificultad, donde una decisión equivocada cuesta más deshacerla.</w:t>
      </w:r>
    </w:p>
    <w:p>
      <w:pPr>
        <w:spacing w:after="120"/>
      </w:pPr>
      <w:r>
        <w:rPr>
          <w:b/>
          <w:sz w:val="21"/>
        </w:rPr>
        <w:t>Qué se prioriza y qué no:</w:t>
      </w:r>
      <w:r>
        <w:rPr>
          <w:b w:val="0"/>
          <w:sz w:val="21"/>
        </w:rPr>
        <w:t xml:space="preserve"> compiten los drivers de </w:t>
      </w:r>
      <w:r>
        <w:rPr>
          <w:b/>
          <w:sz w:val="21"/>
        </w:rPr>
        <w:t>atributos de calidad</w:t>
      </w:r>
      <w:r>
        <w:rPr>
          <w:b w:val="0"/>
          <w:sz w:val="21"/>
        </w:rPr>
        <w:t xml:space="preserve"> (AC-nn) — las </w:t>
      </w:r>
      <w:r>
        <w:rPr>
          <w:b/>
          <w:sz w:val="21"/>
        </w:rPr>
        <w:t>restricciones no se priorizan</w:t>
      </w:r>
      <w:r>
        <w:rPr>
          <w:b w:val="0"/>
          <w:sz w:val="21"/>
        </w:rPr>
        <w:t xml:space="preserve"> (todas se cumplen, §3.3) y la funcionalidad tiene su completitud en §3.1.</w:t>
      </w:r>
    </w:p>
    <w:p>
      <w:pPr>
        <w:spacing w:after="60"/>
        <w:ind w:left="432"/>
      </w:pPr>
      <w:r>
        <w:rPr>
          <w:b/>
          <w:sz w:val="20"/>
        </w:rPr>
        <w:t>«Según el contexto guatemalteco» — interpretación declarada</w:t>
      </w:r>
    </w:p>
    <w:p>
      <w:pPr>
        <w:spacing w:after="200"/>
        <w:ind w:left="432"/>
      </w:pPr>
      <w:r>
        <w:rPr>
          <w:b w:val="0"/>
          <w:sz w:val="19"/>
        </w:rPr>
        <w:t xml:space="preserve">La rúbrica lo exige y </w:t>
      </w:r>
      <w:r>
        <w:rPr>
          <w:b/>
          <w:sz w:val="19"/>
        </w:rPr>
        <w:t>no lo define</w:t>
      </w:r>
      <w:r>
        <w:rPr>
          <w:b w:val="0"/>
          <w:sz w:val="19"/>
        </w:rPr>
        <w:t xml:space="preserve"> en ningún material de clase. Se declara por tanto la interpretación aplicada: los </w:t>
      </w:r>
      <w:r>
        <w:rPr>
          <w:b/>
          <w:sz w:val="19"/>
        </w:rPr>
        <w:t>ejes del contexto nacional que el propio enunciado pone sobre la mesa</w:t>
      </w:r>
      <w:r>
        <w:rPr>
          <w:b w:val="0"/>
          <w:sz w:val="19"/>
        </w:rPr>
        <w:t xml:space="preserve"> — marco regulatorio local (MSPAS, Contraloría, Ley de Acceso, INCAP), presupuesto público fijo sin autoescalado ni licencias renovables, infraestructura real (50 Mbps compartidos, Wi-Fi inestable), capital humano (3 personas de TI, alta rotación) y criticidad social (referencia nacional, 1,200 pacientes diarios).</w:t>
      </w:r>
    </w:p>
    <w:p>
      <w:pPr>
        <w:pStyle w:val="Heading3"/>
      </w:pPr>
      <w:r>
        <w:rPr>
          <w:color w:val="000000"/>
        </w:rPr>
      </w:r>
      <w:r>
        <w:rPr>
          <w:b/>
          <w:color w:val="000000"/>
        </w:rPr>
        <w:t>La matriz de los dos ejes — los 8 candidatos</w:t>
      </w:r>
    </w:p>
    <w:tbl>
      <w:tblPr>
        <w:tblStyle w:val="TableGrid"/>
        <w:jc w:val="center"/>
        <w:tblLayout w:type="fixed"/>
        <w:tblLook w:firstColumn="1" w:firstRow="1" w:lastColumn="0" w:lastRow="0" w:noHBand="0" w:noVBand="1" w:val="04A0"/>
        <w:tblW w:type="dxa" w:w="9360"/>
      </w:tblPr>
      <w:tblGrid>
        <w:gridCol w:w="655"/>
        <w:gridCol w:w="2059"/>
        <w:gridCol w:w="2808"/>
        <w:gridCol w:w="2902"/>
        <w:gridCol w:w="936"/>
      </w:tblGrid>
      <w:tr>
        <w:trPr>
          <w:tblHeader w:val="true"/>
        </w:trPr>
        <w:tc>
          <w:tcPr>
            <w:tcW w:type="dxa" w:w="655"/>
            <w:shd w:val="clear" w:color="auto" w:fill="EDEFF2"/>
          </w:tcPr>
          <w:p>
            <w:pPr>
              <w:keepNext w:val="0"/>
              <w:spacing w:after="20"/>
            </w:pPr>
            <w:r>
              <w:rPr>
                <w:b/>
                <w:sz w:val="17"/>
              </w:rPr>
              <w:t>ID</w:t>
            </w:r>
          </w:p>
        </w:tc>
        <w:tc>
          <w:tcPr>
            <w:tcW w:type="dxa" w:w="2059"/>
            <w:shd w:val="clear" w:color="auto" w:fill="EDEFF2"/>
          </w:tcPr>
          <w:p>
            <w:pPr>
              <w:keepNext w:val="0"/>
              <w:spacing w:after="20"/>
            </w:pPr>
            <w:r>
              <w:rPr>
                <w:b/>
                <w:sz w:val="17"/>
              </w:rPr>
              <w:t>Driver</w:t>
            </w:r>
          </w:p>
        </w:tc>
        <w:tc>
          <w:tcPr>
            <w:tcW w:type="dxa" w:w="2808"/>
            <w:shd w:val="clear" w:color="auto" w:fill="EDEFF2"/>
          </w:tcPr>
          <w:p>
            <w:pPr>
              <w:keepNext w:val="0"/>
              <w:spacing w:after="20"/>
            </w:pPr>
            <w:r>
              <w:rPr>
                <w:b/>
                <w:sz w:val="17"/>
              </w:rPr>
              <w:t>Importancia (quién la sostiene)</w:t>
            </w:r>
          </w:p>
        </w:tc>
        <w:tc>
          <w:tcPr>
            <w:tcW w:type="dxa" w:w="2902"/>
            <w:shd w:val="clear" w:color="auto" w:fill="EDEFF2"/>
          </w:tcPr>
          <w:p>
            <w:pPr>
              <w:keepNext w:val="0"/>
              <w:spacing w:after="20"/>
            </w:pPr>
            <w:r>
              <w:rPr>
                <w:b/>
                <w:sz w:val="17"/>
              </w:rPr>
              <w:t>Dificultad (por qué)</w:t>
            </w:r>
          </w:p>
        </w:tc>
        <w:tc>
          <w:tcPr>
            <w:tcW w:type="dxa" w:w="936"/>
            <w:shd w:val="clear" w:color="auto" w:fill="EDEFF2"/>
          </w:tcPr>
          <w:p>
            <w:pPr>
              <w:keepNext w:val="0"/>
              <w:spacing w:after="20"/>
            </w:pPr>
            <w:r>
              <w:rPr>
                <w:b/>
                <w:sz w:val="17"/>
              </w:rPr>
              <w:t>Par</w:t>
            </w:r>
          </w:p>
        </w:tc>
      </w:tr>
      <w:tr>
        <w:tc>
          <w:tcPr>
            <w:tcW w:type="dxa" w:w="655"/>
          </w:tcPr>
          <w:p>
            <w:pPr>
              <w:spacing w:after="20"/>
            </w:pPr>
            <w:r>
              <w:rPr>
                <w:b w:val="0"/>
                <w:sz w:val="17"/>
              </w:rPr>
              <w:t>AC-01</w:t>
            </w:r>
          </w:p>
        </w:tc>
        <w:tc>
          <w:tcPr>
            <w:tcW w:type="dxa" w:w="2059"/>
          </w:tcPr>
          <w:p>
            <w:pPr>
              <w:spacing w:after="20"/>
            </w:pPr>
            <w:r>
              <w:rPr>
                <w:b w:val="0"/>
                <w:sz w:val="17"/>
              </w:rPr>
              <w:t>Validación &lt; 500 ms / &lt; 2 s</w:t>
            </w:r>
          </w:p>
        </w:tc>
        <w:tc>
          <w:tcPr>
            <w:tcW w:type="dxa" w:w="2808"/>
          </w:tcPr>
          <w:p>
            <w:pPr>
              <w:spacing w:after="20"/>
            </w:pPr>
            <w:r>
              <w:rPr>
                <w:b/>
                <w:sz w:val="17"/>
              </w:rPr>
              <w:t>A</w:t>
            </w:r>
            <w:r>
              <w:rPr>
                <w:b w:val="0"/>
                <w:sz w:val="17"/>
              </w:rPr>
              <w:t xml:space="preserve"> — STK-03: evita el error fatal del escenario 3</w:t>
            </w:r>
          </w:p>
        </w:tc>
        <w:tc>
          <w:tcPr>
            <w:tcW w:type="dxa" w:w="2902"/>
          </w:tcPr>
          <w:p>
            <w:pPr>
              <w:spacing w:after="20"/>
            </w:pPr>
            <w:r>
              <w:rPr>
                <w:b/>
                <w:sz w:val="17"/>
              </w:rPr>
              <w:t>A</w:t>
            </w:r>
            <w:r>
              <w:rPr>
                <w:b w:val="0"/>
                <w:sz w:val="17"/>
              </w:rPr>
              <w:t xml:space="preserve"> — el número con red degradada y equipo mixto</w:t>
            </w:r>
          </w:p>
        </w:tc>
        <w:tc>
          <w:tcPr>
            <w:tcW w:type="dxa" w:w="936"/>
          </w:tcPr>
          <w:p>
            <w:pPr>
              <w:spacing w:after="20"/>
            </w:pPr>
            <w:r>
              <w:rPr>
                <w:b/>
                <w:sz w:val="17"/>
              </w:rPr>
              <w:t>(A, A)</w:t>
            </w:r>
          </w:p>
        </w:tc>
      </w:tr>
      <w:tr>
        <w:tc>
          <w:tcPr>
            <w:tcW w:type="dxa" w:w="655"/>
          </w:tcPr>
          <w:p>
            <w:pPr>
              <w:spacing w:after="20"/>
            </w:pPr>
            <w:r>
              <w:rPr>
                <w:b w:val="0"/>
                <w:sz w:val="17"/>
              </w:rPr>
              <w:t>AC-02</w:t>
            </w:r>
          </w:p>
        </w:tc>
        <w:tc>
          <w:tcPr>
            <w:tcW w:type="dxa" w:w="2059"/>
          </w:tcPr>
          <w:p>
            <w:pPr>
              <w:spacing w:after="20"/>
            </w:pPr>
            <w:r>
              <w:rPr>
                <w:b w:val="0"/>
                <w:sz w:val="17"/>
              </w:rPr>
              <w:t>Offline ≥ 4 h con reconciliación</w:t>
            </w:r>
          </w:p>
        </w:tc>
        <w:tc>
          <w:tcPr>
            <w:tcW w:type="dxa" w:w="2808"/>
          </w:tcPr>
          <w:p>
            <w:pPr>
              <w:spacing w:after="20"/>
            </w:pPr>
            <w:r>
              <w:rPr>
                <w:b/>
                <w:sz w:val="17"/>
              </w:rPr>
              <w:t>A</w:t>
            </w:r>
            <w:r>
              <w:rPr>
                <w:b w:val="0"/>
                <w:sz w:val="17"/>
              </w:rPr>
              <w:t xml:space="preserve"> — STK-02/STK-03: sin esto la quimioterapia se detiene</w:t>
            </w:r>
          </w:p>
        </w:tc>
        <w:tc>
          <w:tcPr>
            <w:tcW w:type="dxa" w:w="2902"/>
          </w:tcPr>
          <w:p>
            <w:pPr>
              <w:spacing w:after="20"/>
            </w:pPr>
            <w:r>
              <w:rPr>
                <w:b/>
                <w:sz w:val="17"/>
              </w:rPr>
              <w:t>A</w:t>
            </w:r>
            <w:r>
              <w:rPr>
                <w:b w:val="0"/>
                <w:sz w:val="17"/>
              </w:rPr>
              <w:t xml:space="preserve"> — reconciliar sin duplicar es un problema de consistencia distribuida</w:t>
            </w:r>
          </w:p>
        </w:tc>
        <w:tc>
          <w:tcPr>
            <w:tcW w:type="dxa" w:w="936"/>
          </w:tcPr>
          <w:p>
            <w:pPr>
              <w:spacing w:after="20"/>
            </w:pPr>
            <w:r>
              <w:rPr>
                <w:b/>
                <w:sz w:val="17"/>
              </w:rPr>
              <w:t>(A, A)</w:t>
            </w:r>
          </w:p>
        </w:tc>
      </w:tr>
      <w:tr>
        <w:tc>
          <w:tcPr>
            <w:tcW w:type="dxa" w:w="655"/>
          </w:tcPr>
          <w:p>
            <w:pPr>
              <w:spacing w:after="20"/>
            </w:pPr>
            <w:r>
              <w:rPr>
                <w:b w:val="0"/>
                <w:sz w:val="17"/>
              </w:rPr>
              <w:t>AC-03</w:t>
            </w:r>
          </w:p>
        </w:tc>
        <w:tc>
          <w:tcPr>
            <w:tcW w:type="dxa" w:w="2059"/>
          </w:tcPr>
          <w:p>
            <w:pPr>
              <w:spacing w:after="20"/>
            </w:pPr>
            <w:r>
              <w:rPr>
                <w:b w:val="0"/>
                <w:sz w:val="17"/>
              </w:rPr>
              <w:t>Inmutabilidad y trazabilidad total</w:t>
            </w:r>
          </w:p>
        </w:tc>
        <w:tc>
          <w:tcPr>
            <w:tcW w:type="dxa" w:w="2808"/>
          </w:tcPr>
          <w:p>
            <w:pPr>
              <w:spacing w:after="20"/>
            </w:pPr>
            <w:r>
              <w:rPr>
                <w:b/>
                <w:sz w:val="17"/>
              </w:rPr>
              <w:t>A</w:t>
            </w:r>
            <w:r>
              <w:rPr>
                <w:b w:val="0"/>
                <w:sz w:val="17"/>
              </w:rPr>
              <w:t xml:space="preserve"> — STK-11: el proyecto nace de auditorías fallidas</w:t>
            </w:r>
          </w:p>
        </w:tc>
        <w:tc>
          <w:tcPr>
            <w:tcW w:type="dxa" w:w="2902"/>
          </w:tcPr>
          <w:p>
            <w:pPr>
              <w:spacing w:after="20"/>
            </w:pPr>
            <w:r>
              <w:rPr>
                <w:b/>
                <w:sz w:val="17"/>
              </w:rPr>
              <w:t>M</w:t>
            </w:r>
            <w:r>
              <w:rPr>
                <w:b w:val="0"/>
                <w:sz w:val="17"/>
              </w:rPr>
              <w:t xml:space="preserve"> — bitácora inmutable es patrón conocido; el reto es no degradar</w:t>
            </w:r>
          </w:p>
        </w:tc>
        <w:tc>
          <w:tcPr>
            <w:tcW w:type="dxa" w:w="936"/>
          </w:tcPr>
          <w:p>
            <w:pPr>
              <w:spacing w:after="20"/>
            </w:pPr>
            <w:r>
              <w:rPr>
                <w:b w:val="0"/>
                <w:sz w:val="17"/>
              </w:rPr>
              <w:t>(A, M)</w:t>
            </w:r>
          </w:p>
        </w:tc>
      </w:tr>
      <w:tr>
        <w:tc>
          <w:tcPr>
            <w:tcW w:type="dxa" w:w="655"/>
          </w:tcPr>
          <w:p>
            <w:pPr>
              <w:spacing w:after="20"/>
            </w:pPr>
            <w:r>
              <w:rPr>
                <w:b w:val="0"/>
                <w:sz w:val="17"/>
              </w:rPr>
              <w:t>AC-04</w:t>
            </w:r>
          </w:p>
        </w:tc>
        <w:tc>
          <w:tcPr>
            <w:tcW w:type="dxa" w:w="2059"/>
          </w:tcPr>
          <w:p>
            <w:pPr>
              <w:spacing w:after="20"/>
            </w:pPr>
            <w:r>
              <w:rPr>
                <w:b w:val="0"/>
                <w:sz w:val="17"/>
              </w:rPr>
              <w:t>Confidencialidad ABAC con excepción</w:t>
            </w:r>
          </w:p>
        </w:tc>
        <w:tc>
          <w:tcPr>
            <w:tcW w:type="dxa" w:w="2808"/>
          </w:tcPr>
          <w:p>
            <w:pPr>
              <w:spacing w:after="20"/>
            </w:pPr>
            <w:r>
              <w:rPr>
                <w:b/>
                <w:sz w:val="17"/>
              </w:rPr>
              <w:t>A</w:t>
            </w:r>
            <w:r>
              <w:rPr>
                <w:b w:val="0"/>
                <w:sz w:val="17"/>
              </w:rPr>
              <w:t xml:space="preserve"> — STK-06: ley + estigma de VIH/cáncer</w:t>
            </w:r>
          </w:p>
        </w:tc>
        <w:tc>
          <w:tcPr>
            <w:tcW w:type="dxa" w:w="2902"/>
          </w:tcPr>
          <w:p>
            <w:pPr>
              <w:spacing w:after="20"/>
            </w:pPr>
            <w:r>
              <w:rPr>
                <w:b/>
                <w:sz w:val="17"/>
              </w:rPr>
              <w:t>M</w:t>
            </w:r>
            <w:r>
              <w:rPr>
                <w:b w:val="0"/>
                <w:sz w:val="17"/>
              </w:rPr>
              <w:t xml:space="preserve"> — ABAC es patrón establecido</w:t>
            </w:r>
          </w:p>
        </w:tc>
        <w:tc>
          <w:tcPr>
            <w:tcW w:type="dxa" w:w="936"/>
          </w:tcPr>
          <w:p>
            <w:pPr>
              <w:spacing w:after="20"/>
            </w:pPr>
            <w:r>
              <w:rPr>
                <w:b w:val="0"/>
                <w:sz w:val="17"/>
              </w:rPr>
              <w:t>(A, M)</w:t>
            </w:r>
          </w:p>
        </w:tc>
      </w:tr>
      <w:tr>
        <w:tc>
          <w:tcPr>
            <w:tcW w:type="dxa" w:w="655"/>
          </w:tcPr>
          <w:p>
            <w:pPr>
              <w:spacing w:after="20"/>
            </w:pPr>
            <w:r>
              <w:rPr>
                <w:b w:val="0"/>
                <w:sz w:val="17"/>
              </w:rPr>
              <w:t>AC-05</w:t>
            </w:r>
          </w:p>
        </w:tc>
        <w:tc>
          <w:tcPr>
            <w:tcW w:type="dxa" w:w="2059"/>
          </w:tcPr>
          <w:p>
            <w:pPr>
              <w:spacing w:after="20"/>
            </w:pPr>
            <w:r>
              <w:rPr>
                <w:b w:val="0"/>
                <w:sz w:val="17"/>
              </w:rPr>
              <w:t>Pico de 10x con presupuesto fijo</w:t>
            </w:r>
          </w:p>
        </w:tc>
        <w:tc>
          <w:tcPr>
            <w:tcW w:type="dxa" w:w="2808"/>
          </w:tcPr>
          <w:p>
            <w:pPr>
              <w:spacing w:after="20"/>
            </w:pPr>
            <w:r>
              <w:rPr>
                <w:b/>
                <w:sz w:val="17"/>
              </w:rPr>
              <w:t>A</w:t>
            </w:r>
            <w:r>
              <w:rPr>
                <w:b w:val="0"/>
                <w:sz w:val="17"/>
              </w:rPr>
              <w:t xml:space="preserve"> — STK-13: el lunes 8:30 ya colapsó una vez</w:t>
            </w:r>
          </w:p>
        </w:tc>
        <w:tc>
          <w:tcPr>
            <w:tcW w:type="dxa" w:w="2902"/>
          </w:tcPr>
          <w:p>
            <w:pPr>
              <w:spacing w:after="20"/>
            </w:pPr>
            <w:r>
              <w:rPr>
                <w:b/>
                <w:sz w:val="17"/>
              </w:rPr>
              <w:t>A</w:t>
            </w:r>
            <w:r>
              <w:rPr>
                <w:b w:val="0"/>
                <w:sz w:val="17"/>
              </w:rPr>
              <w:t xml:space="preserve"> — sin autoescalado ni hardware nuevo: solo arquitectura</w:t>
            </w:r>
          </w:p>
        </w:tc>
        <w:tc>
          <w:tcPr>
            <w:tcW w:type="dxa" w:w="936"/>
          </w:tcPr>
          <w:p>
            <w:pPr>
              <w:spacing w:after="20"/>
            </w:pPr>
            <w:r>
              <w:rPr>
                <w:b/>
                <w:sz w:val="17"/>
              </w:rPr>
              <w:t>(A, A)</w:t>
            </w:r>
          </w:p>
        </w:tc>
      </w:tr>
      <w:tr>
        <w:tc>
          <w:tcPr>
            <w:tcW w:type="dxa" w:w="655"/>
          </w:tcPr>
          <w:p>
            <w:pPr>
              <w:spacing w:after="20"/>
            </w:pPr>
            <w:r>
              <w:rPr>
                <w:b w:val="0"/>
                <w:sz w:val="17"/>
              </w:rPr>
              <w:t>AC-06</w:t>
            </w:r>
          </w:p>
        </w:tc>
        <w:tc>
          <w:tcPr>
            <w:tcW w:type="dxa" w:w="2059"/>
          </w:tcPr>
          <w:p>
            <w:pPr>
              <w:spacing w:after="20"/>
            </w:pPr>
            <w:r>
              <w:rPr>
                <w:b w:val="0"/>
                <w:sz w:val="17"/>
              </w:rPr>
              <w:t>Interoperabilidad legacy + nacional</w:t>
            </w:r>
          </w:p>
        </w:tc>
        <w:tc>
          <w:tcPr>
            <w:tcW w:type="dxa" w:w="2808"/>
          </w:tcPr>
          <w:p>
            <w:pPr>
              <w:spacing w:after="20"/>
            </w:pPr>
            <w:r>
              <w:rPr>
                <w:b/>
                <w:sz w:val="17"/>
              </w:rPr>
              <w:t>A</w:t>
            </w:r>
            <w:r>
              <w:rPr>
                <w:b w:val="0"/>
                <w:sz w:val="17"/>
              </w:rPr>
              <w:t xml:space="preserve"> — STK-07: plazo legal de 24 h</w:t>
            </w:r>
          </w:p>
        </w:tc>
        <w:tc>
          <w:tcPr>
            <w:tcW w:type="dxa" w:w="2902"/>
          </w:tcPr>
          <w:p>
            <w:pPr>
              <w:spacing w:after="20"/>
            </w:pPr>
            <w:r>
              <w:rPr>
                <w:b/>
                <w:sz w:val="17"/>
              </w:rPr>
              <w:t>M</w:t>
            </w:r>
            <w:r>
              <w:rPr>
                <w:b w:val="0"/>
                <w:sz w:val="17"/>
              </w:rPr>
              <w:t xml:space="preserve"> — cola local con reintento en ventana es patrón estándar</w:t>
            </w:r>
          </w:p>
        </w:tc>
        <w:tc>
          <w:tcPr>
            <w:tcW w:type="dxa" w:w="936"/>
          </w:tcPr>
          <w:p>
            <w:pPr>
              <w:spacing w:after="20"/>
            </w:pPr>
            <w:r>
              <w:rPr>
                <w:b w:val="0"/>
                <w:sz w:val="17"/>
              </w:rPr>
              <w:t>(A, M)</w:t>
            </w:r>
          </w:p>
        </w:tc>
      </w:tr>
      <w:tr>
        <w:tc>
          <w:tcPr>
            <w:tcW w:type="dxa" w:w="655"/>
          </w:tcPr>
          <w:p>
            <w:pPr>
              <w:spacing w:after="20"/>
            </w:pPr>
            <w:r>
              <w:rPr>
                <w:b w:val="0"/>
                <w:sz w:val="17"/>
              </w:rPr>
              <w:t>AC-07</w:t>
            </w:r>
          </w:p>
        </w:tc>
        <w:tc>
          <w:tcPr>
            <w:tcW w:type="dxa" w:w="2059"/>
          </w:tcPr>
          <w:p>
            <w:pPr>
              <w:spacing w:after="20"/>
            </w:pPr>
            <w:r>
              <w:rPr>
                <w:b w:val="0"/>
                <w:sz w:val="17"/>
              </w:rPr>
              <w:t>Mantenibilidad por el equipo interno</w:t>
            </w:r>
          </w:p>
        </w:tc>
        <w:tc>
          <w:tcPr>
            <w:tcW w:type="dxa" w:w="2808"/>
          </w:tcPr>
          <w:p>
            <w:pPr>
              <w:spacing w:after="20"/>
            </w:pPr>
            <w:r>
              <w:rPr>
                <w:b/>
                <w:sz w:val="17"/>
              </w:rPr>
              <w:t>A</w:t>
            </w:r>
            <w:r>
              <w:rPr>
                <w:b w:val="0"/>
                <w:sz w:val="17"/>
              </w:rPr>
              <w:t xml:space="preserve"> — STK-08: sin esto el sistema muere a los 12 meses</w:t>
            </w:r>
          </w:p>
        </w:tc>
        <w:tc>
          <w:tcPr>
            <w:tcW w:type="dxa" w:w="2902"/>
          </w:tcPr>
          <w:p>
            <w:pPr>
              <w:spacing w:after="20"/>
            </w:pPr>
            <w:r>
              <w:rPr>
                <w:b/>
                <w:sz w:val="17"/>
              </w:rPr>
              <w:t>M</w:t>
            </w:r>
            <w:r>
              <w:rPr>
                <w:b w:val="0"/>
                <w:sz w:val="17"/>
              </w:rPr>
              <w:t xml:space="preserve"> — la decisión dura es temprana (stack, módulos)</w:t>
            </w:r>
          </w:p>
        </w:tc>
        <w:tc>
          <w:tcPr>
            <w:tcW w:type="dxa" w:w="936"/>
          </w:tcPr>
          <w:p>
            <w:pPr>
              <w:spacing w:after="20"/>
            </w:pPr>
            <w:r>
              <w:rPr>
                <w:b w:val="0"/>
                <w:sz w:val="17"/>
              </w:rPr>
              <w:t>(A, M)</w:t>
            </w:r>
          </w:p>
        </w:tc>
      </w:tr>
      <w:tr>
        <w:tc>
          <w:tcPr>
            <w:tcW w:type="dxa" w:w="655"/>
          </w:tcPr>
          <w:p>
            <w:pPr>
              <w:spacing w:after="20"/>
            </w:pPr>
            <w:r>
              <w:rPr>
                <w:b w:val="0"/>
                <w:sz w:val="17"/>
              </w:rPr>
              <w:t>AC-08</w:t>
            </w:r>
          </w:p>
        </w:tc>
        <w:tc>
          <w:tcPr>
            <w:tcW w:type="dxa" w:w="2059"/>
          </w:tcPr>
          <w:p>
            <w:pPr>
              <w:spacing w:after="20"/>
            </w:pPr>
            <w:r>
              <w:rPr>
                <w:b w:val="0"/>
                <w:sz w:val="17"/>
              </w:rPr>
              <w:t>Integridad criptográfica de sensores</w:t>
            </w:r>
          </w:p>
        </w:tc>
        <w:tc>
          <w:tcPr>
            <w:tcW w:type="dxa" w:w="2808"/>
          </w:tcPr>
          <w:p>
            <w:pPr>
              <w:spacing w:after="20"/>
            </w:pPr>
            <w:r>
              <w:rPr>
                <w:b/>
                <w:sz w:val="17"/>
              </w:rPr>
              <w:t>M</w:t>
            </w:r>
            <w:r>
              <w:rPr>
                <w:b w:val="0"/>
                <w:sz w:val="17"/>
              </w:rPr>
              <w:t xml:space="preserve"> — STK-11: parcialmente subsumido por AC-03</w:t>
            </w:r>
          </w:p>
        </w:tc>
        <w:tc>
          <w:tcPr>
            <w:tcW w:type="dxa" w:w="2902"/>
          </w:tcPr>
          <w:p>
            <w:pPr>
              <w:spacing w:after="20"/>
            </w:pPr>
            <w:r>
              <w:rPr>
                <w:b/>
                <w:sz w:val="17"/>
              </w:rPr>
              <w:t>M</w:t>
            </w:r>
            <w:r>
              <w:rPr>
                <w:b w:val="0"/>
                <w:sz w:val="17"/>
              </w:rPr>
              <w:t xml:space="preserve"> — hash encadenado es técnica conocida</w:t>
            </w:r>
          </w:p>
        </w:tc>
        <w:tc>
          <w:tcPr>
            <w:tcW w:type="dxa" w:w="936"/>
          </w:tcPr>
          <w:p>
            <w:pPr>
              <w:spacing w:after="20"/>
            </w:pPr>
            <w:r>
              <w:rPr>
                <w:b w:val="0"/>
                <w:sz w:val="17"/>
              </w:rPr>
              <w:t>(M, M)</w:t>
            </w:r>
          </w:p>
        </w:tc>
      </w:tr>
    </w:tbl>
    <w:p>
      <w:pPr>
        <w:spacing w:after="40"/>
      </w:pPr>
    </w:p>
    <w:p>
      <w:pPr>
        <w:spacing w:after="120"/>
      </w:pPr>
      <w:r>
        <w:rPr>
          <w:b w:val="0"/>
          <w:sz w:val="21"/>
        </w:rPr>
        <w:t xml:space="preserve">Tres quedan en </w:t>
      </w:r>
      <w:r>
        <w:rPr>
          <w:b/>
          <w:sz w:val="21"/>
        </w:rPr>
        <w:t>(A, A)</w:t>
      </w:r>
      <w:r>
        <w:rPr>
          <w:b w:val="0"/>
          <w:sz w:val="21"/>
        </w:rPr>
        <w:t xml:space="preserve"> y cuatro en </w:t>
      </w:r>
      <w:r>
        <w:rPr>
          <w:b/>
          <w:sz w:val="21"/>
        </w:rPr>
        <w:t>(A, M)</w:t>
      </w:r>
      <w:r>
        <w:rPr>
          <w:b w:val="0"/>
          <w:sz w:val="21"/>
        </w:rPr>
        <w:t xml:space="preserve">: para los dos lugares restantes se desempata </w:t>
      </w:r>
      <w:r>
        <w:rPr>
          <w:b/>
          <w:sz w:val="21"/>
        </w:rPr>
        <w:t>con el contexto guatemalteco</w:t>
      </w:r>
      <w:r>
        <w:rPr>
          <w:b w:val="0"/>
          <w:sz w:val="21"/>
        </w:rPr>
        <w:t>, que es exactamente lo que la rúbrica pide.</w:t>
      </w:r>
    </w:p>
    <w:p>
      <w:pPr>
        <w:pStyle w:val="Heading3"/>
      </w:pPr>
      <w:r>
        <w:rPr>
          <w:color w:val="000000"/>
        </w:rPr>
      </w:r>
      <w:r>
        <w:rPr>
          <w:b/>
          <w:color w:val="000000"/>
        </w:rPr>
        <w:t>Los 5 seleccionados</w:t>
      </w:r>
    </w:p>
    <w:tbl>
      <w:tblPr>
        <w:tblStyle w:val="TableGrid"/>
        <w:jc w:val="center"/>
        <w:tblLayout w:type="fixed"/>
        <w:tblLook w:firstColumn="1" w:firstRow="1" w:lastColumn="0" w:lastRow="0" w:noHBand="0" w:noVBand="1" w:val="04A0"/>
        <w:tblW w:type="dxa" w:w="9360"/>
      </w:tblPr>
      <w:tblGrid>
        <w:gridCol w:w="374"/>
        <w:gridCol w:w="749"/>
        <w:gridCol w:w="2246"/>
        <w:gridCol w:w="5990"/>
      </w:tblGrid>
      <w:tr>
        <w:trPr>
          <w:tblHeader w:val="true"/>
        </w:trPr>
        <w:tc>
          <w:tcPr>
            <w:tcW w:type="dxa" w:w="374"/>
            <w:shd w:val="clear" w:color="auto" w:fill="EDEFF2"/>
          </w:tcPr>
          <w:p>
            <w:pPr>
              <w:keepNext w:val="0"/>
              <w:spacing w:after="20"/>
            </w:pPr>
            <w:r>
              <w:rPr>
                <w:b/>
                <w:sz w:val="17"/>
              </w:rPr>
              <w:t>#</w:t>
            </w:r>
          </w:p>
        </w:tc>
        <w:tc>
          <w:tcPr>
            <w:tcW w:type="dxa" w:w="749"/>
            <w:shd w:val="clear" w:color="auto" w:fill="EDEFF2"/>
          </w:tcPr>
          <w:p>
            <w:pPr>
              <w:keepNext w:val="0"/>
              <w:spacing w:after="20"/>
            </w:pPr>
            <w:r>
              <w:rPr>
                <w:b/>
                <w:sz w:val="17"/>
              </w:rPr>
              <w:t>ID</w:t>
            </w:r>
          </w:p>
        </w:tc>
        <w:tc>
          <w:tcPr>
            <w:tcW w:type="dxa" w:w="2246"/>
            <w:shd w:val="clear" w:color="auto" w:fill="EDEFF2"/>
          </w:tcPr>
          <w:p>
            <w:pPr>
              <w:keepNext w:val="0"/>
              <w:spacing w:after="20"/>
            </w:pPr>
            <w:r>
              <w:rPr>
                <w:b/>
                <w:sz w:val="17"/>
              </w:rPr>
              <w:t>Driver</w:t>
            </w:r>
          </w:p>
        </w:tc>
        <w:tc>
          <w:tcPr>
            <w:tcW w:type="dxa" w:w="5990"/>
            <w:shd w:val="clear" w:color="auto" w:fill="EDEFF2"/>
          </w:tcPr>
          <w:p>
            <w:pPr>
              <w:keepNext w:val="0"/>
              <w:spacing w:after="20"/>
            </w:pPr>
            <w:r>
              <w:rPr>
                <w:b/>
                <w:sz w:val="17"/>
              </w:rPr>
              <w:t>Justificación en el contexto guatemalteco</w:t>
            </w:r>
          </w:p>
        </w:tc>
      </w:tr>
      <w:tr>
        <w:tc>
          <w:tcPr>
            <w:tcW w:type="dxa" w:w="374"/>
          </w:tcPr>
          <w:p>
            <w:pPr>
              <w:spacing w:after="20"/>
            </w:pPr>
            <w:r>
              <w:rPr>
                <w:b w:val="0"/>
                <w:sz w:val="17"/>
              </w:rPr>
              <w:t>1</w:t>
            </w:r>
          </w:p>
        </w:tc>
        <w:tc>
          <w:tcPr>
            <w:tcW w:type="dxa" w:w="749"/>
          </w:tcPr>
          <w:p>
            <w:pPr>
              <w:spacing w:after="20"/>
            </w:pPr>
            <w:r>
              <w:rPr>
                <w:b w:val="0"/>
                <w:sz w:val="17"/>
              </w:rPr>
              <w:t>AC-02</w:t>
            </w:r>
          </w:p>
        </w:tc>
        <w:tc>
          <w:tcPr>
            <w:tcW w:type="dxa" w:w="2246"/>
          </w:tcPr>
          <w:p>
            <w:pPr>
              <w:spacing w:after="20"/>
            </w:pPr>
            <w:r>
              <w:rPr>
                <w:b w:val="0"/>
                <w:sz w:val="17"/>
              </w:rPr>
              <w:t>Operación offline ≥ 4 h con reconciliación</w:t>
            </w:r>
          </w:p>
        </w:tc>
        <w:tc>
          <w:tcPr>
            <w:tcW w:type="dxa" w:w="5990"/>
          </w:tcPr>
          <w:p>
            <w:pPr>
              <w:spacing w:after="20"/>
            </w:pPr>
            <w:r>
              <w:rPr>
                <w:b/>
                <w:sz w:val="17"/>
              </w:rPr>
              <w:t>Conectividad</w:t>
            </w:r>
            <w:r>
              <w:rPr>
                <w:b w:val="0"/>
                <w:sz w:val="17"/>
              </w:rPr>
              <w:t xml:space="preserve">: el enunciado da Wi-Fi inestable en el sótano y 50 Mbps compartidos — en el contexto local la intermitencia no es un caso raro, es </w:t>
            </w:r>
            <w:r>
              <w:rPr>
                <w:b/>
                <w:sz w:val="17"/>
              </w:rPr>
              <w:t>el estado normal de la red</w:t>
            </w:r>
            <w:r>
              <w:rPr>
                <w:b w:val="0"/>
                <w:sz w:val="17"/>
              </w:rPr>
              <w:t>. Diseñar asumiendo conexión confiable haría el sistema inútil justo donde opera la farmacia</w:t>
            </w:r>
          </w:p>
        </w:tc>
      </w:tr>
      <w:tr>
        <w:tc>
          <w:tcPr>
            <w:tcW w:type="dxa" w:w="374"/>
          </w:tcPr>
          <w:p>
            <w:pPr>
              <w:spacing w:after="20"/>
            </w:pPr>
            <w:r>
              <w:rPr>
                <w:b w:val="0"/>
                <w:sz w:val="17"/>
              </w:rPr>
              <w:t>2</w:t>
            </w:r>
          </w:p>
        </w:tc>
        <w:tc>
          <w:tcPr>
            <w:tcW w:type="dxa" w:w="749"/>
          </w:tcPr>
          <w:p>
            <w:pPr>
              <w:spacing w:after="20"/>
            </w:pPr>
            <w:r>
              <w:rPr>
                <w:b w:val="0"/>
                <w:sz w:val="17"/>
              </w:rPr>
              <w:t>AC-01</w:t>
            </w:r>
          </w:p>
        </w:tc>
        <w:tc>
          <w:tcPr>
            <w:tcW w:type="dxa" w:w="2246"/>
          </w:tcPr>
          <w:p>
            <w:pPr>
              <w:spacing w:after="20"/>
            </w:pPr>
            <w:r>
              <w:rPr>
                <w:b w:val="0"/>
                <w:sz w:val="17"/>
              </w:rPr>
              <w:t>Validación paciente-medicamento &lt; 500 ms / &lt; 2 s</w:t>
            </w:r>
          </w:p>
        </w:tc>
        <w:tc>
          <w:tcPr>
            <w:tcW w:type="dxa" w:w="5990"/>
          </w:tcPr>
          <w:p>
            <w:pPr>
              <w:spacing w:after="20"/>
            </w:pPr>
            <w:r>
              <w:rPr>
                <w:b/>
                <w:sz w:val="17"/>
              </w:rPr>
              <w:t>Dispositivos y red reales</w:t>
            </w:r>
            <w:r>
              <w:rPr>
                <w:b w:val="0"/>
                <w:sz w:val="17"/>
              </w:rPr>
              <w:t>: el número hay que lograrlo en Toughpads Android 9 de 3 GB (gama baja, ya compradas — RE-14) y sobre la red degradada. En otro contexto se resuelve con mejor hardware; acá el hardware es un dato, no una variable</w:t>
            </w:r>
          </w:p>
        </w:tc>
      </w:tr>
      <w:tr>
        <w:tc>
          <w:tcPr>
            <w:tcW w:type="dxa" w:w="374"/>
          </w:tcPr>
          <w:p>
            <w:pPr>
              <w:spacing w:after="20"/>
            </w:pPr>
            <w:r>
              <w:rPr>
                <w:b w:val="0"/>
                <w:sz w:val="17"/>
              </w:rPr>
              <w:t>3</w:t>
            </w:r>
          </w:p>
        </w:tc>
        <w:tc>
          <w:tcPr>
            <w:tcW w:type="dxa" w:w="749"/>
          </w:tcPr>
          <w:p>
            <w:pPr>
              <w:spacing w:after="20"/>
            </w:pPr>
            <w:r>
              <w:rPr>
                <w:b w:val="0"/>
                <w:sz w:val="17"/>
              </w:rPr>
              <w:t>AC-05</w:t>
            </w:r>
          </w:p>
        </w:tc>
        <w:tc>
          <w:tcPr>
            <w:tcW w:type="dxa" w:w="2246"/>
          </w:tcPr>
          <w:p>
            <w:pPr>
              <w:spacing w:after="20"/>
            </w:pPr>
            <w:r>
              <w:rPr>
                <w:b w:val="0"/>
                <w:sz w:val="17"/>
              </w:rPr>
              <w:t>Pico de 10x con presupuesto fijo</w:t>
            </w:r>
          </w:p>
        </w:tc>
        <w:tc>
          <w:tcPr>
            <w:tcW w:type="dxa" w:w="5990"/>
          </w:tcPr>
          <w:p>
            <w:pPr>
              <w:spacing w:after="20"/>
            </w:pPr>
            <w:r>
              <w:rPr>
                <w:b/>
                <w:sz w:val="17"/>
              </w:rPr>
              <w:t>Presupuesto público</w:t>
            </w:r>
            <w:r>
              <w:rPr>
                <w:b w:val="0"/>
                <w:sz w:val="17"/>
              </w:rPr>
              <w:t xml:space="preserve">: no hay autoescalado, no hay nube para lo sensible (RE-02, RE-13) y el presupuesto de un hospital nacional no crece con la demanda. El pico se absorbe </w:t>
            </w:r>
            <w:r>
              <w:rPr>
                <w:b/>
                <w:sz w:val="17"/>
              </w:rPr>
              <w:t>con arquitectura o no se absorbe</w:t>
            </w:r>
          </w:p>
        </w:tc>
      </w:tr>
      <w:tr>
        <w:tc>
          <w:tcPr>
            <w:tcW w:type="dxa" w:w="374"/>
          </w:tcPr>
          <w:p>
            <w:pPr>
              <w:spacing w:after="20"/>
            </w:pPr>
            <w:r>
              <w:rPr>
                <w:b w:val="0"/>
                <w:sz w:val="17"/>
              </w:rPr>
              <w:t>4</w:t>
            </w:r>
          </w:p>
        </w:tc>
        <w:tc>
          <w:tcPr>
            <w:tcW w:type="dxa" w:w="749"/>
          </w:tcPr>
          <w:p>
            <w:pPr>
              <w:spacing w:after="20"/>
            </w:pPr>
            <w:r>
              <w:rPr>
                <w:b w:val="0"/>
                <w:sz w:val="17"/>
              </w:rPr>
              <w:t>AC-07</w:t>
            </w:r>
          </w:p>
        </w:tc>
        <w:tc>
          <w:tcPr>
            <w:tcW w:type="dxa" w:w="2246"/>
          </w:tcPr>
          <w:p>
            <w:pPr>
              <w:spacing w:after="20"/>
            </w:pPr>
            <w:r>
              <w:rPr>
                <w:b w:val="0"/>
                <w:sz w:val="17"/>
              </w:rPr>
              <w:t>Mantenibilidad por el equipo interno</w:t>
            </w:r>
          </w:p>
        </w:tc>
        <w:tc>
          <w:tcPr>
            <w:tcW w:type="dxa" w:w="5990"/>
          </w:tcPr>
          <w:p>
            <w:pPr>
              <w:spacing w:after="20"/>
            </w:pPr>
            <w:r>
              <w:rPr>
                <w:b/>
                <w:sz w:val="17"/>
              </w:rPr>
              <w:t>Capital humano</w:t>
            </w:r>
            <w:r>
              <w:rPr>
                <w:b w:val="0"/>
                <w:sz w:val="17"/>
              </w:rPr>
              <w:t xml:space="preserve">: 3 personas de TI, rotación alta por contratos de 12 meses, y sin dinero para consultoras permanentes ni licencias (RE-03, RE-17). En este contexto, un sistema que solo su constructor puede mantener es un sistema </w:t>
            </w:r>
            <w:r>
              <w:rPr>
                <w:b/>
                <w:sz w:val="17"/>
              </w:rPr>
              <w:t>muerto a mediano plazo</w:t>
            </w:r>
            <w:r>
              <w:rPr>
                <w:b w:val="0"/>
                <w:sz w:val="17"/>
              </w:rPr>
              <w:t xml:space="preserve"> — y condiciona la decisión más temprana de todas: el stack</w:t>
            </w:r>
          </w:p>
        </w:tc>
      </w:tr>
      <w:tr>
        <w:tc>
          <w:tcPr>
            <w:tcW w:type="dxa" w:w="374"/>
          </w:tcPr>
          <w:p>
            <w:pPr>
              <w:spacing w:after="20"/>
            </w:pPr>
            <w:r>
              <w:rPr>
                <w:b w:val="0"/>
                <w:sz w:val="17"/>
              </w:rPr>
              <w:t>5</w:t>
            </w:r>
          </w:p>
        </w:tc>
        <w:tc>
          <w:tcPr>
            <w:tcW w:type="dxa" w:w="749"/>
          </w:tcPr>
          <w:p>
            <w:pPr>
              <w:spacing w:after="20"/>
            </w:pPr>
            <w:r>
              <w:rPr>
                <w:b w:val="0"/>
                <w:sz w:val="17"/>
              </w:rPr>
              <w:t>AC-03</w:t>
            </w:r>
          </w:p>
        </w:tc>
        <w:tc>
          <w:tcPr>
            <w:tcW w:type="dxa" w:w="2246"/>
          </w:tcPr>
          <w:p>
            <w:pPr>
              <w:spacing w:after="20"/>
            </w:pPr>
            <w:r>
              <w:rPr>
                <w:b w:val="0"/>
                <w:sz w:val="17"/>
              </w:rPr>
              <w:t>Inmutabilidad y trazabilidad total</w:t>
            </w:r>
          </w:p>
        </w:tc>
        <w:tc>
          <w:tcPr>
            <w:tcW w:type="dxa" w:w="5990"/>
          </w:tcPr>
          <w:p>
            <w:pPr>
              <w:spacing w:after="20"/>
            </w:pPr>
            <w:r>
              <w:rPr>
                <w:b/>
                <w:sz w:val="17"/>
              </w:rPr>
              <w:t>Marco regulatorio local</w:t>
            </w:r>
            <w:r>
              <w:rPr>
                <w:b w:val="0"/>
                <w:sz w:val="17"/>
              </w:rPr>
              <w:t xml:space="preserve">: la Contraloría audita sin previo aviso y el proyecto </w:t>
            </w:r>
            <w:r>
              <w:rPr>
                <w:b/>
                <w:sz w:val="17"/>
              </w:rPr>
              <w:t>nace</w:t>
            </w:r>
            <w:r>
              <w:rPr>
                <w:b w:val="0"/>
                <w:sz w:val="17"/>
              </w:rPr>
              <w:t xml:space="preserve"> de auditorías fallidas (Q 2.5 M perdidos, registros en papel). En la gestión pública guatemalteca la trazabilidad ante la Contraloría no es un plus: es la supervivencia institucional del proyecto</w:t>
            </w:r>
          </w:p>
        </w:tc>
      </w:tr>
    </w:tbl>
    <w:p>
      <w:pPr>
        <w:spacing w:after="40"/>
      </w:pPr>
    </w:p>
    <w:p>
      <w:pPr>
        <w:spacing w:after="120"/>
      </w:pPr>
      <w:r>
        <w:rPr>
          <w:b/>
          <w:sz w:val="21"/>
        </w:rPr>
        <w:t>Por qué quedaron fuera los otros (A, M)</w:t>
      </w:r>
      <w:r>
        <w:rPr>
          <w:b w:val="0"/>
          <w:sz w:val="21"/>
        </w:rPr>
        <w:t xml:space="preserve"> — el desempate, dicho: AC-04 (ABAC) y AC-06 (interoperabilidad) son de importancia alta pero su dificultad es media </w:t>
      </w:r>
      <w:r>
        <w:rPr>
          <w:b/>
          <w:sz w:val="21"/>
        </w:rPr>
        <w:t>porque se resuelven con patrones establecidos</w:t>
      </w:r>
      <w:r>
        <w:rPr>
          <w:b w:val="0"/>
          <w:sz w:val="21"/>
        </w:rPr>
        <w:t xml:space="preserve"> que condicionan menos la estructura temprana que el stack (AC-07) o la inmutabilidad transversal (AC-03). Y AC-08 queda parcialmente cubierto por la decisión que se tome para AC-03. </w:t>
      </w:r>
      <w:r>
        <w:rPr>
          <w:b/>
          <w:sz w:val="21"/>
        </w:rPr>
        <w:t>Quedar fuera del top 5 no los vuelve opcionales</w:t>
      </w:r>
      <w:r>
        <w:rPr>
          <w:b w:val="0"/>
          <w:sz w:val="21"/>
        </w:rPr>
        <w:t>: siguen siendo drivers y entran a las matrices.</w:t>
      </w:r>
    </w:p>
    <w:p>
      <w:pPr>
        <w:sectPr>
          <w:footerReference w:type="default" r:id="rId16"/>
          <w:pgSz w:w="12240" w:h="15840"/>
          <w:pgMar w:top="1440" w:right="1440" w:bottom="1440" w:left="1440" w:header="720" w:footer="720" w:gutter="0"/>
          <w:cols w:space="720"/>
          <w:docGrid w:linePitch="360"/>
        </w:sectPr>
      </w:pPr>
    </w:p>
    <w:p>
      <w:pPr>
        <w:pStyle w:val="Heading1"/>
      </w:pPr>
      <w:r>
        <w:rPr>
          <w:color w:val="000000"/>
        </w:rPr>
      </w:r>
      <w:r>
        <w:rPr>
          <w:b/>
          <w:color w:val="000000"/>
        </w:rPr>
        <w:t>4. Matrices de trazabilidad · criterio 4 — 10 pts</w:t>
      </w:r>
    </w:p>
    <w:p>
      <w:pPr>
        <w:spacing w:after="120"/>
      </w:pPr>
      <w:r>
        <w:rPr>
          <w:b/>
          <w:sz w:val="21"/>
        </w:rPr>
        <w:t>No son diagramas: son tablas</w:t>
      </w:r>
      <w:r>
        <w:rPr>
          <w:b w:val="0"/>
          <w:sz w:val="21"/>
        </w:rPr>
        <w:t xml:space="preserve">, y su regla común es una sola — *una matriz solo sirve si se lee en los dos sentidos*. Las celdas marcadas son el inventario; </w:t>
      </w:r>
      <w:r>
        <w:rPr>
          <w:b/>
          <w:sz w:val="21"/>
        </w:rPr>
        <w:t>el hallazgo son los huecos</w:t>
      </w:r>
      <w:r>
        <w:rPr>
          <w:b w:val="0"/>
          <w:sz w:val="21"/>
        </w:rPr>
        <w:t>, y todo hueco queda comentado. Los ids son los mismos de las secciones anteriores, sin renumerar: STK-01..13, CDU-01..07, RF-01..37.</w:t>
      </w:r>
    </w:p>
    <w:p>
      <w:pPr>
        <w:pStyle w:val="Heading2"/>
      </w:pPr>
      <w:r>
        <w:rPr>
          <w:color w:val="000000"/>
        </w:rPr>
      </w:r>
      <w:r>
        <w:rPr>
          <w:b/>
          <w:color w:val="000000"/>
        </w:rPr>
        <w:t>4.1 Stakeholders vs. CDU</w:t>
      </w:r>
    </w:p>
    <w:p>
      <w:pPr>
        <w:spacing w:after="120"/>
      </w:pPr>
      <w:r>
        <w:rPr>
          <w:b/>
          <w:sz w:val="21"/>
        </w:rPr>
        <w:t>Celda:</w:t>
      </w:r>
      <w:r>
        <w:rPr>
          <w:b w:val="0"/>
          <w:sz w:val="21"/>
        </w:rPr>
        <w:t xml:space="preserve"> X = participa directamente en el proceso · i = tiene interés en su resultado sin participar.</w:t>
      </w:r>
    </w:p>
    <w:tbl>
      <w:tblPr>
        <w:tblStyle w:val="TableGrid"/>
        <w:jc w:val="center"/>
        <w:tblLayout w:type="fixed"/>
        <w:tblLook w:firstColumn="1" w:firstRow="1" w:lastColumn="0" w:lastRow="0" w:noHBand="0" w:noVBand="1" w:val="04A0"/>
        <w:tblW w:type="dxa" w:w="13535"/>
      </w:tblPr>
      <w:tblGrid>
        <w:gridCol w:w="3113"/>
        <w:gridCol w:w="1489"/>
        <w:gridCol w:w="1489"/>
        <w:gridCol w:w="1489"/>
        <w:gridCol w:w="1489"/>
        <w:gridCol w:w="1489"/>
        <w:gridCol w:w="1489"/>
        <w:gridCol w:w="1489"/>
      </w:tblGrid>
      <w:tr>
        <w:trPr>
          <w:tblHeader w:val="true"/>
        </w:trPr>
        <w:tc>
          <w:tcPr>
            <w:tcW w:type="dxa" w:w="3113"/>
            <w:shd w:val="clear" w:color="auto" w:fill="EDEFF2"/>
          </w:tcPr>
          <w:p>
            <w:pPr>
              <w:keepNext w:val="0"/>
              <w:spacing w:after="20"/>
            </w:pPr>
          </w:p>
        </w:tc>
        <w:tc>
          <w:tcPr>
            <w:tcW w:type="dxa" w:w="1489"/>
            <w:shd w:val="clear" w:color="auto" w:fill="EDEFF2"/>
          </w:tcPr>
          <w:p>
            <w:pPr>
              <w:keepNext w:val="0"/>
              <w:spacing w:after="20"/>
            </w:pPr>
            <w:r>
              <w:rPr>
                <w:b/>
                <w:sz w:val="18"/>
              </w:rPr>
              <w:t>CDU-01 Adquis.</w:t>
            </w:r>
          </w:p>
        </w:tc>
        <w:tc>
          <w:tcPr>
            <w:tcW w:type="dxa" w:w="1489"/>
            <w:shd w:val="clear" w:color="auto" w:fill="EDEFF2"/>
          </w:tcPr>
          <w:p>
            <w:pPr>
              <w:keepNext w:val="0"/>
              <w:spacing w:after="20"/>
            </w:pPr>
            <w:r>
              <w:rPr>
                <w:b/>
                <w:sz w:val="18"/>
              </w:rPr>
              <w:t>CDU-02 Almac.</w:t>
            </w:r>
          </w:p>
        </w:tc>
        <w:tc>
          <w:tcPr>
            <w:tcW w:type="dxa" w:w="1489"/>
            <w:shd w:val="clear" w:color="auto" w:fill="EDEFF2"/>
          </w:tcPr>
          <w:p>
            <w:pPr>
              <w:keepNext w:val="0"/>
              <w:spacing w:after="20"/>
            </w:pPr>
            <w:r>
              <w:rPr>
                <w:b/>
                <w:sz w:val="18"/>
              </w:rPr>
              <w:t>CDU-03 Prescr.</w:t>
            </w:r>
          </w:p>
        </w:tc>
        <w:tc>
          <w:tcPr>
            <w:tcW w:type="dxa" w:w="1489"/>
            <w:shd w:val="clear" w:color="auto" w:fill="EDEFF2"/>
          </w:tcPr>
          <w:p>
            <w:pPr>
              <w:keepNext w:val="0"/>
              <w:spacing w:after="20"/>
            </w:pPr>
            <w:r>
              <w:rPr>
                <w:b/>
                <w:sz w:val="18"/>
              </w:rPr>
              <w:t>CDU-04 Dispen.</w:t>
            </w:r>
          </w:p>
        </w:tc>
        <w:tc>
          <w:tcPr>
            <w:tcW w:type="dxa" w:w="1489"/>
            <w:shd w:val="clear" w:color="auto" w:fill="EDEFF2"/>
          </w:tcPr>
          <w:p>
            <w:pPr>
              <w:keepNext w:val="0"/>
              <w:spacing w:after="20"/>
            </w:pPr>
            <w:r>
              <w:rPr>
                <w:b/>
                <w:sz w:val="18"/>
              </w:rPr>
              <w:t>CDU-05 Admin.</w:t>
            </w:r>
          </w:p>
        </w:tc>
        <w:tc>
          <w:tcPr>
            <w:tcW w:type="dxa" w:w="1489"/>
            <w:shd w:val="clear" w:color="auto" w:fill="EDEFF2"/>
          </w:tcPr>
          <w:p>
            <w:pPr>
              <w:keepNext w:val="0"/>
              <w:spacing w:after="20"/>
            </w:pPr>
            <w:r>
              <w:rPr>
                <w:b/>
                <w:sz w:val="18"/>
              </w:rPr>
              <w:t>CDU-06 Seguim.</w:t>
            </w:r>
          </w:p>
        </w:tc>
        <w:tc>
          <w:tcPr>
            <w:tcW w:type="dxa" w:w="1489"/>
            <w:shd w:val="clear" w:color="auto" w:fill="EDEFF2"/>
          </w:tcPr>
          <w:p>
            <w:pPr>
              <w:keepNext w:val="0"/>
              <w:spacing w:after="20"/>
            </w:pPr>
            <w:r>
              <w:rPr>
                <w:b/>
                <w:sz w:val="18"/>
              </w:rPr>
              <w:t>CDU-07 Control</w:t>
            </w:r>
          </w:p>
        </w:tc>
      </w:tr>
      <w:tr>
        <w:tc>
          <w:tcPr>
            <w:tcW w:type="dxa" w:w="3113"/>
          </w:tcPr>
          <w:p>
            <w:pPr>
              <w:spacing w:after="20"/>
            </w:pPr>
            <w:r>
              <w:rPr>
                <w:b w:val="0"/>
                <w:sz w:val="18"/>
              </w:rPr>
              <w:t>STK-01 Médico tratante</w:t>
            </w: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X</w:t>
            </w:r>
          </w:p>
        </w:tc>
        <w:tc>
          <w:tcPr>
            <w:tcW w:type="dxa" w:w="1489"/>
          </w:tcPr>
          <w:p>
            <w:pPr>
              <w:spacing w:after="20"/>
              <w:jc w:val="center"/>
            </w:pPr>
          </w:p>
        </w:tc>
      </w:tr>
      <w:tr>
        <w:tc>
          <w:tcPr>
            <w:tcW w:type="dxa" w:w="3113"/>
          </w:tcPr>
          <w:p>
            <w:pPr>
              <w:spacing w:after="20"/>
            </w:pPr>
            <w:r>
              <w:rPr>
                <w:b w:val="0"/>
                <w:sz w:val="18"/>
              </w:rPr>
              <w:t>STK-02 Farmacéutico</w:t>
            </w:r>
          </w:p>
        </w:tc>
        <w:tc>
          <w:tcPr>
            <w:tcW w:type="dxa" w:w="1489"/>
          </w:tcPr>
          <w:p>
            <w:pPr>
              <w:spacing w:after="20"/>
              <w:jc w:val="center"/>
            </w:pPr>
            <w:r>
              <w:rPr>
                <w:b w:val="0"/>
                <w:sz w:val="18"/>
              </w:rPr>
              <w:t>i</w:t>
            </w:r>
          </w:p>
        </w:tc>
        <w:tc>
          <w:tcPr>
            <w:tcW w:type="dxa" w:w="1489"/>
          </w:tcPr>
          <w:p>
            <w:pPr>
              <w:spacing w:after="20"/>
              <w:jc w:val="center"/>
            </w:pPr>
            <w:r>
              <w:rPr>
                <w:b w:val="0"/>
                <w:sz w:val="18"/>
              </w:rPr>
              <w:t>X</w:t>
            </w:r>
          </w:p>
        </w:tc>
        <w:tc>
          <w:tcPr>
            <w:tcW w:type="dxa" w:w="1489"/>
          </w:tcPr>
          <w:p>
            <w:pPr>
              <w:spacing w:after="20"/>
              <w:jc w:val="center"/>
            </w:pP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p>
        </w:tc>
        <w:tc>
          <w:tcPr>
            <w:tcW w:type="dxa" w:w="1489"/>
          </w:tcPr>
          <w:p>
            <w:pPr>
              <w:spacing w:after="20"/>
              <w:jc w:val="center"/>
            </w:pPr>
          </w:p>
        </w:tc>
      </w:tr>
      <w:tr>
        <w:tc>
          <w:tcPr>
            <w:tcW w:type="dxa" w:w="3113"/>
          </w:tcPr>
          <w:p>
            <w:pPr>
              <w:spacing w:after="20"/>
            </w:pPr>
            <w:r>
              <w:rPr>
                <w:b w:val="0"/>
                <w:sz w:val="18"/>
              </w:rPr>
              <w:t>STK-03 Enfermero</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p>
        </w:tc>
      </w:tr>
      <w:tr>
        <w:tc>
          <w:tcPr>
            <w:tcW w:type="dxa" w:w="3113"/>
          </w:tcPr>
          <w:p>
            <w:pPr>
              <w:spacing w:after="20"/>
            </w:pPr>
            <w:r>
              <w:rPr>
                <w:b w:val="0"/>
                <w:sz w:val="18"/>
              </w:rPr>
              <w:t>STK-04 Director Admin.</w:t>
            </w: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r>
      <w:tr>
        <w:tc>
          <w:tcPr>
            <w:tcW w:type="dxa" w:w="3113"/>
          </w:tcPr>
          <w:p>
            <w:pPr>
              <w:spacing w:after="20"/>
            </w:pPr>
            <w:r>
              <w:rPr>
                <w:b w:val="0"/>
                <w:sz w:val="18"/>
              </w:rPr>
              <w:t>STK-05 Jefe Farmacovig.</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i</w:t>
            </w:r>
          </w:p>
        </w:tc>
        <w:tc>
          <w:tcPr>
            <w:tcW w:type="dxa" w:w="1489"/>
          </w:tcPr>
          <w:p>
            <w:pPr>
              <w:spacing w:after="20"/>
              <w:jc w:val="center"/>
            </w:pPr>
            <w:r>
              <w:rPr>
                <w:b w:val="0"/>
                <w:sz w:val="18"/>
              </w:rPr>
              <w:t>X</w:t>
            </w:r>
          </w:p>
        </w:tc>
        <w:tc>
          <w:tcPr>
            <w:tcW w:type="dxa" w:w="1489"/>
          </w:tcPr>
          <w:p>
            <w:pPr>
              <w:spacing w:after="20"/>
              <w:jc w:val="center"/>
            </w:pPr>
            <w:r>
              <w:rPr>
                <w:b w:val="0"/>
                <w:sz w:val="18"/>
              </w:rPr>
              <w:t>i</w:t>
            </w:r>
          </w:p>
        </w:tc>
      </w:tr>
      <w:tr>
        <w:tc>
          <w:tcPr>
            <w:tcW w:type="dxa" w:w="3113"/>
          </w:tcPr>
          <w:p>
            <w:pPr>
              <w:spacing w:after="20"/>
            </w:pPr>
            <w:r>
              <w:rPr>
                <w:b w:val="0"/>
                <w:sz w:val="18"/>
              </w:rPr>
              <w:t>STK-06 Paciente</w:t>
            </w: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r>
              <w:rPr>
                <w:b w:val="0"/>
                <w:sz w:val="18"/>
              </w:rPr>
              <w:t>X</w:t>
            </w:r>
          </w:p>
        </w:tc>
        <w:tc>
          <w:tcPr>
            <w:tcW w:type="dxa" w:w="1489"/>
          </w:tcPr>
          <w:p>
            <w:pPr>
              <w:spacing w:after="20"/>
              <w:jc w:val="center"/>
            </w:pPr>
            <w:r>
              <w:rPr>
                <w:b w:val="0"/>
                <w:sz w:val="18"/>
              </w:rPr>
              <w:t>X</w:t>
            </w:r>
          </w:p>
        </w:tc>
        <w:tc>
          <w:tcPr>
            <w:tcW w:type="dxa" w:w="1489"/>
          </w:tcPr>
          <w:p>
            <w:pPr>
              <w:spacing w:after="20"/>
              <w:jc w:val="center"/>
            </w:pPr>
          </w:p>
        </w:tc>
      </w:tr>
      <w:tr>
        <w:tc>
          <w:tcPr>
            <w:tcW w:type="dxa" w:w="3113"/>
          </w:tcPr>
          <w:p>
            <w:pPr>
              <w:spacing w:after="20"/>
            </w:pPr>
            <w:r>
              <w:rPr>
                <w:b w:val="0"/>
                <w:sz w:val="18"/>
              </w:rPr>
              <w:t>STK-07 MSPAS</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c>
          <w:tcPr>
            <w:tcW w:type="dxa" w:w="1489"/>
          </w:tcPr>
          <w:p>
            <w:pPr>
              <w:spacing w:after="20"/>
              <w:jc w:val="center"/>
            </w:pPr>
            <w:r>
              <w:rPr>
                <w:b w:val="0"/>
                <w:sz w:val="18"/>
              </w:rPr>
              <w:t>X</w:t>
            </w:r>
          </w:p>
        </w:tc>
      </w:tr>
      <w:tr>
        <w:tc>
          <w:tcPr>
            <w:tcW w:type="dxa" w:w="3113"/>
          </w:tcPr>
          <w:p>
            <w:pPr>
              <w:spacing w:after="20"/>
            </w:pPr>
            <w:r>
              <w:rPr>
                <w:b w:val="0"/>
                <w:sz w:val="18"/>
              </w:rPr>
              <w:t>STK-08 Equipo interno 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r>
      <w:tr>
        <w:tc>
          <w:tcPr>
            <w:tcW w:type="dxa" w:w="3113"/>
          </w:tcPr>
          <w:p>
            <w:pPr>
              <w:spacing w:after="20"/>
            </w:pPr>
            <w:r>
              <w:rPr>
                <w:b w:val="0"/>
                <w:sz w:val="18"/>
              </w:rPr>
              <w:t>STK-09 Consultora</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r>
      <w:tr>
        <w:tc>
          <w:tcPr>
            <w:tcW w:type="dxa" w:w="3113"/>
          </w:tcPr>
          <w:p>
            <w:pPr>
              <w:spacing w:after="20"/>
            </w:pPr>
            <w:r>
              <w:rPr>
                <w:b w:val="0"/>
                <w:sz w:val="18"/>
              </w:rPr>
              <w:t>STK-10 Junta Directiva</w:t>
            </w:r>
          </w:p>
        </w:tc>
        <w:tc>
          <w:tcPr>
            <w:tcW w:type="dxa" w:w="1489"/>
          </w:tcPr>
          <w:p>
            <w:pPr>
              <w:spacing w:after="20"/>
              <w:jc w:val="center"/>
            </w:pPr>
            <w:r>
              <w:rPr>
                <w:b w:val="0"/>
                <w:sz w:val="18"/>
              </w:rPr>
              <w:t>i</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r>
      <w:tr>
        <w:tc>
          <w:tcPr>
            <w:tcW w:type="dxa" w:w="3113"/>
          </w:tcPr>
          <w:p>
            <w:pPr>
              <w:spacing w:after="20"/>
            </w:pPr>
            <w:r>
              <w:rPr>
                <w:b w:val="0"/>
                <w:sz w:val="18"/>
              </w:rPr>
              <w:t>STK-11 Contraloría</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r>
              <w:rPr>
                <w:b w:val="0"/>
                <w:sz w:val="18"/>
              </w:rPr>
              <w:t>X</w:t>
            </w:r>
          </w:p>
        </w:tc>
      </w:tr>
      <w:tr>
        <w:tc>
          <w:tcPr>
            <w:tcW w:type="dxa" w:w="3113"/>
          </w:tcPr>
          <w:p>
            <w:pPr>
              <w:spacing w:after="20"/>
            </w:pPr>
            <w:r>
              <w:rPr>
                <w:b w:val="0"/>
                <w:sz w:val="18"/>
              </w:rPr>
              <w:t>STK-12 Proveedor de MAC</w:t>
            </w:r>
          </w:p>
        </w:tc>
        <w:tc>
          <w:tcPr>
            <w:tcW w:type="dxa" w:w="1489"/>
          </w:tcPr>
          <w:p>
            <w:pPr>
              <w:spacing w:after="20"/>
              <w:jc w:val="center"/>
            </w:pPr>
            <w:r>
              <w:rPr>
                <w:b w:val="0"/>
                <w:sz w:val="18"/>
              </w:rPr>
              <w:t>X</w:t>
            </w:r>
          </w:p>
        </w:tc>
        <w:tc>
          <w:tcPr>
            <w:tcW w:type="dxa" w:w="1489"/>
          </w:tcPr>
          <w:p>
            <w:pPr>
              <w:spacing w:after="20"/>
              <w:jc w:val="center"/>
            </w:pPr>
            <w:r>
              <w:rPr>
                <w:b w:val="0"/>
                <w:sz w:val="18"/>
              </w:rPr>
              <w:t>i</w:t>
            </w: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c>
          <w:tcPr>
            <w:tcW w:type="dxa" w:w="1489"/>
          </w:tcPr>
          <w:p>
            <w:pPr>
              <w:spacing w:after="20"/>
              <w:jc w:val="center"/>
            </w:pPr>
          </w:p>
        </w:tc>
      </w:tr>
      <w:tr>
        <w:tc>
          <w:tcPr>
            <w:tcW w:type="dxa" w:w="3113"/>
          </w:tcPr>
          <w:p>
            <w:pPr>
              <w:spacing w:after="20"/>
            </w:pPr>
            <w:r>
              <w:rPr>
                <w:b w:val="0"/>
                <w:sz w:val="18"/>
              </w:rPr>
              <w:t>STK-13 Operaciones 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c>
          <w:tcPr>
            <w:tcW w:type="dxa" w:w="1489"/>
          </w:tcPr>
          <w:p>
            <w:pPr>
              <w:spacing w:after="20"/>
              <w:jc w:val="center"/>
            </w:pPr>
            <w:r>
              <w:rPr>
                <w:b w:val="0"/>
                <w:sz w:val="18"/>
              </w:rPr>
              <w:t>i</w:t>
            </w:r>
          </w:p>
        </w:tc>
      </w:tr>
    </w:tbl>
    <w:p>
      <w:pPr>
        <w:spacing w:after="40"/>
      </w:pPr>
    </w:p>
    <w:p>
      <w:pPr>
        <w:spacing w:after="120"/>
      </w:pPr>
      <w:r>
        <w:rPr>
          <w:b/>
          <w:sz w:val="21"/>
        </w:rPr>
        <w:t>Lectura por columna</w:t>
      </w:r>
      <w:r>
        <w:rPr>
          <w:b w:val="0"/>
          <w:sz w:val="21"/>
        </w:rPr>
        <w:t xml:space="preserve"> — *¿para quién es cada proceso?* </w:t>
      </w:r>
      <w:r>
        <w:rPr>
          <w:b/>
          <w:sz w:val="21"/>
        </w:rPr>
        <w:t>Ninguna columna vacía</w:t>
      </w:r>
      <w:r>
        <w:rPr>
          <w:b w:val="0"/>
          <w:sz w:val="21"/>
        </w:rPr>
        <w:t>: todo proceso tiene al menos un stakeholder con X. El más poblado es CDU-05 (administración), coherente con que sea el acto de valor central.</w:t>
      </w:r>
    </w:p>
    <w:p>
      <w:pPr>
        <w:spacing w:after="120"/>
      </w:pPr>
      <w:r>
        <w:rPr>
          <w:b/>
          <w:sz w:val="21"/>
        </w:rPr>
        <w:t>Lectura por fila</w:t>
      </w:r>
      <w:r>
        <w:rPr>
          <w:b w:val="0"/>
          <w:sz w:val="21"/>
        </w:rPr>
        <w:t xml:space="preserve"> — *¿dónde aparece cada stakeholder?* </w:t>
      </w:r>
      <w:r>
        <w:rPr>
          <w:b/>
          <w:sz w:val="21"/>
        </w:rPr>
        <w:t>Ninguna fila vacía.</w:t>
      </w:r>
      <w:r>
        <w:rPr>
          <w:b w:val="0"/>
          <w:sz w:val="21"/>
        </w:rPr>
        <w:t xml:space="preserve"> Tres filas son enteramente i (STK-08, STK-09, STK-13): </w:t>
      </w:r>
      <w:r>
        <w:rPr>
          <w:b/>
          <w:sz w:val="21"/>
        </w:rPr>
        <w:t>no es un hueco, es su naturaleza</w:t>
      </w:r>
      <w:r>
        <w:rPr>
          <w:b w:val="0"/>
          <w:sz w:val="21"/>
        </w:rPr>
        <w:t xml:space="preserve"> — quien construye, mantiene y opera tiene interés transversal en todos los procesos sin participar en ninguno. Es la demostración en matriz de que *no todo stakeholder es actor*.</w:t>
      </w:r>
    </w:p>
    <w:p>
      <w:pPr>
        <w:pStyle w:val="Heading2"/>
      </w:pPr>
      <w:r>
        <w:rPr>
          <w:color w:val="000000"/>
        </w:rPr>
      </w:r>
      <w:r>
        <w:rPr>
          <w:b/>
          <w:color w:val="000000"/>
        </w:rPr>
        <w:t>4.2 Drivers RF vs. Drivers RF — dependencias</w:t>
      </w:r>
    </w:p>
    <w:p>
      <w:pPr>
        <w:spacing w:after="120"/>
      </w:pPr>
      <w:r>
        <w:rPr>
          <w:b/>
          <w:sz w:val="21"/>
        </w:rPr>
        <w:t>Se lee: «la fila depende de la columna».</w:t>
      </w:r>
      <w:r>
        <w:rPr>
          <w:b w:val="0"/>
          <w:sz w:val="21"/>
        </w:rPr>
        <w:t xml:space="preserve"> Es </w:t>
      </w:r>
      <w:r>
        <w:rPr>
          <w:b/>
          <w:sz w:val="21"/>
        </w:rPr>
        <w:t>asimétrica</w:t>
      </w:r>
      <w:r>
        <w:rPr>
          <w:b w:val="0"/>
          <w:sz w:val="21"/>
        </w:rPr>
        <w:t xml:space="preserve"> y la </w:t>
      </w:r>
      <w:r>
        <w:rPr>
          <w:b/>
          <w:sz w:val="21"/>
        </w:rPr>
        <w:t>diagonal queda excluida</w:t>
      </w:r>
      <w:r>
        <w:rPr>
          <w:b w:val="0"/>
          <w:sz w:val="21"/>
        </w:rPr>
        <w:t xml:space="preserve"> (NT1 de la cátedra). Con 37 RF la matriz completa es 37×37 y casi vacía, así que se presenta en dos vistas — decisión declarada: primero la </w:t>
      </w:r>
      <w:r>
        <w:rPr>
          <w:b/>
          <w:sz w:val="21"/>
        </w:rPr>
        <w:t>tabla de dependencias completa</w:t>
      </w:r>
      <w:r>
        <w:rPr>
          <w:b w:val="0"/>
          <w:sz w:val="21"/>
        </w:rPr>
        <w:t xml:space="preserve">, después la </w:t>
      </w:r>
      <w:r>
        <w:rPr>
          <w:b/>
          <w:sz w:val="21"/>
        </w:rPr>
        <w:t>matriz del tronco</w:t>
      </w:r>
      <w:r>
        <w:rPr>
          <w:b w:val="0"/>
          <w:sz w:val="21"/>
        </w:rPr>
        <w:t>.</w:t>
      </w:r>
    </w:p>
    <w:tbl>
      <w:tblPr>
        <w:tblStyle w:val="TableGrid"/>
        <w:jc w:val="center"/>
        <w:tblLayout w:type="fixed"/>
        <w:tblLook w:firstColumn="1" w:firstRow="1" w:lastColumn="0" w:lastRow="0" w:noHBand="0" w:noVBand="1" w:val="04A0"/>
        <w:tblW w:type="dxa" w:w="13535"/>
      </w:tblPr>
      <w:tblGrid>
        <w:gridCol w:w="3790"/>
        <w:gridCol w:w="2978"/>
        <w:gridCol w:w="6768"/>
      </w:tblGrid>
      <w:tr>
        <w:trPr>
          <w:tblHeader w:val="true"/>
        </w:trPr>
        <w:tc>
          <w:tcPr>
            <w:tcW w:type="dxa" w:w="3790"/>
            <w:shd w:val="clear" w:color="auto" w:fill="EDEFF2"/>
          </w:tcPr>
          <w:p>
            <w:pPr>
              <w:keepNext w:val="0"/>
              <w:spacing w:after="20"/>
            </w:pPr>
            <w:r>
              <w:rPr>
                <w:b/>
                <w:sz w:val="17"/>
              </w:rPr>
              <w:t>RF que depende</w:t>
            </w:r>
          </w:p>
        </w:tc>
        <w:tc>
          <w:tcPr>
            <w:tcW w:type="dxa" w:w="2978"/>
            <w:shd w:val="clear" w:color="auto" w:fill="EDEFF2"/>
          </w:tcPr>
          <w:p>
            <w:pPr>
              <w:keepNext w:val="0"/>
              <w:spacing w:after="20"/>
            </w:pPr>
            <w:r>
              <w:rPr>
                <w:b/>
                <w:sz w:val="17"/>
              </w:rPr>
              <w:t>Depende de</w:t>
            </w:r>
          </w:p>
        </w:tc>
        <w:tc>
          <w:tcPr>
            <w:tcW w:type="dxa" w:w="6768"/>
            <w:shd w:val="clear" w:color="auto" w:fill="EDEFF2"/>
          </w:tcPr>
          <w:p>
            <w:pPr>
              <w:keepNext w:val="0"/>
              <w:spacing w:after="20"/>
            </w:pPr>
            <w:r>
              <w:rPr>
                <w:b/>
                <w:sz w:val="17"/>
              </w:rPr>
              <w:t>Razón</w:t>
            </w:r>
          </w:p>
        </w:tc>
      </w:tr>
      <w:tr>
        <w:tc>
          <w:tcPr>
            <w:tcW w:type="dxa" w:w="3790"/>
          </w:tcPr>
          <w:p>
            <w:pPr>
              <w:spacing w:after="20"/>
            </w:pPr>
            <w:r>
              <w:rPr>
                <w:b w:val="0"/>
                <w:sz w:val="17"/>
              </w:rPr>
              <w:t>RF-02 recepción de lotes</w:t>
            </w:r>
          </w:p>
        </w:tc>
        <w:tc>
          <w:tcPr>
            <w:tcW w:type="dxa" w:w="2978"/>
          </w:tcPr>
          <w:p>
            <w:pPr>
              <w:spacing w:after="20"/>
            </w:pPr>
            <w:r>
              <w:rPr>
                <w:b w:val="0"/>
                <w:sz w:val="17"/>
              </w:rPr>
              <w:t>RF-01</w:t>
            </w:r>
          </w:p>
        </w:tc>
        <w:tc>
          <w:tcPr>
            <w:tcW w:type="dxa" w:w="6768"/>
          </w:tcPr>
          <w:p>
            <w:pPr>
              <w:spacing w:after="20"/>
            </w:pPr>
            <w:r>
              <w:rPr>
                <w:b w:val="0"/>
                <w:sz w:val="17"/>
              </w:rPr>
              <w:t>no se recibe sin orden de compra</w:t>
            </w:r>
          </w:p>
        </w:tc>
      </w:tr>
      <w:tr>
        <w:tc>
          <w:tcPr>
            <w:tcW w:type="dxa" w:w="3790"/>
          </w:tcPr>
          <w:p>
            <w:pPr>
              <w:spacing w:after="20"/>
            </w:pPr>
            <w:r>
              <w:rPr>
                <w:b w:val="0"/>
                <w:sz w:val="17"/>
              </w:rPr>
              <w:t>RF-06 incidente y bloqueo</w:t>
            </w:r>
          </w:p>
        </w:tc>
        <w:tc>
          <w:tcPr>
            <w:tcW w:type="dxa" w:w="2978"/>
          </w:tcPr>
          <w:p>
            <w:pPr>
              <w:spacing w:after="20"/>
            </w:pPr>
            <w:r>
              <w:rPr>
                <w:b w:val="0"/>
                <w:sz w:val="17"/>
              </w:rPr>
              <w:t>RF-05</w:t>
            </w:r>
          </w:p>
        </w:tc>
        <w:tc>
          <w:tcPr>
            <w:tcW w:type="dxa" w:w="6768"/>
          </w:tcPr>
          <w:p>
            <w:pPr>
              <w:spacing w:after="20"/>
            </w:pPr>
            <w:r>
              <w:rPr>
                <w:b w:val="0"/>
                <w:sz w:val="17"/>
              </w:rPr>
              <w:t>sin monitoreo no hay incidente que registrar</w:t>
            </w:r>
          </w:p>
        </w:tc>
      </w:tr>
      <w:tr>
        <w:tc>
          <w:tcPr>
            <w:tcW w:type="dxa" w:w="3790"/>
          </w:tcPr>
          <w:p>
            <w:pPr>
              <w:spacing w:after="20"/>
            </w:pPr>
            <w:r>
              <w:rPr>
                <w:b w:val="0"/>
                <w:sz w:val="17"/>
              </w:rPr>
              <w:t>RF-07 alerta de guardia</w:t>
            </w:r>
          </w:p>
        </w:tc>
        <w:tc>
          <w:tcPr>
            <w:tcW w:type="dxa" w:w="2978"/>
          </w:tcPr>
          <w:p>
            <w:pPr>
              <w:spacing w:after="20"/>
            </w:pPr>
            <w:r>
              <w:rPr>
                <w:b w:val="0"/>
                <w:sz w:val="17"/>
              </w:rPr>
              <w:t>RF-06</w:t>
            </w:r>
          </w:p>
        </w:tc>
        <w:tc>
          <w:tcPr>
            <w:tcW w:type="dxa" w:w="6768"/>
          </w:tcPr>
          <w:p>
            <w:pPr>
              <w:spacing w:after="20"/>
            </w:pPr>
            <w:r>
              <w:rPr>
                <w:b w:val="0"/>
                <w:sz w:val="17"/>
              </w:rPr>
              <w:t>alerta lo que el incidente detectó</w:t>
            </w:r>
          </w:p>
        </w:tc>
      </w:tr>
      <w:tr>
        <w:tc>
          <w:tcPr>
            <w:tcW w:type="dxa" w:w="3790"/>
          </w:tcPr>
          <w:p>
            <w:pPr>
              <w:spacing w:after="20"/>
            </w:pPr>
            <w:r>
              <w:rPr>
                <w:b w:val="0"/>
                <w:sz w:val="17"/>
              </w:rPr>
              <w:t>RF-08 sobrescribir descarte</w:t>
            </w:r>
          </w:p>
        </w:tc>
        <w:tc>
          <w:tcPr>
            <w:tcW w:type="dxa" w:w="2978"/>
          </w:tcPr>
          <w:p>
            <w:pPr>
              <w:spacing w:after="20"/>
            </w:pPr>
            <w:r>
              <w:rPr>
                <w:b w:val="0"/>
                <w:sz w:val="17"/>
              </w:rPr>
              <w:t>RF-06</w:t>
            </w:r>
          </w:p>
        </w:tc>
        <w:tc>
          <w:tcPr>
            <w:tcW w:type="dxa" w:w="6768"/>
          </w:tcPr>
          <w:p>
            <w:pPr>
              <w:spacing w:after="20"/>
            </w:pPr>
            <w:r>
              <w:rPr>
                <w:b w:val="0"/>
                <w:sz w:val="17"/>
              </w:rPr>
              <w:t>se sobrescribe la decisión que el incidente disparó</w:t>
            </w:r>
          </w:p>
        </w:tc>
      </w:tr>
      <w:tr>
        <w:tc>
          <w:tcPr>
            <w:tcW w:type="dxa" w:w="3790"/>
          </w:tcPr>
          <w:p>
            <w:pPr>
              <w:spacing w:after="20"/>
            </w:pPr>
            <w:r>
              <w:rPr>
                <w:b w:val="0"/>
                <w:sz w:val="17"/>
              </w:rPr>
              <w:t>RF-09 proyección de faltantes</w:t>
            </w:r>
          </w:p>
        </w:tc>
        <w:tc>
          <w:tcPr>
            <w:tcW w:type="dxa" w:w="2978"/>
          </w:tcPr>
          <w:p>
            <w:pPr>
              <w:spacing w:after="20"/>
            </w:pPr>
            <w:r>
              <w:rPr>
                <w:b w:val="0"/>
                <w:sz w:val="17"/>
              </w:rPr>
              <w:t>RF-02, RF-10</w:t>
            </w:r>
          </w:p>
        </w:tc>
        <w:tc>
          <w:tcPr>
            <w:tcW w:type="dxa" w:w="6768"/>
          </w:tcPr>
          <w:p>
            <w:pPr>
              <w:spacing w:after="20"/>
            </w:pPr>
            <w:r>
              <w:rPr>
                <w:b w:val="0"/>
                <w:sz w:val="17"/>
              </w:rPr>
              <w:t>proyecta sobre inventario y prescripciones programadas</w:t>
            </w:r>
          </w:p>
        </w:tc>
      </w:tr>
      <w:tr>
        <w:tc>
          <w:tcPr>
            <w:tcW w:type="dxa" w:w="3790"/>
          </w:tcPr>
          <w:p>
            <w:pPr>
              <w:spacing w:after="20"/>
            </w:pPr>
            <w:r>
              <w:rPr>
                <w:b w:val="0"/>
                <w:sz w:val="17"/>
              </w:rPr>
              <w:t>RF-10 prescribir</w:t>
            </w:r>
          </w:p>
        </w:tc>
        <w:tc>
          <w:tcPr>
            <w:tcW w:type="dxa" w:w="2978"/>
          </w:tcPr>
          <w:p>
            <w:pPr>
              <w:spacing w:after="20"/>
            </w:pPr>
            <w:r>
              <w:rPr>
                <w:b w:val="0"/>
                <w:sz w:val="17"/>
              </w:rPr>
              <w:t>RF-11, RF-12, RF-13, RF-14</w:t>
            </w:r>
          </w:p>
        </w:tc>
        <w:tc>
          <w:tcPr>
            <w:tcW w:type="dxa" w:w="6768"/>
          </w:tcPr>
          <w:p>
            <w:pPr>
              <w:spacing w:after="20"/>
            </w:pPr>
            <w:r>
              <w:rPr>
                <w:b w:val="0"/>
                <w:sz w:val="17"/>
              </w:rPr>
              <w:t>los cuatro include obligatorios</w:t>
            </w:r>
          </w:p>
        </w:tc>
      </w:tr>
      <w:tr>
        <w:tc>
          <w:tcPr>
            <w:tcW w:type="dxa" w:w="3790"/>
          </w:tcPr>
          <w:p>
            <w:pPr>
              <w:spacing w:after="20"/>
            </w:pPr>
            <w:r>
              <w:rPr>
                <w:b w:val="0"/>
                <w:sz w:val="17"/>
              </w:rPr>
              <w:t>RF-14 consultar inventario</w:t>
            </w:r>
          </w:p>
        </w:tc>
        <w:tc>
          <w:tcPr>
            <w:tcW w:type="dxa" w:w="2978"/>
          </w:tcPr>
          <w:p>
            <w:pPr>
              <w:spacing w:after="20"/>
            </w:pPr>
            <w:r>
              <w:rPr>
                <w:b w:val="0"/>
                <w:sz w:val="17"/>
              </w:rPr>
              <w:t>RF-02</w:t>
            </w:r>
          </w:p>
        </w:tc>
        <w:tc>
          <w:tcPr>
            <w:tcW w:type="dxa" w:w="6768"/>
          </w:tcPr>
          <w:p>
            <w:pPr>
              <w:spacing w:after="20"/>
            </w:pPr>
            <w:r>
              <w:rPr>
                <w:b w:val="0"/>
                <w:sz w:val="17"/>
              </w:rPr>
              <w:t>consulta los lotes registrados</w:t>
            </w:r>
          </w:p>
        </w:tc>
      </w:tr>
      <w:tr>
        <w:tc>
          <w:tcPr>
            <w:tcW w:type="dxa" w:w="3790"/>
          </w:tcPr>
          <w:p>
            <w:pPr>
              <w:spacing w:after="20"/>
            </w:pPr>
            <w:r>
              <w:rPr>
                <w:b w:val="0"/>
                <w:sz w:val="17"/>
              </w:rPr>
              <w:t>RF-15 sugerir MAC</w:t>
            </w:r>
          </w:p>
        </w:tc>
        <w:tc>
          <w:tcPr>
            <w:tcW w:type="dxa" w:w="2978"/>
          </w:tcPr>
          <w:p>
            <w:pPr>
              <w:spacing w:after="20"/>
            </w:pPr>
            <w:r>
              <w:rPr>
                <w:b w:val="0"/>
                <w:sz w:val="17"/>
              </w:rPr>
              <w:t>RF-10, RF-11</w:t>
            </w:r>
          </w:p>
        </w:tc>
        <w:tc>
          <w:tcPr>
            <w:tcW w:type="dxa" w:w="6768"/>
          </w:tcPr>
          <w:p>
            <w:pPr>
              <w:spacing w:after="20"/>
            </w:pPr>
            <w:r>
              <w:rPr>
                <w:b w:val="0"/>
                <w:sz w:val="17"/>
              </w:rPr>
              <w:t>sugiere sobre protocolo e historial de prescripción</w:t>
            </w:r>
          </w:p>
        </w:tc>
      </w:tr>
      <w:tr>
        <w:tc>
          <w:tcPr>
            <w:tcW w:type="dxa" w:w="3790"/>
          </w:tcPr>
          <w:p>
            <w:pPr>
              <w:spacing w:after="20"/>
            </w:pPr>
            <w:r>
              <w:rPr>
                <w:b w:val="0"/>
                <w:sz w:val="17"/>
              </w:rPr>
              <w:t>RF-17 dispensar</w:t>
            </w:r>
          </w:p>
        </w:tc>
        <w:tc>
          <w:tcPr>
            <w:tcW w:type="dxa" w:w="2978"/>
          </w:tcPr>
          <w:p>
            <w:pPr>
              <w:spacing w:after="20"/>
            </w:pPr>
            <w:r>
              <w:rPr>
                <w:b w:val="0"/>
                <w:sz w:val="17"/>
              </w:rPr>
              <w:t>RF-10, RF-14, RF-02</w:t>
            </w:r>
          </w:p>
        </w:tc>
        <w:tc>
          <w:tcPr>
            <w:tcW w:type="dxa" w:w="6768"/>
          </w:tcPr>
          <w:p>
            <w:pPr>
              <w:spacing w:after="20"/>
            </w:pPr>
            <w:r>
              <w:rPr>
                <w:b w:val="0"/>
                <w:sz w:val="17"/>
              </w:rPr>
              <w:t>dispensa una prescripción, contra inventario real</w:t>
            </w:r>
          </w:p>
        </w:tc>
      </w:tr>
      <w:tr>
        <w:tc>
          <w:tcPr>
            <w:tcW w:type="dxa" w:w="3790"/>
          </w:tcPr>
          <w:p>
            <w:pPr>
              <w:spacing w:after="20"/>
            </w:pPr>
            <w:r>
              <w:rPr>
                <w:b w:val="0"/>
                <w:sz w:val="17"/>
              </w:rPr>
              <w:t>RF-18 etiqueta QR</w:t>
            </w:r>
          </w:p>
        </w:tc>
        <w:tc>
          <w:tcPr>
            <w:tcW w:type="dxa" w:w="2978"/>
          </w:tcPr>
          <w:p>
            <w:pPr>
              <w:spacing w:after="20"/>
            </w:pPr>
            <w:r>
              <w:rPr>
                <w:b w:val="0"/>
                <w:sz w:val="17"/>
              </w:rPr>
              <w:t>RF-17</w:t>
            </w:r>
          </w:p>
        </w:tc>
        <w:tc>
          <w:tcPr>
            <w:tcW w:type="dxa" w:w="6768"/>
          </w:tcPr>
          <w:p>
            <w:pPr>
              <w:spacing w:after="20"/>
            </w:pPr>
            <w:r>
              <w:rPr>
                <w:b w:val="0"/>
                <w:sz w:val="17"/>
              </w:rPr>
              <w:t>etiqueta el lote asignado</w:t>
            </w:r>
          </w:p>
        </w:tc>
      </w:tr>
      <w:tr>
        <w:tc>
          <w:tcPr>
            <w:tcW w:type="dxa" w:w="3790"/>
          </w:tcPr>
          <w:p>
            <w:pPr>
              <w:spacing w:after="20"/>
            </w:pPr>
            <w:r>
              <w:rPr>
                <w:b w:val="0"/>
                <w:sz w:val="17"/>
              </w:rPr>
              <w:t>RF-19/RF-20/RF-21 opciones A/B/C</w:t>
            </w:r>
          </w:p>
        </w:tc>
        <w:tc>
          <w:tcPr>
            <w:tcW w:type="dxa" w:w="2978"/>
          </w:tcPr>
          <w:p>
            <w:pPr>
              <w:spacing w:after="20"/>
            </w:pPr>
            <w:r>
              <w:rPr>
                <w:b w:val="0"/>
                <w:sz w:val="17"/>
              </w:rPr>
              <w:t>RF-17</w:t>
            </w:r>
          </w:p>
        </w:tc>
        <w:tc>
          <w:tcPr>
            <w:tcW w:type="dxa" w:w="6768"/>
          </w:tcPr>
          <w:p>
            <w:pPr>
              <w:spacing w:after="20"/>
            </w:pPr>
            <w:r>
              <w:rPr>
                <w:b w:val="0"/>
                <w:sz w:val="17"/>
              </w:rPr>
              <w:t>las tres extienden la dispensación</w:t>
            </w:r>
          </w:p>
        </w:tc>
      </w:tr>
      <w:tr>
        <w:tc>
          <w:tcPr>
            <w:tcW w:type="dxa" w:w="3790"/>
          </w:tcPr>
          <w:p>
            <w:pPr>
              <w:spacing w:after="20"/>
            </w:pPr>
            <w:r>
              <w:rPr>
                <w:b w:val="0"/>
                <w:sz w:val="17"/>
              </w:rPr>
              <w:t>RF-22 doble registro INCAP</w:t>
            </w:r>
          </w:p>
        </w:tc>
        <w:tc>
          <w:tcPr>
            <w:tcW w:type="dxa" w:w="2978"/>
          </w:tcPr>
          <w:p>
            <w:pPr>
              <w:spacing w:after="20"/>
            </w:pPr>
            <w:r>
              <w:rPr>
                <w:b w:val="0"/>
                <w:sz w:val="17"/>
              </w:rPr>
              <w:t>RF-17, RF-23</w:t>
            </w:r>
          </w:p>
        </w:tc>
        <w:tc>
          <w:tcPr>
            <w:tcW w:type="dxa" w:w="6768"/>
          </w:tcPr>
          <w:p>
            <w:pPr>
              <w:spacing w:after="20"/>
            </w:pPr>
            <w:r>
              <w:rPr>
                <w:b w:val="0"/>
                <w:sz w:val="17"/>
              </w:rPr>
              <w:t>exige coincidencia entre ambos extremos</w:t>
            </w:r>
          </w:p>
        </w:tc>
      </w:tr>
      <w:tr>
        <w:tc>
          <w:tcPr>
            <w:tcW w:type="dxa" w:w="3790"/>
          </w:tcPr>
          <w:p>
            <w:pPr>
              <w:spacing w:after="20"/>
            </w:pPr>
            <w:r>
              <w:rPr>
                <w:b w:val="0"/>
                <w:sz w:val="17"/>
              </w:rPr>
              <w:t>RF-23 administrar</w:t>
            </w:r>
          </w:p>
        </w:tc>
        <w:tc>
          <w:tcPr>
            <w:tcW w:type="dxa" w:w="2978"/>
          </w:tcPr>
          <w:p>
            <w:pPr>
              <w:spacing w:after="20"/>
            </w:pPr>
            <w:r>
              <w:rPr>
                <w:b w:val="0"/>
                <w:sz w:val="17"/>
              </w:rPr>
              <w:t>RF-17, RF-24</w:t>
            </w:r>
          </w:p>
        </w:tc>
        <w:tc>
          <w:tcPr>
            <w:tcW w:type="dxa" w:w="6768"/>
          </w:tcPr>
          <w:p>
            <w:pPr>
              <w:spacing w:after="20"/>
            </w:pPr>
            <w:r>
              <w:rPr>
                <w:b w:val="0"/>
                <w:sz w:val="17"/>
              </w:rPr>
              <w:t>administra lo dispensado, tras validar</w:t>
            </w:r>
          </w:p>
        </w:tc>
      </w:tr>
      <w:tr>
        <w:tc>
          <w:tcPr>
            <w:tcW w:type="dxa" w:w="3790"/>
          </w:tcPr>
          <w:p>
            <w:pPr>
              <w:spacing w:after="20"/>
            </w:pPr>
            <w:r>
              <w:rPr>
                <w:b w:val="0"/>
                <w:sz w:val="17"/>
              </w:rPr>
              <w:t>RF-24 validar paciente-medicamento</w:t>
            </w:r>
          </w:p>
        </w:tc>
        <w:tc>
          <w:tcPr>
            <w:tcW w:type="dxa" w:w="2978"/>
          </w:tcPr>
          <w:p>
            <w:pPr>
              <w:spacing w:after="20"/>
            </w:pPr>
            <w:r>
              <w:rPr>
                <w:b w:val="0"/>
                <w:sz w:val="17"/>
              </w:rPr>
              <w:t>RF-18</w:t>
            </w:r>
          </w:p>
        </w:tc>
        <w:tc>
          <w:tcPr>
            <w:tcW w:type="dxa" w:w="6768"/>
          </w:tcPr>
          <w:p>
            <w:pPr>
              <w:spacing w:after="20"/>
            </w:pPr>
            <w:r>
              <w:rPr>
                <w:b w:val="0"/>
                <w:sz w:val="17"/>
              </w:rPr>
              <w:t>valida contra la etiqueta generada</w:t>
            </w:r>
          </w:p>
        </w:tc>
      </w:tr>
      <w:tr>
        <w:tc>
          <w:tcPr>
            <w:tcW w:type="dxa" w:w="3790"/>
          </w:tcPr>
          <w:p>
            <w:pPr>
              <w:spacing w:after="20"/>
            </w:pPr>
            <w:r>
              <w:rPr>
                <w:b w:val="0"/>
                <w:sz w:val="17"/>
              </w:rPr>
              <w:t>RF-25 entrada manual</w:t>
            </w:r>
          </w:p>
        </w:tc>
        <w:tc>
          <w:tcPr>
            <w:tcW w:type="dxa" w:w="2978"/>
          </w:tcPr>
          <w:p>
            <w:pPr>
              <w:spacing w:after="20"/>
            </w:pPr>
            <w:r>
              <w:rPr>
                <w:b w:val="0"/>
                <w:sz w:val="17"/>
              </w:rPr>
              <w:t>RF-24</w:t>
            </w:r>
          </w:p>
        </w:tc>
        <w:tc>
          <w:tcPr>
            <w:tcW w:type="dxa" w:w="6768"/>
          </w:tcPr>
          <w:p>
            <w:pPr>
              <w:spacing w:after="20"/>
            </w:pPr>
            <w:r>
              <w:rPr>
                <w:b w:val="0"/>
                <w:sz w:val="17"/>
              </w:rPr>
              <w:t>es su respaldo</w:t>
            </w:r>
          </w:p>
        </w:tc>
      </w:tr>
      <w:tr>
        <w:tc>
          <w:tcPr>
            <w:tcW w:type="dxa" w:w="3790"/>
          </w:tcPr>
          <w:p>
            <w:pPr>
              <w:spacing w:after="20"/>
            </w:pPr>
            <w:r>
              <w:rPr>
                <w:b w:val="0"/>
                <w:sz w:val="17"/>
              </w:rPr>
              <w:t>RF-26 operar offline</w:t>
            </w:r>
          </w:p>
        </w:tc>
        <w:tc>
          <w:tcPr>
            <w:tcW w:type="dxa" w:w="2978"/>
          </w:tcPr>
          <w:p>
            <w:pPr>
              <w:spacing w:after="20"/>
            </w:pPr>
            <w:r>
              <w:rPr>
                <w:b w:val="0"/>
                <w:sz w:val="17"/>
              </w:rPr>
              <w:t>RF-17, RF-23</w:t>
            </w:r>
          </w:p>
        </w:tc>
        <w:tc>
          <w:tcPr>
            <w:tcW w:type="dxa" w:w="6768"/>
          </w:tcPr>
          <w:p>
            <w:pPr>
              <w:spacing w:after="20"/>
            </w:pPr>
            <w:r>
              <w:rPr>
                <w:b w:val="0"/>
                <w:sz w:val="17"/>
              </w:rPr>
              <w:t>continúa esas operaciones sin red</w:t>
            </w:r>
          </w:p>
        </w:tc>
      </w:tr>
      <w:tr>
        <w:tc>
          <w:tcPr>
            <w:tcW w:type="dxa" w:w="3790"/>
          </w:tcPr>
          <w:p>
            <w:pPr>
              <w:spacing w:after="20"/>
            </w:pPr>
            <w:r>
              <w:rPr>
                <w:b w:val="0"/>
                <w:sz w:val="17"/>
              </w:rPr>
              <w:t>RF-27 reacción por voz</w:t>
            </w:r>
          </w:p>
        </w:tc>
        <w:tc>
          <w:tcPr>
            <w:tcW w:type="dxa" w:w="2978"/>
          </w:tcPr>
          <w:p>
            <w:pPr>
              <w:spacing w:after="20"/>
            </w:pPr>
            <w:r>
              <w:rPr>
                <w:b w:val="0"/>
                <w:sz w:val="17"/>
              </w:rPr>
              <w:t>RF-23</w:t>
            </w:r>
          </w:p>
        </w:tc>
        <w:tc>
          <w:tcPr>
            <w:tcW w:type="dxa" w:w="6768"/>
          </w:tcPr>
          <w:p>
            <w:pPr>
              <w:spacing w:after="20"/>
            </w:pPr>
            <w:r>
              <w:rPr>
                <w:b w:val="0"/>
                <w:sz w:val="17"/>
              </w:rPr>
              <w:t>registra sobre una administración</w:t>
            </w:r>
          </w:p>
        </w:tc>
      </w:tr>
      <w:tr>
        <w:tc>
          <w:tcPr>
            <w:tcW w:type="dxa" w:w="3790"/>
          </w:tcPr>
          <w:p>
            <w:pPr>
              <w:spacing w:after="20"/>
            </w:pPr>
            <w:r>
              <w:rPr>
                <w:b w:val="0"/>
                <w:sz w:val="17"/>
              </w:rPr>
              <w:t>RF-28 seguimiento</w:t>
            </w:r>
          </w:p>
        </w:tc>
        <w:tc>
          <w:tcPr>
            <w:tcW w:type="dxa" w:w="2978"/>
          </w:tcPr>
          <w:p>
            <w:pPr>
              <w:spacing w:after="20"/>
            </w:pPr>
            <w:r>
              <w:rPr>
                <w:b w:val="0"/>
                <w:sz w:val="17"/>
              </w:rPr>
              <w:t>RF-23</w:t>
            </w:r>
          </w:p>
        </w:tc>
        <w:tc>
          <w:tcPr>
            <w:tcW w:type="dxa" w:w="6768"/>
          </w:tcPr>
          <w:p>
            <w:pPr>
              <w:spacing w:after="20"/>
            </w:pPr>
            <w:r>
              <w:rPr>
                <w:b w:val="0"/>
                <w:sz w:val="17"/>
              </w:rPr>
              <w:t>sigue lo administrado</w:t>
            </w:r>
          </w:p>
        </w:tc>
      </w:tr>
      <w:tr>
        <w:tc>
          <w:tcPr>
            <w:tcW w:type="dxa" w:w="3790"/>
          </w:tcPr>
          <w:p>
            <w:pPr>
              <w:spacing w:after="20"/>
            </w:pPr>
            <w:r>
              <w:rPr>
                <w:b w:val="0"/>
                <w:sz w:val="17"/>
              </w:rPr>
              <w:t>RF-29 reporte nacional</w:t>
            </w:r>
          </w:p>
        </w:tc>
        <w:tc>
          <w:tcPr>
            <w:tcW w:type="dxa" w:w="2978"/>
          </w:tcPr>
          <w:p>
            <w:pPr>
              <w:spacing w:after="20"/>
            </w:pPr>
            <w:r>
              <w:rPr>
                <w:b w:val="0"/>
                <w:sz w:val="17"/>
              </w:rPr>
              <w:t>RF-27, RF-28</w:t>
            </w:r>
          </w:p>
        </w:tc>
        <w:tc>
          <w:tcPr>
            <w:tcW w:type="dxa" w:w="6768"/>
          </w:tcPr>
          <w:p>
            <w:pPr>
              <w:spacing w:after="20"/>
            </w:pPr>
            <w:r>
              <w:rPr>
                <w:b w:val="0"/>
                <w:sz w:val="17"/>
              </w:rPr>
              <w:t>reporta lo registrado</w:t>
            </w:r>
          </w:p>
        </w:tc>
      </w:tr>
      <w:tr>
        <w:tc>
          <w:tcPr>
            <w:tcW w:type="dxa" w:w="3790"/>
          </w:tcPr>
          <w:p>
            <w:pPr>
              <w:spacing w:after="20"/>
            </w:pPr>
            <w:r>
              <w:rPr>
                <w:b w:val="0"/>
                <w:sz w:val="17"/>
              </w:rPr>
              <w:t>RF-30 patrones por lote</w:t>
            </w:r>
          </w:p>
        </w:tc>
        <w:tc>
          <w:tcPr>
            <w:tcW w:type="dxa" w:w="2978"/>
          </w:tcPr>
          <w:p>
            <w:pPr>
              <w:spacing w:after="20"/>
            </w:pPr>
            <w:r>
              <w:rPr>
                <w:b w:val="0"/>
                <w:sz w:val="17"/>
              </w:rPr>
              <w:t>RF-27, RF-02</w:t>
            </w:r>
          </w:p>
        </w:tc>
        <w:tc>
          <w:tcPr>
            <w:tcW w:type="dxa" w:w="6768"/>
          </w:tcPr>
          <w:p>
            <w:pPr>
              <w:spacing w:after="20"/>
            </w:pPr>
            <w:r>
              <w:rPr>
                <w:b w:val="0"/>
                <w:sz w:val="17"/>
              </w:rPr>
              <w:t>cruza reacciones contra lotes</w:t>
            </w:r>
          </w:p>
        </w:tc>
      </w:tr>
      <w:tr>
        <w:tc>
          <w:tcPr>
            <w:tcW w:type="dxa" w:w="3790"/>
          </w:tcPr>
          <w:p>
            <w:pPr>
              <w:spacing w:after="20"/>
            </w:pPr>
            <w:r>
              <w:rPr>
                <w:b w:val="0"/>
                <w:sz w:val="17"/>
              </w:rPr>
              <w:t>RF-31 notificar dosis</w:t>
            </w:r>
          </w:p>
        </w:tc>
        <w:tc>
          <w:tcPr>
            <w:tcW w:type="dxa" w:w="2978"/>
          </w:tcPr>
          <w:p>
            <w:pPr>
              <w:spacing w:after="20"/>
            </w:pPr>
            <w:r>
              <w:rPr>
                <w:b w:val="0"/>
                <w:sz w:val="17"/>
              </w:rPr>
              <w:t>RF-10</w:t>
            </w:r>
          </w:p>
        </w:tc>
        <w:tc>
          <w:tcPr>
            <w:tcW w:type="dxa" w:w="6768"/>
          </w:tcPr>
          <w:p>
            <w:pPr>
              <w:spacing w:after="20"/>
            </w:pPr>
            <w:r>
              <w:rPr>
                <w:b w:val="0"/>
                <w:sz w:val="17"/>
              </w:rPr>
              <w:t>notifica la frecuencia prescrita</w:t>
            </w:r>
          </w:p>
        </w:tc>
      </w:tr>
      <w:tr>
        <w:tc>
          <w:tcPr>
            <w:tcW w:type="dxa" w:w="3790"/>
          </w:tcPr>
          <w:p>
            <w:pPr>
              <w:spacing w:after="20"/>
            </w:pPr>
            <w:r>
              <w:rPr>
                <w:b w:val="0"/>
                <w:sz w:val="17"/>
              </w:rPr>
              <w:t>RF-32 trazabilidad QR</w:t>
            </w:r>
          </w:p>
        </w:tc>
        <w:tc>
          <w:tcPr>
            <w:tcW w:type="dxa" w:w="2978"/>
          </w:tcPr>
          <w:p>
            <w:pPr>
              <w:spacing w:after="20"/>
            </w:pPr>
            <w:r>
              <w:rPr>
                <w:b w:val="0"/>
                <w:sz w:val="17"/>
              </w:rPr>
              <w:t>RF-18, RF-23</w:t>
            </w:r>
          </w:p>
        </w:tc>
        <w:tc>
          <w:tcPr>
            <w:tcW w:type="dxa" w:w="6768"/>
          </w:tcPr>
          <w:p>
            <w:pPr>
              <w:spacing w:after="20"/>
            </w:pPr>
            <w:r>
              <w:rPr>
                <w:b w:val="0"/>
                <w:sz w:val="17"/>
              </w:rPr>
              <w:t>muestra la cadena etiqueta→administración</w:t>
            </w:r>
          </w:p>
        </w:tc>
      </w:tr>
      <w:tr>
        <w:tc>
          <w:tcPr>
            <w:tcW w:type="dxa" w:w="3790"/>
          </w:tcPr>
          <w:p>
            <w:pPr>
              <w:spacing w:after="20"/>
            </w:pPr>
            <w:r>
              <w:rPr>
                <w:b w:val="0"/>
                <w:sz w:val="17"/>
              </w:rPr>
              <w:t>RF-33 informe forense</w:t>
            </w:r>
          </w:p>
        </w:tc>
        <w:tc>
          <w:tcPr>
            <w:tcW w:type="dxa" w:w="2978"/>
          </w:tcPr>
          <w:p>
            <w:pPr>
              <w:spacing w:after="20"/>
            </w:pPr>
            <w:r>
              <w:rPr>
                <w:b w:val="0"/>
                <w:sz w:val="17"/>
              </w:rPr>
              <w:t>RF-02, RF-05, RF-17, RF-23</w:t>
            </w:r>
          </w:p>
        </w:tc>
        <w:tc>
          <w:tcPr>
            <w:tcW w:type="dxa" w:w="6768"/>
          </w:tcPr>
          <w:p>
            <w:pPr>
              <w:spacing w:after="20"/>
            </w:pPr>
            <w:r>
              <w:rPr>
                <w:b w:val="0"/>
                <w:sz w:val="17"/>
              </w:rPr>
              <w:t>recorre la cadena completa del lote</w:t>
            </w:r>
          </w:p>
        </w:tc>
      </w:tr>
      <w:tr>
        <w:tc>
          <w:tcPr>
            <w:tcW w:type="dxa" w:w="3790"/>
          </w:tcPr>
          <w:p>
            <w:pPr>
              <w:spacing w:after="20"/>
            </w:pPr>
            <w:r>
              <w:rPr>
                <w:b w:val="0"/>
                <w:sz w:val="17"/>
              </w:rPr>
              <w:t>RF-34 tablero financiero</w:t>
            </w:r>
          </w:p>
        </w:tc>
        <w:tc>
          <w:tcPr>
            <w:tcW w:type="dxa" w:w="2978"/>
          </w:tcPr>
          <w:p>
            <w:pPr>
              <w:spacing w:after="20"/>
            </w:pPr>
            <w:r>
              <w:rPr>
                <w:b w:val="0"/>
                <w:sz w:val="17"/>
              </w:rPr>
              <w:t>RF-02, RF-17</w:t>
            </w:r>
          </w:p>
        </w:tc>
        <w:tc>
          <w:tcPr>
            <w:tcW w:type="dxa" w:w="6768"/>
          </w:tcPr>
          <w:p>
            <w:pPr>
              <w:spacing w:after="20"/>
            </w:pPr>
            <w:r>
              <w:rPr>
                <w:b w:val="0"/>
                <w:sz w:val="17"/>
              </w:rPr>
              <w:t>agrega costos y desperdicio</w:t>
            </w:r>
          </w:p>
        </w:tc>
      </w:tr>
      <w:tr>
        <w:tc>
          <w:tcPr>
            <w:tcW w:type="dxa" w:w="3790"/>
          </w:tcPr>
          <w:p>
            <w:pPr>
              <w:spacing w:after="20"/>
            </w:pPr>
            <w:r>
              <w:rPr>
                <w:b w:val="0"/>
                <w:sz w:val="17"/>
              </w:rPr>
              <w:t>RF-35 auditar autorizaciones</w:t>
            </w:r>
          </w:p>
        </w:tc>
        <w:tc>
          <w:tcPr>
            <w:tcW w:type="dxa" w:w="2978"/>
          </w:tcPr>
          <w:p>
            <w:pPr>
              <w:spacing w:after="20"/>
            </w:pPr>
            <w:r>
              <w:rPr>
                <w:b w:val="0"/>
                <w:sz w:val="17"/>
              </w:rPr>
              <w:t>RF-01, RF-08</w:t>
            </w:r>
          </w:p>
        </w:tc>
        <w:tc>
          <w:tcPr>
            <w:tcW w:type="dxa" w:w="6768"/>
          </w:tcPr>
          <w:p>
            <w:pPr>
              <w:spacing w:after="20"/>
            </w:pPr>
            <w:r>
              <w:rPr>
                <w:b w:val="0"/>
                <w:sz w:val="17"/>
              </w:rPr>
              <w:t>audita compras y sobrescrituras</w:t>
            </w:r>
          </w:p>
        </w:tc>
      </w:tr>
      <w:tr>
        <w:tc>
          <w:tcPr>
            <w:tcW w:type="dxa" w:w="3790"/>
          </w:tcPr>
          <w:p>
            <w:pPr>
              <w:spacing w:after="20"/>
            </w:pPr>
            <w:r>
              <w:rPr>
                <w:b w:val="0"/>
                <w:sz w:val="17"/>
              </w:rPr>
              <w:t>RF-36 información pública</w:t>
            </w:r>
          </w:p>
        </w:tc>
        <w:tc>
          <w:tcPr>
            <w:tcW w:type="dxa" w:w="2978"/>
          </w:tcPr>
          <w:p>
            <w:pPr>
              <w:spacing w:after="20"/>
            </w:pPr>
            <w:r>
              <w:rPr>
                <w:b w:val="0"/>
                <w:sz w:val="17"/>
              </w:rPr>
              <w:t>RF-34</w:t>
            </w:r>
          </w:p>
        </w:tc>
        <w:tc>
          <w:tcPr>
            <w:tcW w:type="dxa" w:w="6768"/>
          </w:tcPr>
          <w:p>
            <w:pPr>
              <w:spacing w:after="20"/>
            </w:pPr>
            <w:r>
              <w:rPr>
                <w:b w:val="0"/>
                <w:sz w:val="17"/>
              </w:rPr>
              <w:t>publica los agregados anonimizados</w:t>
            </w:r>
          </w:p>
        </w:tc>
      </w:tr>
      <w:tr>
        <w:tc>
          <w:tcPr>
            <w:tcW w:type="dxa" w:w="3790"/>
          </w:tcPr>
          <w:p>
            <w:pPr>
              <w:spacing w:after="20"/>
            </w:pPr>
            <w:r>
              <w:rPr>
                <w:b w:val="0"/>
                <w:sz w:val="17"/>
              </w:rPr>
              <w:t>RF-37 HL7 / API nacional</w:t>
            </w:r>
          </w:p>
        </w:tc>
        <w:tc>
          <w:tcPr>
            <w:tcW w:type="dxa" w:w="2978"/>
          </w:tcPr>
          <w:p>
            <w:pPr>
              <w:spacing w:after="20"/>
            </w:pPr>
            <w:r>
              <w:rPr>
                <w:b w:val="0"/>
                <w:sz w:val="17"/>
              </w:rPr>
              <w:t>RF-28, RF-29</w:t>
            </w:r>
          </w:p>
        </w:tc>
        <w:tc>
          <w:tcPr>
            <w:tcW w:type="dxa" w:w="6768"/>
          </w:tcPr>
          <w:p>
            <w:pPr>
              <w:spacing w:after="20"/>
            </w:pPr>
            <w:r>
              <w:rPr>
                <w:b w:val="0"/>
                <w:sz w:val="17"/>
              </w:rPr>
              <w:t>expone lo que farmacovigilancia registra</w:t>
            </w:r>
          </w:p>
        </w:tc>
      </w:tr>
    </w:tbl>
    <w:p>
      <w:pPr>
        <w:spacing w:after="40"/>
      </w:pPr>
    </w:p>
    <w:p>
      <w:pPr>
        <w:spacing w:after="120"/>
      </w:pPr>
      <w:r>
        <w:rPr>
          <w:b/>
          <w:sz w:val="21"/>
        </w:rPr>
        <w:t>La matriz del tronco</w:t>
      </w:r>
      <w:r>
        <w:rPr>
          <w:b w:val="0"/>
          <w:sz w:val="21"/>
        </w:rPr>
        <w:t xml:space="preserve"> (fila depende de columna; — = diagonal excluida):</w:t>
      </w:r>
    </w:p>
    <w:tbl>
      <w:tblPr>
        <w:tblStyle w:val="TableGrid"/>
        <w:jc w:val="center"/>
        <w:tblLayout w:type="fixed"/>
        <w:tblLook w:firstColumn="1" w:firstRow="1" w:lastColumn="0" w:lastRow="0" w:noHBand="0" w:noVBand="1" w:val="04A0"/>
        <w:tblW w:type="dxa" w:w="13535"/>
      </w:tblPr>
      <w:tblGrid>
        <w:gridCol w:w="2166"/>
        <w:gridCol w:w="948"/>
        <w:gridCol w:w="948"/>
        <w:gridCol w:w="948"/>
        <w:gridCol w:w="948"/>
        <w:gridCol w:w="948"/>
        <w:gridCol w:w="948"/>
        <w:gridCol w:w="948"/>
        <w:gridCol w:w="948"/>
        <w:gridCol w:w="948"/>
        <w:gridCol w:w="948"/>
        <w:gridCol w:w="948"/>
        <w:gridCol w:w="948"/>
      </w:tblGrid>
      <w:tr>
        <w:trPr>
          <w:tblHeader w:val="true"/>
        </w:trPr>
        <w:tc>
          <w:tcPr>
            <w:tcW w:type="dxa" w:w="2166"/>
            <w:shd w:val="clear" w:color="auto" w:fill="EDEFF2"/>
          </w:tcPr>
          <w:p>
            <w:pPr>
              <w:keepNext w:val="0"/>
              <w:spacing w:after="20"/>
            </w:pPr>
            <w:r>
              <w:rPr>
                <w:b/>
                <w:sz w:val="18"/>
              </w:rPr>
              <w:t>dep. ↓ / de →</w:t>
            </w:r>
          </w:p>
        </w:tc>
        <w:tc>
          <w:tcPr>
            <w:tcW w:type="dxa" w:w="948"/>
            <w:shd w:val="clear" w:color="auto" w:fill="EDEFF2"/>
          </w:tcPr>
          <w:p>
            <w:pPr>
              <w:keepNext w:val="0"/>
              <w:spacing w:after="20"/>
            </w:pPr>
            <w:r>
              <w:rPr>
                <w:b/>
                <w:sz w:val="18"/>
              </w:rPr>
              <w:t>01</w:t>
            </w:r>
          </w:p>
        </w:tc>
        <w:tc>
          <w:tcPr>
            <w:tcW w:type="dxa" w:w="948"/>
            <w:shd w:val="clear" w:color="auto" w:fill="EDEFF2"/>
          </w:tcPr>
          <w:p>
            <w:pPr>
              <w:keepNext w:val="0"/>
              <w:spacing w:after="20"/>
            </w:pPr>
            <w:r>
              <w:rPr>
                <w:b/>
                <w:sz w:val="18"/>
              </w:rPr>
              <w:t>02</w:t>
            </w:r>
          </w:p>
        </w:tc>
        <w:tc>
          <w:tcPr>
            <w:tcW w:type="dxa" w:w="948"/>
            <w:shd w:val="clear" w:color="auto" w:fill="EDEFF2"/>
          </w:tcPr>
          <w:p>
            <w:pPr>
              <w:keepNext w:val="0"/>
              <w:spacing w:after="20"/>
            </w:pPr>
            <w:r>
              <w:rPr>
                <w:b/>
                <w:sz w:val="18"/>
              </w:rPr>
              <w:t>05</w:t>
            </w:r>
          </w:p>
        </w:tc>
        <w:tc>
          <w:tcPr>
            <w:tcW w:type="dxa" w:w="948"/>
            <w:shd w:val="clear" w:color="auto" w:fill="EDEFF2"/>
          </w:tcPr>
          <w:p>
            <w:pPr>
              <w:keepNext w:val="0"/>
              <w:spacing w:after="20"/>
            </w:pPr>
            <w:r>
              <w:rPr>
                <w:b/>
                <w:sz w:val="18"/>
              </w:rPr>
              <w:t>10</w:t>
            </w:r>
          </w:p>
        </w:tc>
        <w:tc>
          <w:tcPr>
            <w:tcW w:type="dxa" w:w="948"/>
            <w:shd w:val="clear" w:color="auto" w:fill="EDEFF2"/>
          </w:tcPr>
          <w:p>
            <w:pPr>
              <w:keepNext w:val="0"/>
              <w:spacing w:after="20"/>
            </w:pPr>
            <w:r>
              <w:rPr>
                <w:b/>
                <w:sz w:val="18"/>
              </w:rPr>
              <w:t>14</w:t>
            </w:r>
          </w:p>
        </w:tc>
        <w:tc>
          <w:tcPr>
            <w:tcW w:type="dxa" w:w="948"/>
            <w:shd w:val="clear" w:color="auto" w:fill="EDEFF2"/>
          </w:tcPr>
          <w:p>
            <w:pPr>
              <w:keepNext w:val="0"/>
              <w:spacing w:after="20"/>
            </w:pPr>
            <w:r>
              <w:rPr>
                <w:b/>
                <w:sz w:val="18"/>
              </w:rPr>
              <w:t>17</w:t>
            </w:r>
          </w:p>
        </w:tc>
        <w:tc>
          <w:tcPr>
            <w:tcW w:type="dxa" w:w="948"/>
            <w:shd w:val="clear" w:color="auto" w:fill="EDEFF2"/>
          </w:tcPr>
          <w:p>
            <w:pPr>
              <w:keepNext w:val="0"/>
              <w:spacing w:after="20"/>
            </w:pPr>
            <w:r>
              <w:rPr>
                <w:b/>
                <w:sz w:val="18"/>
              </w:rPr>
              <w:t>18</w:t>
            </w:r>
          </w:p>
        </w:tc>
        <w:tc>
          <w:tcPr>
            <w:tcW w:type="dxa" w:w="948"/>
            <w:shd w:val="clear" w:color="auto" w:fill="EDEFF2"/>
          </w:tcPr>
          <w:p>
            <w:pPr>
              <w:keepNext w:val="0"/>
              <w:spacing w:after="20"/>
            </w:pPr>
            <w:r>
              <w:rPr>
                <w:b/>
                <w:sz w:val="18"/>
              </w:rPr>
              <w:t>23</w:t>
            </w:r>
          </w:p>
        </w:tc>
        <w:tc>
          <w:tcPr>
            <w:tcW w:type="dxa" w:w="948"/>
            <w:shd w:val="clear" w:color="auto" w:fill="EDEFF2"/>
          </w:tcPr>
          <w:p>
            <w:pPr>
              <w:keepNext w:val="0"/>
              <w:spacing w:after="20"/>
            </w:pPr>
            <w:r>
              <w:rPr>
                <w:b/>
                <w:sz w:val="18"/>
              </w:rPr>
              <w:t>24</w:t>
            </w:r>
          </w:p>
        </w:tc>
        <w:tc>
          <w:tcPr>
            <w:tcW w:type="dxa" w:w="948"/>
            <w:shd w:val="clear" w:color="auto" w:fill="EDEFF2"/>
          </w:tcPr>
          <w:p>
            <w:pPr>
              <w:keepNext w:val="0"/>
              <w:spacing w:after="20"/>
            </w:pPr>
            <w:r>
              <w:rPr>
                <w:b/>
                <w:sz w:val="18"/>
              </w:rPr>
              <w:t>28</w:t>
            </w:r>
          </w:p>
        </w:tc>
        <w:tc>
          <w:tcPr>
            <w:tcW w:type="dxa" w:w="948"/>
            <w:shd w:val="clear" w:color="auto" w:fill="EDEFF2"/>
          </w:tcPr>
          <w:p>
            <w:pPr>
              <w:keepNext w:val="0"/>
              <w:spacing w:after="20"/>
            </w:pPr>
            <w:r>
              <w:rPr>
                <w:b/>
                <w:sz w:val="18"/>
              </w:rPr>
              <w:t>29</w:t>
            </w:r>
          </w:p>
        </w:tc>
        <w:tc>
          <w:tcPr>
            <w:tcW w:type="dxa" w:w="948"/>
            <w:shd w:val="clear" w:color="auto" w:fill="EDEFF2"/>
          </w:tcPr>
          <w:p>
            <w:pPr>
              <w:keepNext w:val="0"/>
              <w:spacing w:after="20"/>
            </w:pPr>
            <w:r>
              <w:rPr>
                <w:b/>
                <w:sz w:val="18"/>
              </w:rPr>
              <w:t>33</w:t>
            </w:r>
          </w:p>
        </w:tc>
      </w:tr>
      <w:tr>
        <w:tc>
          <w:tcPr>
            <w:tcW w:type="dxa" w:w="2166"/>
          </w:tcPr>
          <w:p>
            <w:pPr>
              <w:spacing w:after="20"/>
            </w:pPr>
            <w:r>
              <w:rPr>
                <w:b w:val="0"/>
                <w:sz w:val="18"/>
              </w:rPr>
              <w:t>RF-01</w:t>
            </w: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RF-02</w:t>
            </w:r>
          </w:p>
        </w:tc>
        <w:tc>
          <w:tcPr>
            <w:tcW w:type="dxa" w:w="948"/>
          </w:tcPr>
          <w:p>
            <w:pPr>
              <w:spacing w:after="20"/>
              <w:jc w:val="center"/>
            </w:pPr>
            <w:r>
              <w:rPr>
                <w:b w:val="0"/>
                <w:sz w:val="18"/>
              </w:rPr>
              <w:t>X</w:t>
            </w: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RF-05</w:t>
            </w: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RF-10</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RF-14</w:t>
            </w: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RF-17</w:t>
            </w: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r>
              <w:rPr>
                <w:b w:val="0"/>
                <w:sz w:val="18"/>
              </w:rPr>
              <w:t>X</w:t>
            </w: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RF-18</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RF-23</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RF-24</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RF-28</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r>
              <w:rPr>
                <w:b w:val="0"/>
                <w:sz w:val="18"/>
              </w:rPr>
              <w:t>—</w:t>
            </w:r>
          </w:p>
        </w:tc>
        <w:tc>
          <w:tcPr>
            <w:tcW w:type="dxa" w:w="948"/>
          </w:tcPr>
          <w:p>
            <w:pPr>
              <w:spacing w:after="20"/>
              <w:jc w:val="center"/>
            </w:pPr>
          </w:p>
        </w:tc>
        <w:tc>
          <w:tcPr>
            <w:tcW w:type="dxa" w:w="948"/>
          </w:tcPr>
          <w:p>
            <w:pPr>
              <w:spacing w:after="20"/>
              <w:jc w:val="center"/>
            </w:pPr>
          </w:p>
        </w:tc>
      </w:tr>
      <w:tr>
        <w:tc>
          <w:tcPr>
            <w:tcW w:type="dxa" w:w="2166"/>
          </w:tcPr>
          <w:p>
            <w:pPr>
              <w:spacing w:after="20"/>
            </w:pPr>
            <w:r>
              <w:rPr>
                <w:b w:val="0"/>
                <w:sz w:val="18"/>
              </w:rPr>
              <w:t>RF-29</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r>
              <w:rPr>
                <w:b w:val="0"/>
                <w:sz w:val="18"/>
              </w:rPr>
              <w:t>—</w:t>
            </w:r>
          </w:p>
        </w:tc>
        <w:tc>
          <w:tcPr>
            <w:tcW w:type="dxa" w:w="948"/>
          </w:tcPr>
          <w:p>
            <w:pPr>
              <w:spacing w:after="20"/>
              <w:jc w:val="center"/>
            </w:pPr>
          </w:p>
        </w:tc>
      </w:tr>
      <w:tr>
        <w:tc>
          <w:tcPr>
            <w:tcW w:type="dxa" w:w="2166"/>
          </w:tcPr>
          <w:p>
            <w:pPr>
              <w:spacing w:after="20"/>
            </w:pPr>
            <w:r>
              <w:rPr>
                <w:b w:val="0"/>
                <w:sz w:val="18"/>
              </w:rPr>
              <w:t>RF-33</w:t>
            </w: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r>
              <w:rPr>
                <w:b w:val="0"/>
                <w:sz w:val="18"/>
              </w:rPr>
              <w:t>X</w:t>
            </w:r>
          </w:p>
        </w:tc>
        <w:tc>
          <w:tcPr>
            <w:tcW w:type="dxa" w:w="948"/>
          </w:tcPr>
          <w:p>
            <w:pPr>
              <w:spacing w:after="20"/>
              <w:jc w:val="center"/>
            </w:pPr>
          </w:p>
        </w:tc>
        <w:tc>
          <w:tcPr>
            <w:tcW w:type="dxa" w:w="948"/>
          </w:tcPr>
          <w:p>
            <w:pPr>
              <w:spacing w:after="20"/>
              <w:jc w:val="center"/>
            </w:pPr>
          </w:p>
        </w:tc>
        <w:tc>
          <w:tcPr>
            <w:tcW w:type="dxa" w:w="948"/>
          </w:tcPr>
          <w:p>
            <w:pPr>
              <w:spacing w:after="20"/>
              <w:jc w:val="center"/>
            </w:pPr>
          </w:p>
        </w:tc>
        <w:tc>
          <w:tcPr>
            <w:tcW w:type="dxa" w:w="948"/>
          </w:tcPr>
          <w:p>
            <w:pPr>
              <w:spacing w:after="20"/>
              <w:jc w:val="center"/>
            </w:pPr>
            <w:r>
              <w:rPr>
                <w:b w:val="0"/>
                <w:sz w:val="18"/>
              </w:rPr>
              <w:t>—</w:t>
            </w:r>
          </w:p>
        </w:tc>
      </w:tr>
    </w:tbl>
    <w:p>
      <w:pPr>
        <w:spacing w:after="40"/>
      </w:pPr>
    </w:p>
    <w:p>
      <w:pPr>
        <w:spacing w:after="120"/>
      </w:pPr>
      <w:r>
        <w:rPr>
          <w:b/>
          <w:sz w:val="21"/>
        </w:rPr>
        <w:t>Lectura por fila</w:t>
      </w:r>
      <w:r>
        <w:rPr>
          <w:b w:val="0"/>
          <w:sz w:val="21"/>
        </w:rPr>
        <w:t xml:space="preserve"> — *¿qué necesito antes de construir esto?* Filas vacías (autónomos, candidatos a construirse primero): RF-01, RF-05, RF-11/12/13 (los catálogos de validación). Coincide con la restricción RE-18: </w:t>
      </w:r>
      <w:r>
        <w:rPr>
          <w:b/>
          <w:sz w:val="21"/>
        </w:rPr>
        <w:t>dispensación y almacén primero</w:t>
      </w:r>
      <w:r>
        <w:rPr>
          <w:b w:val="0"/>
          <w:sz w:val="21"/>
        </w:rPr>
        <w:t>.</w:t>
      </w:r>
    </w:p>
    <w:p>
      <w:pPr>
        <w:spacing w:after="120"/>
      </w:pPr>
      <w:r>
        <w:rPr>
          <w:b/>
          <w:sz w:val="21"/>
        </w:rPr>
        <w:t>Lectura por columna</w:t>
      </w:r>
      <w:r>
        <w:rPr>
          <w:b w:val="0"/>
          <w:sz w:val="21"/>
        </w:rPr>
        <w:t xml:space="preserve"> — *¿si cambio esto, qué se rompe?* Las columnas más pobladas son RF-02 (4 dependientes), RF-17 (6) y RF-23 (5): </w:t>
      </w:r>
      <w:r>
        <w:rPr>
          <w:b/>
          <w:sz w:val="21"/>
        </w:rPr>
        <w:t>el registro de lotes, la dispensación y la administración son los RF críticos del sistema</w:t>
      </w:r>
      <w:r>
        <w:rPr>
          <w:b w:val="0"/>
          <w:sz w:val="21"/>
        </w:rPr>
        <w:t xml:space="preserve">. Hallazgo: la criticidad estructural coincide con el orden del ciclo de vida, lo que valida la descomposición. </w:t>
      </w:r>
      <w:r>
        <w:rPr>
          <w:b/>
          <w:sz w:val="21"/>
        </w:rPr>
        <w:t>Sin ciclos</w:t>
      </w:r>
      <w:r>
        <w:rPr>
          <w:b w:val="0"/>
          <w:sz w:val="21"/>
        </w:rPr>
        <w:t>: ningún par depende mutuamente.</w:t>
      </w:r>
    </w:p>
    <w:p>
      <w:pPr>
        <w:pStyle w:val="Heading2"/>
      </w:pPr>
      <w:r>
        <w:rPr>
          <w:color w:val="000000"/>
        </w:rPr>
      </w:r>
      <w:r>
        <w:rPr>
          <w:b/>
          <w:color w:val="000000"/>
        </w:rPr>
        <w:t>4.3 CDU vs. Drivers RF — cobertura</w:t>
      </w:r>
    </w:p>
    <w:p>
      <w:pPr>
        <w:spacing w:after="120"/>
      </w:pPr>
      <w:r>
        <w:rPr>
          <w:b/>
          <w:sz w:val="21"/>
        </w:rPr>
        <w:t>Celda:</w:t>
      </w:r>
      <w:r>
        <w:rPr>
          <w:b w:val="0"/>
          <w:sz w:val="21"/>
        </w:rPr>
        <w:t xml:space="preserve"> X = ese proceso cubre ese driver. Partida en dos por legibilidad (37 columnas):</w:t>
      </w:r>
    </w:p>
    <w:tbl>
      <w:tblPr>
        <w:tblStyle w:val="TableGrid"/>
        <w:jc w:val="center"/>
        <w:tblLayout w:type="fixed"/>
        <w:tblLook w:firstColumn="1" w:firstRow="1" w:lastColumn="0" w:lastRow="0" w:noHBand="0" w:noVBand="1" w:val="04A0"/>
        <w:tblW w:type="dxa" w:w="13544"/>
      </w:tblPr>
      <w:tblGrid>
        <w:gridCol w:w="1354"/>
        <w:gridCol w:w="642"/>
        <w:gridCol w:w="642"/>
        <w:gridCol w:w="642"/>
        <w:gridCol w:w="642"/>
        <w:gridCol w:w="642"/>
        <w:gridCol w:w="642"/>
        <w:gridCol w:w="642"/>
        <w:gridCol w:w="642"/>
        <w:gridCol w:w="642"/>
        <w:gridCol w:w="642"/>
        <w:gridCol w:w="642"/>
        <w:gridCol w:w="642"/>
        <w:gridCol w:w="642"/>
        <w:gridCol w:w="642"/>
        <w:gridCol w:w="642"/>
        <w:gridCol w:w="642"/>
        <w:gridCol w:w="642"/>
        <w:gridCol w:w="642"/>
        <w:gridCol w:w="642"/>
      </w:tblGrid>
      <w:tr>
        <w:trPr>
          <w:tblHeader w:val="true"/>
        </w:trPr>
        <w:tc>
          <w:tcPr>
            <w:tcW w:type="dxa" w:w="1354"/>
            <w:shd w:val="clear" w:color="auto" w:fill="EDEFF2"/>
          </w:tcPr>
          <w:p>
            <w:pPr>
              <w:keepNext w:val="0"/>
              <w:spacing w:after="20"/>
            </w:pPr>
          </w:p>
        </w:tc>
        <w:tc>
          <w:tcPr>
            <w:tcW w:type="dxa" w:w="642"/>
            <w:shd w:val="clear" w:color="auto" w:fill="EDEFF2"/>
          </w:tcPr>
          <w:p>
            <w:pPr>
              <w:keepNext w:val="0"/>
              <w:spacing w:after="20"/>
            </w:pPr>
            <w:r>
              <w:rPr>
                <w:b/>
                <w:sz w:val="16"/>
              </w:rPr>
              <w:t>01</w:t>
            </w:r>
          </w:p>
        </w:tc>
        <w:tc>
          <w:tcPr>
            <w:tcW w:type="dxa" w:w="642"/>
            <w:shd w:val="clear" w:color="auto" w:fill="EDEFF2"/>
          </w:tcPr>
          <w:p>
            <w:pPr>
              <w:keepNext w:val="0"/>
              <w:spacing w:after="20"/>
            </w:pPr>
            <w:r>
              <w:rPr>
                <w:b/>
                <w:sz w:val="16"/>
              </w:rPr>
              <w:t>02</w:t>
            </w:r>
          </w:p>
        </w:tc>
        <w:tc>
          <w:tcPr>
            <w:tcW w:type="dxa" w:w="642"/>
            <w:shd w:val="clear" w:color="auto" w:fill="EDEFF2"/>
          </w:tcPr>
          <w:p>
            <w:pPr>
              <w:keepNext w:val="0"/>
              <w:spacing w:after="20"/>
            </w:pPr>
            <w:r>
              <w:rPr>
                <w:b/>
                <w:sz w:val="16"/>
              </w:rPr>
              <w:t>03</w:t>
            </w:r>
          </w:p>
        </w:tc>
        <w:tc>
          <w:tcPr>
            <w:tcW w:type="dxa" w:w="642"/>
            <w:shd w:val="clear" w:color="auto" w:fill="EDEFF2"/>
          </w:tcPr>
          <w:p>
            <w:pPr>
              <w:keepNext w:val="0"/>
              <w:spacing w:after="20"/>
            </w:pPr>
            <w:r>
              <w:rPr>
                <w:b/>
                <w:sz w:val="16"/>
              </w:rPr>
              <w:t>04</w:t>
            </w:r>
          </w:p>
        </w:tc>
        <w:tc>
          <w:tcPr>
            <w:tcW w:type="dxa" w:w="642"/>
            <w:shd w:val="clear" w:color="auto" w:fill="EDEFF2"/>
          </w:tcPr>
          <w:p>
            <w:pPr>
              <w:keepNext w:val="0"/>
              <w:spacing w:after="20"/>
            </w:pPr>
            <w:r>
              <w:rPr>
                <w:b/>
                <w:sz w:val="16"/>
              </w:rPr>
              <w:t>05</w:t>
            </w:r>
          </w:p>
        </w:tc>
        <w:tc>
          <w:tcPr>
            <w:tcW w:type="dxa" w:w="642"/>
            <w:shd w:val="clear" w:color="auto" w:fill="EDEFF2"/>
          </w:tcPr>
          <w:p>
            <w:pPr>
              <w:keepNext w:val="0"/>
              <w:spacing w:after="20"/>
            </w:pPr>
            <w:r>
              <w:rPr>
                <w:b/>
                <w:sz w:val="16"/>
              </w:rPr>
              <w:t>06</w:t>
            </w:r>
          </w:p>
        </w:tc>
        <w:tc>
          <w:tcPr>
            <w:tcW w:type="dxa" w:w="642"/>
            <w:shd w:val="clear" w:color="auto" w:fill="EDEFF2"/>
          </w:tcPr>
          <w:p>
            <w:pPr>
              <w:keepNext w:val="0"/>
              <w:spacing w:after="20"/>
            </w:pPr>
            <w:r>
              <w:rPr>
                <w:b/>
                <w:sz w:val="16"/>
              </w:rPr>
              <w:t>07</w:t>
            </w:r>
          </w:p>
        </w:tc>
        <w:tc>
          <w:tcPr>
            <w:tcW w:type="dxa" w:w="642"/>
            <w:shd w:val="clear" w:color="auto" w:fill="EDEFF2"/>
          </w:tcPr>
          <w:p>
            <w:pPr>
              <w:keepNext w:val="0"/>
              <w:spacing w:after="20"/>
            </w:pPr>
            <w:r>
              <w:rPr>
                <w:b/>
                <w:sz w:val="16"/>
              </w:rPr>
              <w:t>08</w:t>
            </w:r>
          </w:p>
        </w:tc>
        <w:tc>
          <w:tcPr>
            <w:tcW w:type="dxa" w:w="642"/>
            <w:shd w:val="clear" w:color="auto" w:fill="EDEFF2"/>
          </w:tcPr>
          <w:p>
            <w:pPr>
              <w:keepNext w:val="0"/>
              <w:spacing w:after="20"/>
            </w:pPr>
            <w:r>
              <w:rPr>
                <w:b/>
                <w:sz w:val="16"/>
              </w:rPr>
              <w:t>09</w:t>
            </w:r>
          </w:p>
        </w:tc>
        <w:tc>
          <w:tcPr>
            <w:tcW w:type="dxa" w:w="642"/>
            <w:shd w:val="clear" w:color="auto" w:fill="EDEFF2"/>
          </w:tcPr>
          <w:p>
            <w:pPr>
              <w:keepNext w:val="0"/>
              <w:spacing w:after="20"/>
            </w:pPr>
            <w:r>
              <w:rPr>
                <w:b/>
                <w:sz w:val="16"/>
              </w:rPr>
              <w:t>10</w:t>
            </w:r>
          </w:p>
        </w:tc>
        <w:tc>
          <w:tcPr>
            <w:tcW w:type="dxa" w:w="642"/>
            <w:shd w:val="clear" w:color="auto" w:fill="EDEFF2"/>
          </w:tcPr>
          <w:p>
            <w:pPr>
              <w:keepNext w:val="0"/>
              <w:spacing w:after="20"/>
            </w:pPr>
            <w:r>
              <w:rPr>
                <w:b/>
                <w:sz w:val="16"/>
              </w:rPr>
              <w:t>11</w:t>
            </w:r>
          </w:p>
        </w:tc>
        <w:tc>
          <w:tcPr>
            <w:tcW w:type="dxa" w:w="642"/>
            <w:shd w:val="clear" w:color="auto" w:fill="EDEFF2"/>
          </w:tcPr>
          <w:p>
            <w:pPr>
              <w:keepNext w:val="0"/>
              <w:spacing w:after="20"/>
            </w:pPr>
            <w:r>
              <w:rPr>
                <w:b/>
                <w:sz w:val="16"/>
              </w:rPr>
              <w:t>12</w:t>
            </w:r>
          </w:p>
        </w:tc>
        <w:tc>
          <w:tcPr>
            <w:tcW w:type="dxa" w:w="642"/>
            <w:shd w:val="clear" w:color="auto" w:fill="EDEFF2"/>
          </w:tcPr>
          <w:p>
            <w:pPr>
              <w:keepNext w:val="0"/>
              <w:spacing w:after="20"/>
            </w:pPr>
            <w:r>
              <w:rPr>
                <w:b/>
                <w:sz w:val="16"/>
              </w:rPr>
              <w:t>13</w:t>
            </w:r>
          </w:p>
        </w:tc>
        <w:tc>
          <w:tcPr>
            <w:tcW w:type="dxa" w:w="642"/>
            <w:shd w:val="clear" w:color="auto" w:fill="EDEFF2"/>
          </w:tcPr>
          <w:p>
            <w:pPr>
              <w:keepNext w:val="0"/>
              <w:spacing w:after="20"/>
            </w:pPr>
            <w:r>
              <w:rPr>
                <w:b/>
                <w:sz w:val="16"/>
              </w:rPr>
              <w:t>14</w:t>
            </w:r>
          </w:p>
        </w:tc>
        <w:tc>
          <w:tcPr>
            <w:tcW w:type="dxa" w:w="642"/>
            <w:shd w:val="clear" w:color="auto" w:fill="EDEFF2"/>
          </w:tcPr>
          <w:p>
            <w:pPr>
              <w:keepNext w:val="0"/>
              <w:spacing w:after="20"/>
            </w:pPr>
            <w:r>
              <w:rPr>
                <w:b/>
                <w:sz w:val="16"/>
              </w:rPr>
              <w:t>15</w:t>
            </w:r>
          </w:p>
        </w:tc>
        <w:tc>
          <w:tcPr>
            <w:tcW w:type="dxa" w:w="642"/>
            <w:shd w:val="clear" w:color="auto" w:fill="EDEFF2"/>
          </w:tcPr>
          <w:p>
            <w:pPr>
              <w:keepNext w:val="0"/>
              <w:spacing w:after="20"/>
            </w:pPr>
            <w:r>
              <w:rPr>
                <w:b/>
                <w:sz w:val="16"/>
              </w:rPr>
              <w:t>16</w:t>
            </w:r>
          </w:p>
        </w:tc>
        <w:tc>
          <w:tcPr>
            <w:tcW w:type="dxa" w:w="642"/>
            <w:shd w:val="clear" w:color="auto" w:fill="EDEFF2"/>
          </w:tcPr>
          <w:p>
            <w:pPr>
              <w:keepNext w:val="0"/>
              <w:spacing w:after="20"/>
            </w:pPr>
            <w:r>
              <w:rPr>
                <w:b/>
                <w:sz w:val="16"/>
              </w:rPr>
              <w:t>17</w:t>
            </w:r>
          </w:p>
        </w:tc>
        <w:tc>
          <w:tcPr>
            <w:tcW w:type="dxa" w:w="642"/>
            <w:shd w:val="clear" w:color="auto" w:fill="EDEFF2"/>
          </w:tcPr>
          <w:p>
            <w:pPr>
              <w:keepNext w:val="0"/>
              <w:spacing w:after="20"/>
            </w:pPr>
            <w:r>
              <w:rPr>
                <w:b/>
                <w:sz w:val="16"/>
              </w:rPr>
              <w:t>18</w:t>
            </w:r>
          </w:p>
        </w:tc>
        <w:tc>
          <w:tcPr>
            <w:tcW w:type="dxa" w:w="642"/>
            <w:shd w:val="clear" w:color="auto" w:fill="EDEFF2"/>
          </w:tcPr>
          <w:p>
            <w:pPr>
              <w:keepNext w:val="0"/>
              <w:spacing w:after="20"/>
            </w:pPr>
            <w:r>
              <w:rPr>
                <w:b/>
                <w:sz w:val="16"/>
              </w:rPr>
              <w:t>19</w:t>
            </w:r>
          </w:p>
        </w:tc>
      </w:tr>
      <w:tr>
        <w:tc>
          <w:tcPr>
            <w:tcW w:type="dxa" w:w="1354"/>
          </w:tcPr>
          <w:p>
            <w:pPr>
              <w:spacing w:after="20"/>
            </w:pPr>
            <w:r>
              <w:rPr>
                <w:b w:val="0"/>
                <w:sz w:val="16"/>
              </w:rPr>
              <w:t>CDU-01</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r>
        <w:tc>
          <w:tcPr>
            <w:tcW w:type="dxa" w:w="1354"/>
          </w:tcPr>
          <w:p>
            <w:pPr>
              <w:spacing w:after="20"/>
            </w:pPr>
            <w:r>
              <w:rPr>
                <w:b w:val="0"/>
                <w:sz w:val="16"/>
              </w:rPr>
              <w:t>CDU-02</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r>
        <w:tc>
          <w:tcPr>
            <w:tcW w:type="dxa" w:w="1354"/>
          </w:tcPr>
          <w:p>
            <w:pPr>
              <w:spacing w:after="20"/>
            </w:pPr>
            <w:r>
              <w:rPr>
                <w:b w:val="0"/>
                <w:sz w:val="16"/>
              </w:rPr>
              <w:t>CDU-03</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r>
        <w:tc>
          <w:tcPr>
            <w:tcW w:type="dxa" w:w="1354"/>
          </w:tcPr>
          <w:p>
            <w:pPr>
              <w:spacing w:after="20"/>
            </w:pPr>
            <w:r>
              <w:rPr>
                <w:b w:val="0"/>
                <w:sz w:val="16"/>
              </w:rPr>
              <w:t>CDU-04</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r>
              <w:rPr>
                <w:b w:val="0"/>
                <w:sz w:val="16"/>
              </w:rPr>
              <w:t>X</w:t>
            </w:r>
          </w:p>
        </w:tc>
        <w:tc>
          <w:tcPr>
            <w:tcW w:type="dxa" w:w="642"/>
          </w:tcPr>
          <w:p>
            <w:pPr>
              <w:spacing w:after="20"/>
              <w:jc w:val="center"/>
            </w:pPr>
          </w:p>
        </w:tc>
        <w:tc>
          <w:tcPr>
            <w:tcW w:type="dxa" w:w="642"/>
          </w:tcPr>
          <w:p>
            <w:pPr>
              <w:spacing w:after="20"/>
              <w:jc w:val="center"/>
            </w:pPr>
          </w:p>
        </w:tc>
        <w:tc>
          <w:tcPr>
            <w:tcW w:type="dxa" w:w="642"/>
          </w:tcPr>
          <w:p>
            <w:pPr>
              <w:spacing w:after="20"/>
              <w:jc w:val="center"/>
            </w:pPr>
            <w:r>
              <w:rPr>
                <w:b w:val="0"/>
                <w:sz w:val="16"/>
              </w:rPr>
              <w:t>X</w:t>
            </w:r>
          </w:p>
        </w:tc>
        <w:tc>
          <w:tcPr>
            <w:tcW w:type="dxa" w:w="642"/>
          </w:tcPr>
          <w:p>
            <w:pPr>
              <w:spacing w:after="20"/>
              <w:jc w:val="center"/>
            </w:pPr>
            <w:r>
              <w:rPr>
                <w:b w:val="0"/>
                <w:sz w:val="16"/>
              </w:rPr>
              <w:t>X</w:t>
            </w:r>
          </w:p>
        </w:tc>
        <w:tc>
          <w:tcPr>
            <w:tcW w:type="dxa" w:w="642"/>
          </w:tcPr>
          <w:p>
            <w:pPr>
              <w:spacing w:after="20"/>
              <w:jc w:val="center"/>
            </w:pPr>
            <w:r>
              <w:rPr>
                <w:b w:val="0"/>
                <w:sz w:val="16"/>
              </w:rPr>
              <w:t>X</w:t>
            </w:r>
          </w:p>
        </w:tc>
      </w:tr>
      <w:tr>
        <w:tc>
          <w:tcPr>
            <w:tcW w:type="dxa" w:w="1354"/>
          </w:tcPr>
          <w:p>
            <w:pPr>
              <w:spacing w:after="20"/>
            </w:pPr>
            <w:r>
              <w:rPr>
                <w:b w:val="0"/>
                <w:sz w:val="16"/>
              </w:rPr>
              <w:t>CDU-05</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r>
        <w:tc>
          <w:tcPr>
            <w:tcW w:type="dxa" w:w="1354"/>
          </w:tcPr>
          <w:p>
            <w:pPr>
              <w:spacing w:after="20"/>
            </w:pPr>
            <w:r>
              <w:rPr>
                <w:b w:val="0"/>
                <w:sz w:val="16"/>
              </w:rPr>
              <w:t>CDU-06</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r>
        <w:tc>
          <w:tcPr>
            <w:tcW w:type="dxa" w:w="1354"/>
          </w:tcPr>
          <w:p>
            <w:pPr>
              <w:spacing w:after="20"/>
            </w:pPr>
            <w:r>
              <w:rPr>
                <w:b w:val="0"/>
                <w:sz w:val="16"/>
              </w:rPr>
              <w:t>CDU-07</w:t>
            </w: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c>
          <w:tcPr>
            <w:tcW w:type="dxa" w:w="642"/>
          </w:tcPr>
          <w:p>
            <w:pPr>
              <w:spacing w:after="20"/>
              <w:jc w:val="center"/>
            </w:pPr>
          </w:p>
        </w:tc>
      </w:tr>
    </w:tbl>
    <w:p>
      <w:pPr>
        <w:spacing w:after="40"/>
      </w:pPr>
    </w:p>
    <w:tbl>
      <w:tblPr>
        <w:tblStyle w:val="TableGrid"/>
        <w:jc w:val="center"/>
        <w:tblLayout w:type="fixed"/>
        <w:tblLook w:firstColumn="1" w:firstRow="1" w:lastColumn="0" w:lastRow="0" w:noHBand="0" w:noVBand="1" w:val="04A0"/>
        <w:tblW w:type="dxa" w:w="13536"/>
      </w:tblPr>
      <w:tblGrid>
        <w:gridCol w:w="1354"/>
        <w:gridCol w:w="677"/>
        <w:gridCol w:w="677"/>
        <w:gridCol w:w="677"/>
        <w:gridCol w:w="677"/>
        <w:gridCol w:w="677"/>
        <w:gridCol w:w="677"/>
        <w:gridCol w:w="677"/>
        <w:gridCol w:w="677"/>
        <w:gridCol w:w="677"/>
        <w:gridCol w:w="677"/>
        <w:gridCol w:w="677"/>
        <w:gridCol w:w="677"/>
        <w:gridCol w:w="677"/>
        <w:gridCol w:w="677"/>
        <w:gridCol w:w="677"/>
        <w:gridCol w:w="677"/>
        <w:gridCol w:w="677"/>
        <w:gridCol w:w="677"/>
      </w:tblGrid>
      <w:tr>
        <w:trPr>
          <w:tblHeader w:val="true"/>
        </w:trPr>
        <w:tc>
          <w:tcPr>
            <w:tcW w:type="dxa" w:w="1354"/>
            <w:shd w:val="clear" w:color="auto" w:fill="EDEFF2"/>
          </w:tcPr>
          <w:p>
            <w:pPr>
              <w:keepNext w:val="0"/>
              <w:spacing w:after="20"/>
            </w:pPr>
          </w:p>
        </w:tc>
        <w:tc>
          <w:tcPr>
            <w:tcW w:type="dxa" w:w="677"/>
            <w:shd w:val="clear" w:color="auto" w:fill="EDEFF2"/>
          </w:tcPr>
          <w:p>
            <w:pPr>
              <w:keepNext w:val="0"/>
              <w:spacing w:after="20"/>
            </w:pPr>
            <w:r>
              <w:rPr>
                <w:b/>
                <w:sz w:val="16"/>
              </w:rPr>
              <w:t>20</w:t>
            </w:r>
          </w:p>
        </w:tc>
        <w:tc>
          <w:tcPr>
            <w:tcW w:type="dxa" w:w="677"/>
            <w:shd w:val="clear" w:color="auto" w:fill="EDEFF2"/>
          </w:tcPr>
          <w:p>
            <w:pPr>
              <w:keepNext w:val="0"/>
              <w:spacing w:after="20"/>
            </w:pPr>
            <w:r>
              <w:rPr>
                <w:b/>
                <w:sz w:val="16"/>
              </w:rPr>
              <w:t>21</w:t>
            </w:r>
          </w:p>
        </w:tc>
        <w:tc>
          <w:tcPr>
            <w:tcW w:type="dxa" w:w="677"/>
            <w:shd w:val="clear" w:color="auto" w:fill="EDEFF2"/>
          </w:tcPr>
          <w:p>
            <w:pPr>
              <w:keepNext w:val="0"/>
              <w:spacing w:after="20"/>
            </w:pPr>
            <w:r>
              <w:rPr>
                <w:b/>
                <w:sz w:val="16"/>
              </w:rPr>
              <w:t>22</w:t>
            </w:r>
          </w:p>
        </w:tc>
        <w:tc>
          <w:tcPr>
            <w:tcW w:type="dxa" w:w="677"/>
            <w:shd w:val="clear" w:color="auto" w:fill="EDEFF2"/>
          </w:tcPr>
          <w:p>
            <w:pPr>
              <w:keepNext w:val="0"/>
              <w:spacing w:after="20"/>
            </w:pPr>
            <w:r>
              <w:rPr>
                <w:b/>
                <w:sz w:val="16"/>
              </w:rPr>
              <w:t>23</w:t>
            </w:r>
          </w:p>
        </w:tc>
        <w:tc>
          <w:tcPr>
            <w:tcW w:type="dxa" w:w="677"/>
            <w:shd w:val="clear" w:color="auto" w:fill="EDEFF2"/>
          </w:tcPr>
          <w:p>
            <w:pPr>
              <w:keepNext w:val="0"/>
              <w:spacing w:after="20"/>
            </w:pPr>
            <w:r>
              <w:rPr>
                <w:b/>
                <w:sz w:val="16"/>
              </w:rPr>
              <w:t>24</w:t>
            </w:r>
          </w:p>
        </w:tc>
        <w:tc>
          <w:tcPr>
            <w:tcW w:type="dxa" w:w="677"/>
            <w:shd w:val="clear" w:color="auto" w:fill="EDEFF2"/>
          </w:tcPr>
          <w:p>
            <w:pPr>
              <w:keepNext w:val="0"/>
              <w:spacing w:after="20"/>
            </w:pPr>
            <w:r>
              <w:rPr>
                <w:b/>
                <w:sz w:val="16"/>
              </w:rPr>
              <w:t>25</w:t>
            </w:r>
          </w:p>
        </w:tc>
        <w:tc>
          <w:tcPr>
            <w:tcW w:type="dxa" w:w="677"/>
            <w:shd w:val="clear" w:color="auto" w:fill="EDEFF2"/>
          </w:tcPr>
          <w:p>
            <w:pPr>
              <w:keepNext w:val="0"/>
              <w:spacing w:after="20"/>
            </w:pPr>
            <w:r>
              <w:rPr>
                <w:b/>
                <w:sz w:val="16"/>
              </w:rPr>
              <w:t>26</w:t>
            </w:r>
          </w:p>
        </w:tc>
        <w:tc>
          <w:tcPr>
            <w:tcW w:type="dxa" w:w="677"/>
            <w:shd w:val="clear" w:color="auto" w:fill="EDEFF2"/>
          </w:tcPr>
          <w:p>
            <w:pPr>
              <w:keepNext w:val="0"/>
              <w:spacing w:after="20"/>
            </w:pPr>
            <w:r>
              <w:rPr>
                <w:b/>
                <w:sz w:val="16"/>
              </w:rPr>
              <w:t>27</w:t>
            </w:r>
          </w:p>
        </w:tc>
        <w:tc>
          <w:tcPr>
            <w:tcW w:type="dxa" w:w="677"/>
            <w:shd w:val="clear" w:color="auto" w:fill="EDEFF2"/>
          </w:tcPr>
          <w:p>
            <w:pPr>
              <w:keepNext w:val="0"/>
              <w:spacing w:after="20"/>
            </w:pPr>
            <w:r>
              <w:rPr>
                <w:b/>
                <w:sz w:val="16"/>
              </w:rPr>
              <w:t>28</w:t>
            </w:r>
          </w:p>
        </w:tc>
        <w:tc>
          <w:tcPr>
            <w:tcW w:type="dxa" w:w="677"/>
            <w:shd w:val="clear" w:color="auto" w:fill="EDEFF2"/>
          </w:tcPr>
          <w:p>
            <w:pPr>
              <w:keepNext w:val="0"/>
              <w:spacing w:after="20"/>
            </w:pPr>
            <w:r>
              <w:rPr>
                <w:b/>
                <w:sz w:val="16"/>
              </w:rPr>
              <w:t>29</w:t>
            </w:r>
          </w:p>
        </w:tc>
        <w:tc>
          <w:tcPr>
            <w:tcW w:type="dxa" w:w="677"/>
            <w:shd w:val="clear" w:color="auto" w:fill="EDEFF2"/>
          </w:tcPr>
          <w:p>
            <w:pPr>
              <w:keepNext w:val="0"/>
              <w:spacing w:after="20"/>
            </w:pPr>
            <w:r>
              <w:rPr>
                <w:b/>
                <w:sz w:val="16"/>
              </w:rPr>
              <w:t>30</w:t>
            </w:r>
          </w:p>
        </w:tc>
        <w:tc>
          <w:tcPr>
            <w:tcW w:type="dxa" w:w="677"/>
            <w:shd w:val="clear" w:color="auto" w:fill="EDEFF2"/>
          </w:tcPr>
          <w:p>
            <w:pPr>
              <w:keepNext w:val="0"/>
              <w:spacing w:after="20"/>
            </w:pPr>
            <w:r>
              <w:rPr>
                <w:b/>
                <w:sz w:val="16"/>
              </w:rPr>
              <w:t>31</w:t>
            </w:r>
          </w:p>
        </w:tc>
        <w:tc>
          <w:tcPr>
            <w:tcW w:type="dxa" w:w="677"/>
            <w:shd w:val="clear" w:color="auto" w:fill="EDEFF2"/>
          </w:tcPr>
          <w:p>
            <w:pPr>
              <w:keepNext w:val="0"/>
              <w:spacing w:after="20"/>
            </w:pPr>
            <w:r>
              <w:rPr>
                <w:b/>
                <w:sz w:val="16"/>
              </w:rPr>
              <w:t>32</w:t>
            </w:r>
          </w:p>
        </w:tc>
        <w:tc>
          <w:tcPr>
            <w:tcW w:type="dxa" w:w="677"/>
            <w:shd w:val="clear" w:color="auto" w:fill="EDEFF2"/>
          </w:tcPr>
          <w:p>
            <w:pPr>
              <w:keepNext w:val="0"/>
              <w:spacing w:after="20"/>
            </w:pPr>
            <w:r>
              <w:rPr>
                <w:b/>
                <w:sz w:val="16"/>
              </w:rPr>
              <w:t>33</w:t>
            </w:r>
          </w:p>
        </w:tc>
        <w:tc>
          <w:tcPr>
            <w:tcW w:type="dxa" w:w="677"/>
            <w:shd w:val="clear" w:color="auto" w:fill="EDEFF2"/>
          </w:tcPr>
          <w:p>
            <w:pPr>
              <w:keepNext w:val="0"/>
              <w:spacing w:after="20"/>
            </w:pPr>
            <w:r>
              <w:rPr>
                <w:b/>
                <w:sz w:val="16"/>
              </w:rPr>
              <w:t>34</w:t>
            </w:r>
          </w:p>
        </w:tc>
        <w:tc>
          <w:tcPr>
            <w:tcW w:type="dxa" w:w="677"/>
            <w:shd w:val="clear" w:color="auto" w:fill="EDEFF2"/>
          </w:tcPr>
          <w:p>
            <w:pPr>
              <w:keepNext w:val="0"/>
              <w:spacing w:after="20"/>
            </w:pPr>
            <w:r>
              <w:rPr>
                <w:b/>
                <w:sz w:val="16"/>
              </w:rPr>
              <w:t>35</w:t>
            </w:r>
          </w:p>
        </w:tc>
        <w:tc>
          <w:tcPr>
            <w:tcW w:type="dxa" w:w="677"/>
            <w:shd w:val="clear" w:color="auto" w:fill="EDEFF2"/>
          </w:tcPr>
          <w:p>
            <w:pPr>
              <w:keepNext w:val="0"/>
              <w:spacing w:after="20"/>
            </w:pPr>
            <w:r>
              <w:rPr>
                <w:b/>
                <w:sz w:val="16"/>
              </w:rPr>
              <w:t>36</w:t>
            </w:r>
          </w:p>
        </w:tc>
        <w:tc>
          <w:tcPr>
            <w:tcW w:type="dxa" w:w="677"/>
            <w:shd w:val="clear" w:color="auto" w:fill="EDEFF2"/>
          </w:tcPr>
          <w:p>
            <w:pPr>
              <w:keepNext w:val="0"/>
              <w:spacing w:after="20"/>
            </w:pPr>
            <w:r>
              <w:rPr>
                <w:b/>
                <w:sz w:val="16"/>
              </w:rPr>
              <w:t>37</w:t>
            </w:r>
          </w:p>
        </w:tc>
      </w:tr>
      <w:tr>
        <w:tc>
          <w:tcPr>
            <w:tcW w:type="dxa" w:w="1354"/>
          </w:tcPr>
          <w:p>
            <w:pPr>
              <w:spacing w:after="20"/>
            </w:pPr>
            <w:r>
              <w:rPr>
                <w:b w:val="0"/>
                <w:sz w:val="16"/>
              </w:rPr>
              <w:t>CDU-01</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CDU-02</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CDU-03</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CDU-04</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CDU-05</w:t>
            </w:r>
          </w:p>
        </w:tc>
        <w:tc>
          <w:tcPr>
            <w:tcW w:type="dxa" w:w="677"/>
          </w:tcPr>
          <w:p>
            <w:pPr>
              <w:spacing w:after="20"/>
              <w:jc w:val="center"/>
            </w:pPr>
          </w:p>
        </w:tc>
        <w:tc>
          <w:tcPr>
            <w:tcW w:type="dxa" w:w="677"/>
          </w:tcPr>
          <w:p>
            <w:pPr>
              <w:spacing w:after="20"/>
              <w:jc w:val="center"/>
            </w:pP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CDU-06</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r>
      <w:tr>
        <w:tc>
          <w:tcPr>
            <w:tcW w:type="dxa" w:w="1354"/>
          </w:tcPr>
          <w:p>
            <w:pPr>
              <w:spacing w:after="20"/>
            </w:pPr>
            <w:r>
              <w:rPr>
                <w:b w:val="0"/>
                <w:sz w:val="16"/>
              </w:rPr>
              <w:t>CDU-07</w:t>
            </w: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c>
          <w:tcPr>
            <w:tcW w:type="dxa" w:w="677"/>
          </w:tcPr>
          <w:p>
            <w:pPr>
              <w:spacing w:after="20"/>
              <w:jc w:val="center"/>
            </w:pPr>
            <w:r>
              <w:rPr>
                <w:b w:val="0"/>
                <w:sz w:val="16"/>
              </w:rPr>
              <w:t>X</w:t>
            </w:r>
          </w:p>
        </w:tc>
      </w:tr>
    </w:tbl>
    <w:p>
      <w:pPr>
        <w:spacing w:after="40"/>
      </w:pPr>
    </w:p>
    <w:p>
      <w:pPr>
        <w:spacing w:after="120"/>
      </w:pPr>
      <w:r>
        <w:rPr>
          <w:b/>
          <w:sz w:val="21"/>
        </w:rPr>
        <w:t>Lectura por columna</w:t>
      </w:r>
      <w:r>
        <w:rPr>
          <w:b w:val="0"/>
          <w:sz w:val="21"/>
        </w:rPr>
        <w:t xml:space="preserve"> — *¿todo RF tiene quién lo cubra?* </w:t>
      </w:r>
      <w:r>
        <w:rPr>
          <w:b/>
          <w:sz w:val="21"/>
        </w:rPr>
        <w:t>Ninguna columna vacía: los 37 RF están cubiertos.</w:t>
      </w:r>
      <w:r>
        <w:rPr>
          <w:b w:val="0"/>
          <w:sz w:val="21"/>
        </w:rPr>
        <w:t xml:space="preserve"> Esa es la prueba de completitud del criterio 3, ahora demostrada en matriz.</w:t>
      </w:r>
    </w:p>
    <w:p>
      <w:pPr>
        <w:spacing w:after="120"/>
      </w:pPr>
      <w:r>
        <w:rPr>
          <w:b/>
          <w:sz w:val="21"/>
        </w:rPr>
        <w:t>Lectura por fila</w:t>
      </w:r>
      <w:r>
        <w:rPr>
          <w:b w:val="0"/>
          <w:sz w:val="21"/>
        </w:rPr>
        <w:t xml:space="preserve"> — *¿todo proceso justifica su existencia?* </w:t>
      </w:r>
      <w:r>
        <w:rPr>
          <w:b/>
          <w:sz w:val="21"/>
        </w:rPr>
        <w:t>Ninguna fila vacía</w:t>
      </w:r>
      <w:r>
        <w:rPr>
          <w:b w:val="0"/>
          <w:sz w:val="21"/>
        </w:rPr>
        <w:t>, y el reparto es parejo (4-7 RF por proceso): ningún CDU está sobrecargado ni sobra.</w:t>
      </w:r>
    </w:p>
    <w:p>
      <w:pPr>
        <w:spacing w:after="120"/>
      </w:pPr>
      <w:r>
        <w:rPr>
          <w:b/>
          <w:sz w:val="21"/>
        </w:rPr>
        <w:t>El hallazgo fino</w:t>
      </w:r>
      <w:r>
        <w:rPr>
          <w:b w:val="0"/>
          <w:sz w:val="21"/>
        </w:rPr>
        <w:t xml:space="preserve">: RF-14 aparece en </w:t>
      </w:r>
      <w:r>
        <w:rPr>
          <w:b/>
          <w:sz w:val="21"/>
        </w:rPr>
        <w:t>dos filas</w:t>
      </w:r>
      <w:r>
        <w:rPr>
          <w:b w:val="0"/>
          <w:sz w:val="21"/>
        </w:rPr>
        <w:t xml:space="preserve"> (CDU-03 y CDU-04) y RF-22 también (CDU-04 y CDU-05). No es un error de la matriz: </w:t>
      </w:r>
      <w:r>
        <w:rPr>
          <w:b/>
          <w:sz w:val="21"/>
        </w:rPr>
        <w:t>es la inclusión por reutilización de §3.1 hecha visible</w:t>
      </w:r>
      <w:r>
        <w:rPr>
          <w:b w:val="0"/>
          <w:sz w:val="21"/>
        </w:rPr>
        <w:t xml:space="preserve"> — consultar inventario lo comparten prescribir y dispensar; el doble registro INCAP exige que dispensación y administración coincidan.</w:t>
      </w:r>
    </w:p>
    <w:p>
      <w:pPr>
        <w:pStyle w:val="Heading2"/>
      </w:pPr>
      <w:r>
        <w:rPr>
          <w:color w:val="000000"/>
        </w:rPr>
      </w:r>
      <w:r>
        <w:rPr>
          <w:b/>
          <w:color w:val="000000"/>
        </w:rPr>
        <w:t>4.4 La cadena completa — la prueba de las tres juntas</w:t>
      </w:r>
    </w:p>
    <w:p>
      <w:pPr>
        <w:spacing w:after="120"/>
      </w:pPr>
      <w:r>
        <w:rPr>
          <w:b w:val="0"/>
          <w:sz w:val="21"/>
        </w:rPr>
        <w:t>Las tres matrices se verifican encadenándolas. Un recorrido de ida:</w:t>
      </w:r>
    </w:p>
    <w:p>
      <w:pPr>
        <w:spacing w:after="200"/>
        <w:ind w:left="432"/>
      </w:pPr>
      <w:r>
        <w:rPr>
          <w:b/>
          <w:sz w:val="20"/>
        </w:rPr>
        <w:t>STK-11 Contraloría</w:t>
      </w:r>
      <w:r>
        <w:rPr>
          <w:b/>
          <w:sz w:val="20"/>
        </w:rPr>
        <w:t xml:space="preserve"> → (matriz 1) participa en </w:t>
      </w:r>
      <w:r>
        <w:rPr>
          <w:b/>
          <w:sz w:val="20"/>
        </w:rPr>
        <w:t>CDU-07</w:t>
      </w:r>
      <w:r>
        <w:rPr>
          <w:b/>
          <w:sz w:val="20"/>
        </w:rPr>
        <w:t xml:space="preserve"> → (matriz 3) que cubre </w:t>
      </w:r>
      <w:r>
        <w:rPr>
          <w:b/>
          <w:sz w:val="20"/>
        </w:rPr>
        <w:t>RF-33</w:t>
      </w:r>
      <w:r>
        <w:rPr>
          <w:b/>
          <w:sz w:val="20"/>
        </w:rPr>
        <w:t xml:space="preserve"> informe forense → (matriz 2) que depende de </w:t>
      </w:r>
      <w:r>
        <w:rPr>
          <w:b/>
          <w:sz w:val="20"/>
        </w:rPr>
        <w:t>RF-02, RF-05, RF-17, RF-23</w:t>
      </w:r>
      <w:r>
        <w:rPr>
          <w:b/>
          <w:sz w:val="20"/>
        </w:rPr>
        <w:t xml:space="preserve"> — la cadena completa del lote.</w:t>
      </w:r>
    </w:p>
    <w:p>
      <w:pPr>
        <w:spacing w:after="120"/>
      </w:pPr>
      <w:r>
        <w:rPr>
          <w:b w:val="0"/>
          <w:sz w:val="21"/>
        </w:rPr>
        <w:t xml:space="preserve">Y la vuelta — *¿si cambia RF-17 (dispensar), a qué stakeholders les afecta?*: por la matriz 2, caen RF-18, RF-19/20/21, RF-22, RF-23, RF-26, RF-33, RF-34; por la matriz 3 eso toca CDU-04, CDU-05 y CDU-07; por la matriz 1, los afectados son </w:t>
      </w:r>
      <w:r>
        <w:rPr>
          <w:b/>
          <w:sz w:val="21"/>
        </w:rPr>
        <w:t>farmacéutico, enfermero, paciente, director y Contraloría</w:t>
      </w:r>
      <w:r>
        <w:rPr>
          <w:b w:val="0"/>
          <w:sz w:val="21"/>
        </w:rPr>
        <w:t>. Ese recorrido es el análisis de impacto que la NT1 promete.</w:t>
      </w:r>
    </w:p>
    <w:p>
      <w:pPr>
        <w:sectPr>
          <w:footerReference w:type="default" r:id="rId17"/>
          <w:pgSz w:w="15840" w:h="12240" w:orient="landscape"/>
          <w:pgMar w:top="1008" w:right="1152" w:bottom="1008" w:left="1152" w:header="720" w:footer="720" w:gutter="0"/>
          <w:cols w:space="720"/>
          <w:docGrid w:linePitch="360"/>
        </w:sectPr>
      </w:pPr>
    </w:p>
    <w:p>
      <w:pPr>
        <w:pStyle w:val="Heading1"/>
      </w:pPr>
      <w:r>
        <w:rPr>
          <w:color w:val="000000"/>
        </w:rPr>
      </w:r>
      <w:r>
        <w:rPr>
          <w:b/>
          <w:color w:val="000000"/>
        </w:rPr>
        <w:t>5. Selección del estilo arquitectónico y su justificación · criterio 5 — 10 pts</w:t>
      </w:r>
    </w:p>
    <w:p>
      <w:pPr>
        <w:pStyle w:val="Heading2"/>
      </w:pPr>
      <w:r>
        <w:rPr>
          <w:color w:val="000000"/>
        </w:rPr>
      </w:r>
      <w:r>
        <w:rPr>
          <w:b/>
          <w:color w:val="000000"/>
        </w:rPr>
        <w:t>5.1 La decisión, en una línea</w:t>
      </w:r>
    </w:p>
    <w:p>
      <w:pPr>
        <w:spacing w:after="200"/>
        <w:ind w:left="432"/>
      </w:pPr>
      <w:r>
        <w:rPr>
          <w:b/>
          <w:sz w:val="20"/>
        </w:rPr>
        <w:t>Arquitectura orientada a servicios (SOA)</w:t>
      </w:r>
      <w:r>
        <w:rPr>
          <w:b/>
          <w:sz w:val="20"/>
        </w:rPr>
        <w:t xml:space="preserve"> con </w:t>
      </w:r>
      <w:r>
        <w:rPr>
          <w:b/>
          <w:sz w:val="20"/>
        </w:rPr>
        <w:t>un servicio de negocio por proceso</w:t>
      </w:r>
      <w:r>
        <w:rPr>
          <w:b/>
          <w:sz w:val="20"/>
        </w:rPr>
        <w:t xml:space="preserve"> (CDU-01 a CDU-07), </w:t>
      </w:r>
      <w:r>
        <w:rPr>
          <w:b/>
          <w:sz w:val="20"/>
        </w:rPr>
        <w:t>cada servicio organizado en capas</w:t>
      </w:r>
      <w:r>
        <w:rPr>
          <w:b/>
          <w:sz w:val="20"/>
        </w:rPr>
        <w:t xml:space="preserve">, comunicación de </w:t>
      </w:r>
      <w:r>
        <w:rPr>
          <w:b/>
          <w:sz w:val="20"/>
        </w:rPr>
        <w:t>llamada y retorno</w:t>
      </w:r>
      <w:r>
        <w:rPr>
          <w:b/>
          <w:sz w:val="20"/>
        </w:rPr>
        <w:t xml:space="preserve"> para lo que exige respuesta inmediata y </w:t>
      </w:r>
      <w:r>
        <w:rPr>
          <w:b/>
          <w:sz w:val="20"/>
        </w:rPr>
        <w:t>basada en eventos</w:t>
      </w:r>
      <w:r>
        <w:rPr>
          <w:b/>
          <w:sz w:val="20"/>
        </w:rPr>
        <w:t xml:space="preserve"> (bus) para lo asíncrono, clientes </w:t>
      </w:r>
      <w:r>
        <w:rPr>
          <w:b/>
          <w:sz w:val="20"/>
        </w:rPr>
        <w:t>cliente-servidor offline-first</w:t>
      </w:r>
      <w:r>
        <w:rPr>
          <w:b/>
          <w:sz w:val="20"/>
        </w:rPr>
        <w:t xml:space="preserve">, y un </w:t>
      </w:r>
      <w:r>
        <w:rPr>
          <w:b/>
          <w:sz w:val="20"/>
        </w:rPr>
        <w:t>pipeline de tuberías y filtros</w:t>
      </w:r>
      <w:r>
        <w:rPr>
          <w:b/>
          <w:sz w:val="20"/>
        </w:rPr>
        <w:t xml:space="preserve"> para la telemetría de las cámaras.</w:t>
      </w:r>
    </w:p>
    <w:p>
      <w:pPr>
        <w:spacing w:after="120"/>
      </w:pPr>
      <w:r>
        <w:rPr>
          <w:b w:val="0"/>
          <w:sz w:val="21"/>
        </w:rPr>
        <w:t xml:space="preserve">Un sistema real no es de un solo estilo: el estilo </w:t>
      </w:r>
      <w:r>
        <w:rPr>
          <w:b/>
          <w:sz w:val="21"/>
        </w:rPr>
        <w:t>principal</w:t>
      </w:r>
      <w:r>
        <w:rPr>
          <w:b w:val="0"/>
          <w:sz w:val="21"/>
        </w:rPr>
        <w:t xml:space="preserve"> fija la estructura (SOA) y los </w:t>
      </w:r>
      <w:r>
        <w:rPr>
          <w:b/>
          <w:sz w:val="21"/>
        </w:rPr>
        <w:t>complementarios</w:t>
      </w:r>
      <w:r>
        <w:rPr>
          <w:b w:val="0"/>
          <w:sz w:val="21"/>
        </w:rPr>
        <w:t xml:space="preserve"> resuelven drivers concretos donde el principal no alcanza. Taxonomía usada: la </w:t>
      </w:r>
      <w:r>
        <w:rPr>
          <w:b/>
          <w:sz w:val="21"/>
        </w:rPr>
        <w:t>lista de 9 estilos</w:t>
      </w:r>
      <w:r>
        <w:rPr>
          <w:b w:val="0"/>
          <w:sz w:val="21"/>
        </w:rPr>
        <w:t xml:space="preserve"> y las </w:t>
      </w:r>
      <w:r>
        <w:rPr>
          <w:b/>
          <w:sz w:val="21"/>
        </w:rPr>
        <w:t>familias</w:t>
      </w:r>
      <w:r>
        <w:rPr>
          <w:b w:val="0"/>
          <w:sz w:val="21"/>
        </w:rPr>
        <w:t xml:space="preserve"> de clase (árbol C&amp;C).</w:t>
      </w:r>
    </w:p>
    <w:p>
      <w:pPr>
        <w:pStyle w:val="Heading2"/>
      </w:pPr>
      <w:r>
        <w:rPr>
          <w:color w:val="000000"/>
        </w:rPr>
      </w:r>
      <w:r>
        <w:rPr>
          <w:b/>
          <w:color w:val="000000"/>
        </w:rPr>
        <w:t>5.2 Por qué SOA — la definición de clase aplicada al caso</w:t>
      </w:r>
    </w:p>
    <w:p>
      <w:pPr>
        <w:spacing w:after="120"/>
      </w:pPr>
      <w:r>
        <w:rPr>
          <w:b w:val="0"/>
          <w:sz w:val="21"/>
        </w:rPr>
        <w:t xml:space="preserve">La lámina «Funcionamiento de la Arquitectura (SOA)» describe </w:t>
      </w:r>
      <w:r>
        <w:rPr>
          <w:b/>
          <w:sz w:val="21"/>
        </w:rPr>
        <w:t>cuatro escalones</w:t>
      </w:r>
      <w:r>
        <w:rPr>
          <w:b w:val="0"/>
          <w:sz w:val="21"/>
        </w:rPr>
        <w:t>, y FarmaHosp los cumple uno por uno:</w:t>
      </w:r>
    </w:p>
    <w:tbl>
      <w:tblPr>
        <w:tblStyle w:val="TableGrid"/>
        <w:jc w:val="center"/>
        <w:tblLayout w:type="fixed"/>
        <w:tblLook w:firstColumn="1" w:firstRow="1" w:lastColumn="0" w:lastRow="0" w:noHBand="0" w:noVBand="1" w:val="04A0"/>
        <w:tblW w:type="dxa" w:w="9360"/>
      </w:tblPr>
      <w:tblGrid>
        <w:gridCol w:w="1310"/>
        <w:gridCol w:w="2434"/>
        <w:gridCol w:w="3931"/>
        <w:gridCol w:w="1685"/>
      </w:tblGrid>
      <w:tr>
        <w:trPr>
          <w:tblHeader w:val="true"/>
        </w:trPr>
        <w:tc>
          <w:tcPr>
            <w:tcW w:type="dxa" w:w="1310"/>
            <w:shd w:val="clear" w:color="auto" w:fill="EDEFF2"/>
          </w:tcPr>
          <w:p>
            <w:pPr>
              <w:keepNext w:val="0"/>
              <w:spacing w:after="20"/>
            </w:pPr>
            <w:r>
              <w:rPr>
                <w:b/>
                <w:sz w:val="17"/>
              </w:rPr>
              <w:t>Escalón de la clase</w:t>
            </w:r>
          </w:p>
        </w:tc>
        <w:tc>
          <w:tcPr>
            <w:tcW w:type="dxa" w:w="2434"/>
            <w:shd w:val="clear" w:color="auto" w:fill="EDEFF2"/>
          </w:tcPr>
          <w:p>
            <w:pPr>
              <w:keepNext w:val="0"/>
              <w:spacing w:after="20"/>
            </w:pPr>
            <w:r>
              <w:rPr>
                <w:b/>
                <w:sz w:val="17"/>
              </w:rPr>
              <w:t>Texto de la lámina</w:t>
            </w:r>
          </w:p>
        </w:tc>
        <w:tc>
          <w:tcPr>
            <w:tcW w:type="dxa" w:w="3931"/>
            <w:shd w:val="clear" w:color="auto" w:fill="EDEFF2"/>
          </w:tcPr>
          <w:p>
            <w:pPr>
              <w:keepNext w:val="0"/>
              <w:spacing w:after="20"/>
            </w:pPr>
            <w:r>
              <w:rPr>
                <w:b/>
                <w:sz w:val="17"/>
              </w:rPr>
              <w:t>En FarmaHosp</w:t>
            </w:r>
          </w:p>
        </w:tc>
        <w:tc>
          <w:tcPr>
            <w:tcW w:type="dxa" w:w="1685"/>
            <w:shd w:val="clear" w:color="auto" w:fill="EDEFF2"/>
          </w:tcPr>
          <w:p>
            <w:pPr>
              <w:keepNext w:val="0"/>
              <w:spacing w:after="20"/>
            </w:pPr>
            <w:r>
              <w:rPr>
                <w:b/>
                <w:sz w:val="17"/>
              </w:rPr>
              <w:t>Driver que lo exige</w:t>
            </w:r>
          </w:p>
        </w:tc>
      </w:tr>
      <w:tr>
        <w:tc>
          <w:tcPr>
            <w:tcW w:type="dxa" w:w="1310"/>
          </w:tcPr>
          <w:p>
            <w:pPr>
              <w:spacing w:after="20"/>
            </w:pPr>
            <w:r>
              <w:rPr>
                <w:b w:val="0"/>
                <w:sz w:val="17"/>
              </w:rPr>
              <w:t>1. Definición</w:t>
            </w:r>
          </w:p>
        </w:tc>
        <w:tc>
          <w:tcPr>
            <w:tcW w:type="dxa" w:w="2434"/>
          </w:tcPr>
          <w:p>
            <w:pPr>
              <w:spacing w:after="20"/>
            </w:pPr>
            <w:r>
              <w:rPr>
                <w:b w:val="0"/>
                <w:sz w:val="17"/>
              </w:rPr>
              <w:t>«Define las necesidades del negocio»</w:t>
            </w:r>
          </w:p>
        </w:tc>
        <w:tc>
          <w:tcPr>
            <w:tcW w:type="dxa" w:w="3931"/>
          </w:tcPr>
          <w:p>
            <w:pPr>
              <w:spacing w:after="20"/>
            </w:pPr>
            <w:r>
              <w:rPr>
                <w:b w:val="0"/>
                <w:sz w:val="17"/>
              </w:rPr>
              <w:t>Los 7 procesos del caso de negocio (CDU-01..07) y los 37 RF</w:t>
            </w:r>
          </w:p>
        </w:tc>
        <w:tc>
          <w:tcPr>
            <w:tcW w:type="dxa" w:w="1685"/>
          </w:tcPr>
          <w:p>
            <w:pPr>
              <w:spacing w:after="20"/>
            </w:pPr>
            <w:r>
              <w:rPr>
                <w:b w:val="0"/>
                <w:sz w:val="17"/>
              </w:rPr>
              <w:t>criterio 1 y 3</w:t>
            </w:r>
          </w:p>
        </w:tc>
      </w:tr>
      <w:tr>
        <w:tc>
          <w:tcPr>
            <w:tcW w:type="dxa" w:w="1310"/>
          </w:tcPr>
          <w:p>
            <w:pPr>
              <w:spacing w:after="20"/>
            </w:pPr>
            <w:r>
              <w:rPr>
                <w:b w:val="0"/>
                <w:sz w:val="17"/>
              </w:rPr>
              <w:t>2. Desarrollo</w:t>
            </w:r>
          </w:p>
        </w:tc>
        <w:tc>
          <w:tcPr>
            <w:tcW w:type="dxa" w:w="2434"/>
          </w:tcPr>
          <w:p>
            <w:pPr>
              <w:spacing w:after="20"/>
            </w:pPr>
            <w:r>
              <w:rPr>
                <w:b w:val="0"/>
                <w:sz w:val="17"/>
              </w:rPr>
              <w:t>«Desarrolla procesos de negocio como Servicios»</w:t>
            </w:r>
          </w:p>
        </w:tc>
        <w:tc>
          <w:tcPr>
            <w:tcW w:type="dxa" w:w="3931"/>
          </w:tcPr>
          <w:p>
            <w:pPr>
              <w:spacing w:after="20"/>
            </w:pPr>
            <w:r>
              <w:rPr>
                <w:b/>
                <w:sz w:val="17"/>
              </w:rPr>
              <w:t>Un servicio por proceso</w:t>
            </w:r>
            <w:r>
              <w:rPr>
                <w:b w:val="0"/>
                <w:sz w:val="17"/>
              </w:rPr>
              <w:t>: Adquisición, Almacenamiento e Inventario, Prescripción, Dispensación, Administración, Farmacovigilancia, Auditoría y Tablero</w:t>
            </w:r>
          </w:p>
        </w:tc>
        <w:tc>
          <w:tcPr>
            <w:tcW w:type="dxa" w:w="1685"/>
          </w:tcPr>
          <w:p>
            <w:pPr>
              <w:spacing w:after="20"/>
            </w:pPr>
            <w:r>
              <w:rPr>
                <w:b w:val="0"/>
                <w:sz w:val="17"/>
              </w:rPr>
              <w:t>RE-05</w:t>
            </w:r>
          </w:p>
        </w:tc>
      </w:tr>
      <w:tr>
        <w:tc>
          <w:tcPr>
            <w:tcW w:type="dxa" w:w="1310"/>
          </w:tcPr>
          <w:p>
            <w:pPr>
              <w:spacing w:after="20"/>
            </w:pPr>
            <w:r>
              <w:rPr>
                <w:b w:val="0"/>
                <w:sz w:val="17"/>
              </w:rPr>
              <w:t>3. Evolución</w:t>
            </w:r>
          </w:p>
        </w:tc>
        <w:tc>
          <w:tcPr>
            <w:tcW w:type="dxa" w:w="2434"/>
          </w:tcPr>
          <w:p>
            <w:pPr>
              <w:spacing w:after="20"/>
            </w:pPr>
            <w:r>
              <w:rPr>
                <w:b w:val="0"/>
                <w:sz w:val="17"/>
              </w:rPr>
              <w:t>«Permite que cada Servicio evolucione independientemente»</w:t>
            </w:r>
          </w:p>
        </w:tc>
        <w:tc>
          <w:tcPr>
            <w:tcW w:type="dxa" w:w="3931"/>
          </w:tcPr>
          <w:p>
            <w:pPr>
              <w:spacing w:after="20"/>
            </w:pPr>
            <w:r>
              <w:rPr>
                <w:b w:val="0"/>
                <w:sz w:val="17"/>
              </w:rPr>
              <w:t xml:space="preserve">Farmacovigilancia tiene </w:t>
            </w:r>
            <w:r>
              <w:rPr>
                <w:b/>
                <w:sz w:val="17"/>
              </w:rPr>
              <w:t>otro ciclo de entregas</w:t>
            </w:r>
            <w:r>
              <w:rPr>
                <w:b w:val="0"/>
                <w:sz w:val="17"/>
              </w:rPr>
              <w:t xml:space="preserve"> que inventario; se entrega por incrementos</w:t>
            </w:r>
          </w:p>
        </w:tc>
        <w:tc>
          <w:tcPr>
            <w:tcW w:type="dxa" w:w="1685"/>
          </w:tcPr>
          <w:p>
            <w:pPr>
              <w:spacing w:after="20"/>
            </w:pPr>
            <w:r>
              <w:rPr>
                <w:b w:val="0"/>
                <w:sz w:val="17"/>
              </w:rPr>
              <w:t>RE-05 · RE-18 · AC-07</w:t>
            </w:r>
          </w:p>
        </w:tc>
      </w:tr>
      <w:tr>
        <w:tc>
          <w:tcPr>
            <w:tcW w:type="dxa" w:w="1310"/>
          </w:tcPr>
          <w:p>
            <w:pPr>
              <w:spacing w:after="20"/>
            </w:pPr>
            <w:r>
              <w:rPr>
                <w:b w:val="0"/>
                <w:sz w:val="17"/>
              </w:rPr>
              <w:t>4. Distribución</w:t>
            </w:r>
          </w:p>
        </w:tc>
        <w:tc>
          <w:tcPr>
            <w:tcW w:type="dxa" w:w="2434"/>
          </w:tcPr>
          <w:p>
            <w:pPr>
              <w:spacing w:after="20"/>
            </w:pPr>
            <w:r>
              <w:rPr>
                <w:b w:val="0"/>
                <w:sz w:val="17"/>
              </w:rPr>
              <w:t>«Plantea aplicaciones distribuidas, multi-nivel»</w:t>
            </w:r>
          </w:p>
        </w:tc>
        <w:tc>
          <w:tcPr>
            <w:tcW w:type="dxa" w:w="3931"/>
          </w:tcPr>
          <w:p>
            <w:pPr>
              <w:spacing w:after="20"/>
            </w:pPr>
            <w:r>
              <w:rPr>
                <w:b w:val="0"/>
                <w:sz w:val="17"/>
              </w:rPr>
              <w:t>Clientes (Toughpad, farmacia, portal) → acceso → servicios → datos, repartidos en nodos</w:t>
            </w:r>
          </w:p>
        </w:tc>
        <w:tc>
          <w:tcPr>
            <w:tcW w:type="dxa" w:w="1685"/>
          </w:tcPr>
          <w:p>
            <w:pPr>
              <w:spacing w:after="20"/>
            </w:pPr>
            <w:r>
              <w:rPr>
                <w:b w:val="0"/>
                <w:sz w:val="17"/>
              </w:rPr>
              <w:t>AC-05 · AC-02</w:t>
            </w:r>
          </w:p>
        </w:tc>
      </w:tr>
    </w:tbl>
    <w:p>
      <w:pPr>
        <w:spacing w:after="40"/>
      </w:pPr>
    </w:p>
    <w:p>
      <w:pPr>
        <w:spacing w:after="120"/>
      </w:pPr>
      <w:r>
        <w:rPr>
          <w:b w:val="0"/>
          <w:sz w:val="21"/>
        </w:rPr>
        <w:t xml:space="preserve">Y la definición conceptual: «un servicio (cliente) realiza una solicitud (llamada) a otro servicio (proveedor) y espera una respuesta (retorno)». SOA además es </w:t>
      </w:r>
      <w:r>
        <w:rPr>
          <w:b/>
          <w:sz w:val="21"/>
        </w:rPr>
        <w:t>de dos familias</w:t>
      </w:r>
      <w:r>
        <w:rPr>
          <w:b w:val="0"/>
          <w:sz w:val="21"/>
        </w:rPr>
        <w:t xml:space="preserve">: «Es event-based porque puede usar motores de orquestación/coreografía e invocar servicios de forma asíncrona». Esa doble pertenencia es exactamente lo que FarmaHosp necesita: validar al paciente </w:t>
      </w:r>
      <w:r>
        <w:rPr>
          <w:b/>
          <w:sz w:val="21"/>
        </w:rPr>
        <w:t>ya</w:t>
      </w:r>
      <w:r>
        <w:rPr>
          <w:b w:val="0"/>
          <w:sz w:val="21"/>
        </w:rPr>
        <w:t xml:space="preserve"> (síncrono) y reportar al MSPAS </w:t>
      </w:r>
      <w:r>
        <w:rPr>
          <w:b/>
          <w:sz w:val="21"/>
        </w:rPr>
        <w:t>cuando abra la ventana</w:t>
      </w:r>
      <w:r>
        <w:rPr>
          <w:b w:val="0"/>
          <w:sz w:val="21"/>
        </w:rPr>
        <w:t xml:space="preserve"> (asíncrono).</w:t>
      </w:r>
    </w:p>
    <w:p>
      <w:pPr>
        <w:pStyle w:val="Heading2"/>
      </w:pPr>
      <w:r>
        <w:rPr>
          <w:color w:val="000000"/>
        </w:rPr>
      </w:r>
      <w:r>
        <w:rPr>
          <w:b/>
          <w:color w:val="000000"/>
        </w:rPr>
        <w:t>5.3 Los estilos complementarios — cada uno con su driver</w:t>
      </w:r>
    </w:p>
    <w:tbl>
      <w:tblPr>
        <w:tblStyle w:val="TableGrid"/>
        <w:jc w:val="center"/>
        <w:tblLayout w:type="fixed"/>
        <w:tblLook w:firstColumn="1" w:firstRow="1" w:lastColumn="0" w:lastRow="0" w:noHBand="0" w:noVBand="1" w:val="04A0"/>
        <w:tblW w:type="dxa" w:w="9360"/>
      </w:tblPr>
      <w:tblGrid>
        <w:gridCol w:w="1778"/>
        <w:gridCol w:w="2434"/>
        <w:gridCol w:w="1778"/>
        <w:gridCol w:w="3370"/>
      </w:tblGrid>
      <w:tr>
        <w:trPr>
          <w:tblHeader w:val="true"/>
        </w:trPr>
        <w:tc>
          <w:tcPr>
            <w:tcW w:type="dxa" w:w="1778"/>
            <w:shd w:val="clear" w:color="auto" w:fill="EDEFF2"/>
          </w:tcPr>
          <w:p>
            <w:pPr>
              <w:keepNext w:val="0"/>
              <w:spacing w:after="20"/>
            </w:pPr>
            <w:r>
              <w:rPr>
                <w:b/>
                <w:sz w:val="17"/>
              </w:rPr>
              <w:t>Estilo (familia de clase)</w:t>
            </w:r>
          </w:p>
        </w:tc>
        <w:tc>
          <w:tcPr>
            <w:tcW w:type="dxa" w:w="2434"/>
            <w:shd w:val="clear" w:color="auto" w:fill="EDEFF2"/>
          </w:tcPr>
          <w:p>
            <w:pPr>
              <w:keepNext w:val="0"/>
              <w:spacing w:after="20"/>
            </w:pPr>
            <w:r>
              <w:rPr>
                <w:b/>
                <w:sz w:val="17"/>
              </w:rPr>
              <w:t>Dónde se aplica</w:t>
            </w:r>
          </w:p>
        </w:tc>
        <w:tc>
          <w:tcPr>
            <w:tcW w:type="dxa" w:w="1778"/>
            <w:shd w:val="clear" w:color="auto" w:fill="EDEFF2"/>
          </w:tcPr>
          <w:p>
            <w:pPr>
              <w:keepNext w:val="0"/>
              <w:spacing w:after="20"/>
            </w:pPr>
            <w:r>
              <w:rPr>
                <w:b/>
                <w:sz w:val="17"/>
              </w:rPr>
              <w:t>Driver que resuelve</w:t>
            </w:r>
          </w:p>
        </w:tc>
        <w:tc>
          <w:tcPr>
            <w:tcW w:type="dxa" w:w="3370"/>
            <w:shd w:val="clear" w:color="auto" w:fill="EDEFF2"/>
          </w:tcPr>
          <w:p>
            <w:pPr>
              <w:keepNext w:val="0"/>
              <w:spacing w:after="20"/>
            </w:pPr>
            <w:r>
              <w:rPr>
                <w:b/>
                <w:sz w:val="17"/>
              </w:rPr>
              <w:t>Por qué este y no otro</w:t>
            </w:r>
          </w:p>
        </w:tc>
      </w:tr>
      <w:tr>
        <w:tc>
          <w:tcPr>
            <w:tcW w:type="dxa" w:w="1778"/>
          </w:tcPr>
          <w:p>
            <w:pPr>
              <w:spacing w:after="20"/>
            </w:pPr>
            <w:r>
              <w:rPr>
                <w:b/>
                <w:sz w:val="17"/>
              </w:rPr>
              <w:t>En capas</w:t>
            </w:r>
            <w:r>
              <w:rPr>
                <w:b w:val="0"/>
                <w:sz w:val="17"/>
              </w:rPr>
              <w:t xml:space="preserve"> (llamada y retorno)</w:t>
            </w:r>
          </w:p>
        </w:tc>
        <w:tc>
          <w:tcPr>
            <w:tcW w:type="dxa" w:w="2434"/>
          </w:tcPr>
          <w:p>
            <w:pPr>
              <w:spacing w:after="20"/>
            </w:pPr>
            <w:r>
              <w:rPr>
                <w:b/>
                <w:sz w:val="17"/>
              </w:rPr>
              <w:t>Dentro de cada servicio</w:t>
            </w:r>
            <w:r>
              <w:rPr>
                <w:b w:val="0"/>
                <w:sz w:val="17"/>
              </w:rPr>
              <w:t>: capa de API (controlador REST), capa de lógica de negocio, capa de acceso a datos</w:t>
            </w:r>
          </w:p>
        </w:tc>
        <w:tc>
          <w:tcPr>
            <w:tcW w:type="dxa" w:w="1778"/>
          </w:tcPr>
          <w:p>
            <w:pPr>
              <w:spacing w:after="20"/>
            </w:pPr>
            <w:r>
              <w:rPr>
                <w:b w:val="0"/>
                <w:sz w:val="17"/>
              </w:rPr>
              <w:t>AC-07 mantenibilidad</w:t>
            </w:r>
          </w:p>
        </w:tc>
        <w:tc>
          <w:tcPr>
            <w:tcW w:type="dxa" w:w="3370"/>
          </w:tcPr>
          <w:p>
            <w:pPr>
              <w:spacing w:after="20"/>
            </w:pPr>
            <w:r>
              <w:rPr>
                <w:b w:val="0"/>
                <w:sz w:val="17"/>
              </w:rPr>
              <w:t>Es la estructura que el equipo interno ya conoce (Spring Boot); la clase: «Soporta fácilmente la evolución del sistema, los cambios sólo afectan a las capas vecinas»</w:t>
            </w:r>
          </w:p>
        </w:tc>
      </w:tr>
      <w:tr>
        <w:tc>
          <w:tcPr>
            <w:tcW w:type="dxa" w:w="1778"/>
          </w:tcPr>
          <w:p>
            <w:pPr>
              <w:spacing w:after="20"/>
            </w:pPr>
            <w:r>
              <w:rPr>
                <w:b/>
                <w:sz w:val="17"/>
              </w:rPr>
              <w:t>Llamada y retorno</w:t>
            </w:r>
            <w:r>
              <w:rPr>
                <w:b w:val="0"/>
                <w:sz w:val="17"/>
              </w:rPr>
              <w:t xml:space="preserve"> (REST síncrono)</w:t>
            </w:r>
          </w:p>
        </w:tc>
        <w:tc>
          <w:tcPr>
            <w:tcW w:type="dxa" w:w="2434"/>
          </w:tcPr>
          <w:p>
            <w:pPr>
              <w:spacing w:after="20"/>
            </w:pPr>
            <w:r>
              <w:rPr>
                <w:b w:val="0"/>
                <w:sz w:val="17"/>
              </w:rPr>
              <w:t>Validación paciente-medicamento, consulta de inventario, autenticación</w:t>
            </w:r>
          </w:p>
        </w:tc>
        <w:tc>
          <w:tcPr>
            <w:tcW w:type="dxa" w:w="1778"/>
          </w:tcPr>
          <w:p>
            <w:pPr>
              <w:spacing w:after="20"/>
            </w:pPr>
            <w:r>
              <w:rPr>
                <w:b w:val="0"/>
                <w:sz w:val="17"/>
              </w:rPr>
              <w:t>AC-01 &lt; 500 ms · RF-14 · RF-24</w:t>
            </w:r>
          </w:p>
        </w:tc>
        <w:tc>
          <w:tcPr>
            <w:tcW w:type="dxa" w:w="3370"/>
          </w:tcPr>
          <w:p>
            <w:pPr>
              <w:spacing w:after="20"/>
            </w:pPr>
            <w:r>
              <w:rPr>
                <w:b w:val="0"/>
                <w:sz w:val="17"/>
              </w:rPr>
              <w:t xml:space="preserve">Hace falta la respuesta </w:t>
            </w:r>
            <w:r>
              <w:rPr>
                <w:b/>
                <w:sz w:val="17"/>
              </w:rPr>
              <w:t>antes</w:t>
            </w:r>
            <w:r>
              <w:rPr>
                <w:b w:val="0"/>
                <w:sz w:val="17"/>
              </w:rPr>
              <w:t xml:space="preserve"> de seguir: «Interacción por invocación síncrona»</w:t>
            </w:r>
          </w:p>
        </w:tc>
      </w:tr>
      <w:tr>
        <w:tc>
          <w:tcPr>
            <w:tcW w:type="dxa" w:w="1778"/>
          </w:tcPr>
          <w:p>
            <w:pPr>
              <w:spacing w:after="20"/>
            </w:pPr>
            <w:r>
              <w:rPr>
                <w:b/>
                <w:sz w:val="17"/>
              </w:rPr>
              <w:t>Basada en eventos</w:t>
            </w:r>
            <w:r>
              <w:rPr>
                <w:b w:val="0"/>
                <w:sz w:val="17"/>
              </w:rPr>
              <w:t xml:space="preserve"> (bus de eventos)</w:t>
            </w:r>
          </w:p>
        </w:tc>
        <w:tc>
          <w:tcPr>
            <w:tcW w:type="dxa" w:w="2434"/>
          </w:tcPr>
          <w:p>
            <w:pPr>
              <w:spacing w:after="20"/>
            </w:pPr>
            <w:r>
              <w:rPr>
                <w:b w:val="0"/>
                <w:sz w:val="17"/>
              </w:rPr>
              <w:t>Reportes al MSPAS, notificaciones, sincronización offline, ruptura de cadena de frío, absorción del pico</w:t>
            </w:r>
          </w:p>
        </w:tc>
        <w:tc>
          <w:tcPr>
            <w:tcW w:type="dxa" w:w="1778"/>
          </w:tcPr>
          <w:p>
            <w:pPr>
              <w:spacing w:after="20"/>
            </w:pPr>
            <w:r>
              <w:rPr>
                <w:b w:val="0"/>
                <w:sz w:val="17"/>
              </w:rPr>
              <w:t>AC-05 pico 10x · AC-06 · RF-07 · RF-29</w:t>
            </w:r>
          </w:p>
        </w:tc>
        <w:tc>
          <w:tcPr>
            <w:tcW w:type="dxa" w:w="3370"/>
          </w:tcPr>
          <w:p>
            <w:pPr>
              <w:spacing w:after="20"/>
            </w:pPr>
            <w:r>
              <w:rPr>
                <w:b w:val="0"/>
                <w:sz w:val="17"/>
              </w:rPr>
              <w:t xml:space="preserve">El emisor </w:t>
            </w:r>
            <w:r>
              <w:rPr>
                <w:b/>
                <w:sz w:val="17"/>
              </w:rPr>
              <w:t>no espera</w:t>
            </w:r>
            <w:r>
              <w:rPr>
                <w:b w:val="0"/>
                <w:sz w:val="17"/>
              </w:rPr>
              <w:t>: la cola absorbe el pico y guarda lo que no puede entregarse (MSPAS solo recibe de 8 a 16)</w:t>
            </w:r>
          </w:p>
        </w:tc>
      </w:tr>
      <w:tr>
        <w:tc>
          <w:tcPr>
            <w:tcW w:type="dxa" w:w="1778"/>
          </w:tcPr>
          <w:p>
            <w:pPr>
              <w:spacing w:after="20"/>
            </w:pPr>
            <w:r>
              <w:rPr>
                <w:b/>
                <w:sz w:val="17"/>
              </w:rPr>
              <w:t>Cliente-servidor offline-first</w:t>
            </w:r>
          </w:p>
        </w:tc>
        <w:tc>
          <w:tcPr>
            <w:tcW w:type="dxa" w:w="2434"/>
          </w:tcPr>
          <w:p>
            <w:pPr>
              <w:spacing w:after="20"/>
            </w:pPr>
            <w:r>
              <w:rPr>
                <w:b w:val="0"/>
                <w:sz w:val="17"/>
              </w:rPr>
              <w:t>App de enfermería en la Toughpad y app de farmacia, con base local y bandeja de sincronización</w:t>
            </w:r>
          </w:p>
        </w:tc>
        <w:tc>
          <w:tcPr>
            <w:tcW w:type="dxa" w:w="1778"/>
          </w:tcPr>
          <w:p>
            <w:pPr>
              <w:spacing w:after="20"/>
            </w:pPr>
            <w:r>
              <w:rPr>
                <w:b w:val="0"/>
                <w:sz w:val="17"/>
              </w:rPr>
              <w:t>AC-02 offline ≥ 4 h · RE-16 · RF-26</w:t>
            </w:r>
          </w:p>
        </w:tc>
        <w:tc>
          <w:tcPr>
            <w:tcW w:type="dxa" w:w="3370"/>
          </w:tcPr>
          <w:p>
            <w:pPr>
              <w:spacing w:after="20"/>
            </w:pPr>
            <w:r>
              <w:rPr>
                <w:b w:val="0"/>
                <w:sz w:val="17"/>
              </w:rPr>
              <w:t xml:space="preserve">El cliente guarda y opera solo; al volver la red </w:t>
            </w:r>
            <w:r>
              <w:rPr>
                <w:b/>
                <w:sz w:val="17"/>
              </w:rPr>
              <w:t>reconcilia con identificador único</w:t>
            </w:r>
            <w:r>
              <w:rPr>
                <w:b w:val="0"/>
                <w:sz w:val="17"/>
              </w:rPr>
              <w:t xml:space="preserve"> y el servidor descarta duplicados</w:t>
            </w:r>
          </w:p>
        </w:tc>
      </w:tr>
      <w:tr>
        <w:tc>
          <w:tcPr>
            <w:tcW w:type="dxa" w:w="1778"/>
          </w:tcPr>
          <w:p>
            <w:pPr>
              <w:spacing w:after="20"/>
            </w:pPr>
            <w:r>
              <w:rPr>
                <w:b/>
                <w:sz w:val="17"/>
              </w:rPr>
              <w:t>Tuberías y filtros</w:t>
            </w:r>
            <w:r>
              <w:rPr>
                <w:b w:val="0"/>
                <w:sz w:val="17"/>
              </w:rPr>
              <w:t xml:space="preserve"> (flujo de datos)</w:t>
            </w:r>
          </w:p>
        </w:tc>
        <w:tc>
          <w:tcPr>
            <w:tcW w:type="dxa" w:w="2434"/>
          </w:tcPr>
          <w:p>
            <w:pPr>
              <w:spacing w:after="20"/>
            </w:pPr>
            <w:r>
              <w:rPr>
                <w:b w:val="0"/>
                <w:sz w:val="17"/>
              </w:rPr>
              <w:t>Telemetría de cámaras: recibir → validar → sellar con hash encadenado → detectar ruptura → publicar evento</w:t>
            </w:r>
          </w:p>
        </w:tc>
        <w:tc>
          <w:tcPr>
            <w:tcW w:type="dxa" w:w="1778"/>
          </w:tcPr>
          <w:p>
            <w:pPr>
              <w:spacing w:after="20"/>
            </w:pPr>
            <w:r>
              <w:rPr>
                <w:b w:val="0"/>
                <w:sz w:val="17"/>
              </w:rPr>
              <w:t>AC-08 integridad · RF-05 · RF-06</w:t>
            </w:r>
          </w:p>
        </w:tc>
        <w:tc>
          <w:tcPr>
            <w:tcW w:type="dxa" w:w="3370"/>
          </w:tcPr>
          <w:p>
            <w:pPr>
              <w:spacing w:after="20"/>
            </w:pPr>
            <w:r>
              <w:rPr>
                <w:b w:val="0"/>
                <w:sz w:val="17"/>
              </w:rPr>
              <w:t>«Adecuada para sistemas con transformaciones de datos en pasos sucesivos»; cada filtro se cambia sin tocar los demás</w:t>
            </w:r>
          </w:p>
        </w:tc>
      </w:tr>
    </w:tbl>
    <w:p>
      <w:pPr>
        <w:spacing w:after="40"/>
      </w:pPr>
    </w:p>
    <w:p>
      <w:pPr>
        <w:pStyle w:val="Heading2"/>
      </w:pPr>
      <w:r>
        <w:rPr>
          <w:color w:val="000000"/>
        </w:rPr>
      </w:r>
      <w:r>
        <w:rPr>
          <w:b/>
          <w:color w:val="000000"/>
        </w:rPr>
        <w:t>5.4 Los estilos descartados — tan importante como el elegido</w:t>
      </w:r>
    </w:p>
    <w:tbl>
      <w:tblPr>
        <w:tblStyle w:val="TableGrid"/>
        <w:jc w:val="center"/>
        <w:tblLayout w:type="fixed"/>
        <w:tblLook w:firstColumn="1" w:firstRow="1" w:lastColumn="0" w:lastRow="0" w:noHBand="0" w:noVBand="1" w:val="04A0"/>
        <w:tblW w:type="dxa" w:w="9360"/>
      </w:tblPr>
      <w:tblGrid>
        <w:gridCol w:w="2059"/>
        <w:gridCol w:w="4493"/>
        <w:gridCol w:w="2808"/>
      </w:tblGrid>
      <w:tr>
        <w:trPr>
          <w:tblHeader w:val="true"/>
        </w:trPr>
        <w:tc>
          <w:tcPr>
            <w:tcW w:type="dxa" w:w="2059"/>
            <w:shd w:val="clear" w:color="auto" w:fill="EDEFF2"/>
          </w:tcPr>
          <w:p>
            <w:pPr>
              <w:keepNext w:val="0"/>
              <w:spacing w:after="20"/>
            </w:pPr>
            <w:r>
              <w:rPr>
                <w:b/>
                <w:sz w:val="17"/>
              </w:rPr>
              <w:t>Estilo de la lista de clase</w:t>
            </w:r>
          </w:p>
        </w:tc>
        <w:tc>
          <w:tcPr>
            <w:tcW w:type="dxa" w:w="4493"/>
            <w:shd w:val="clear" w:color="auto" w:fill="EDEFF2"/>
          </w:tcPr>
          <w:p>
            <w:pPr>
              <w:keepNext w:val="0"/>
              <w:spacing w:after="20"/>
            </w:pPr>
            <w:r>
              <w:rPr>
                <w:b/>
                <w:sz w:val="17"/>
              </w:rPr>
              <w:t>¿Por qué no?</w:t>
            </w:r>
          </w:p>
        </w:tc>
        <w:tc>
          <w:tcPr>
            <w:tcW w:type="dxa" w:w="2808"/>
            <w:shd w:val="clear" w:color="auto" w:fill="EDEFF2"/>
          </w:tcPr>
          <w:p>
            <w:pPr>
              <w:keepNext w:val="0"/>
              <w:spacing w:after="20"/>
            </w:pPr>
            <w:r>
              <w:rPr>
                <w:b/>
                <w:sz w:val="17"/>
              </w:rPr>
              <w:t>Evidencia</w:t>
            </w:r>
          </w:p>
        </w:tc>
      </w:tr>
      <w:tr>
        <w:tc>
          <w:tcPr>
            <w:tcW w:type="dxa" w:w="2059"/>
          </w:tcPr>
          <w:p>
            <w:pPr>
              <w:spacing w:after="20"/>
            </w:pPr>
            <w:r>
              <w:rPr>
                <w:b/>
                <w:sz w:val="17"/>
              </w:rPr>
              <w:t>Monolítico</w:t>
            </w:r>
          </w:p>
        </w:tc>
        <w:tc>
          <w:tcPr>
            <w:tcW w:type="dxa" w:w="4493"/>
          </w:tcPr>
          <w:p>
            <w:pPr>
              <w:spacing w:after="20"/>
            </w:pPr>
            <w:r>
              <w:rPr>
                <w:b/>
                <w:sz w:val="17"/>
              </w:rPr>
              <w:t>Prohibido</w:t>
            </w:r>
          </w:p>
        </w:tc>
        <w:tc>
          <w:tcPr>
            <w:tcW w:type="dxa" w:w="2808"/>
          </w:tcPr>
          <w:p>
            <w:pPr>
              <w:spacing w:after="20"/>
            </w:pPr>
            <w:r>
              <w:rPr>
                <w:b w:val="0"/>
                <w:sz w:val="17"/>
              </w:rPr>
              <w:t>RE-05: «No se puede diseñar un sistema monolítico, porque el módulo de farmacovigilancia tiene ciclos de entrega diferentes…»</w:t>
            </w:r>
          </w:p>
        </w:tc>
      </w:tr>
      <w:tr>
        <w:tc>
          <w:tcPr>
            <w:tcW w:type="dxa" w:w="2059"/>
          </w:tcPr>
          <w:p>
            <w:pPr>
              <w:spacing w:after="20"/>
            </w:pPr>
            <w:r>
              <w:rPr>
                <w:b/>
                <w:sz w:val="17"/>
              </w:rPr>
              <w:t>Microservicios</w:t>
            </w:r>
          </w:p>
        </w:tc>
        <w:tc>
          <w:tcPr>
            <w:tcW w:type="dxa" w:w="4493"/>
          </w:tcPr>
          <w:p>
            <w:pPr>
              <w:spacing w:after="20"/>
            </w:pPr>
            <w:r>
              <w:rPr>
                <w:b w:val="0"/>
                <w:sz w:val="17"/>
              </w:rPr>
              <w:t xml:space="preserve">Demasiada granularidad para </w:t>
            </w:r>
            <w:r>
              <w:rPr>
                <w:b/>
                <w:sz w:val="17"/>
              </w:rPr>
              <w:t>3 personas</w:t>
            </w:r>
            <w:r>
              <w:rPr>
                <w:b w:val="0"/>
                <w:sz w:val="17"/>
              </w:rPr>
              <w:t xml:space="preserve"> de TI y </w:t>
            </w:r>
            <w:r>
              <w:rPr>
                <w:b/>
                <w:sz w:val="17"/>
              </w:rPr>
              <w:t>32 vCPU sin autoescalado</w:t>
            </w:r>
            <w:r>
              <w:rPr>
                <w:b w:val="0"/>
                <w:sz w:val="17"/>
              </w:rPr>
              <w:t>: cada microservicio suma despliegue, monitoreo y base propia</w:t>
            </w:r>
          </w:p>
        </w:tc>
        <w:tc>
          <w:tcPr>
            <w:tcW w:type="dxa" w:w="2808"/>
          </w:tcPr>
          <w:p>
            <w:pPr>
              <w:spacing w:after="20"/>
            </w:pPr>
            <w:r>
              <w:rPr>
                <w:b w:val="0"/>
                <w:sz w:val="17"/>
              </w:rPr>
              <w:t>AC-07 · RE-13 · RE-17 · STK-08</w:t>
            </w:r>
          </w:p>
        </w:tc>
      </w:tr>
      <w:tr>
        <w:tc>
          <w:tcPr>
            <w:tcW w:type="dxa" w:w="2059"/>
          </w:tcPr>
          <w:p>
            <w:pPr>
              <w:spacing w:after="20"/>
            </w:pPr>
            <w:r>
              <w:rPr>
                <w:b/>
                <w:sz w:val="17"/>
              </w:rPr>
              <w:t>Peer to peer</w:t>
            </w:r>
          </w:p>
        </w:tc>
        <w:tc>
          <w:tcPr>
            <w:tcW w:type="dxa" w:w="4493"/>
          </w:tcPr>
          <w:p>
            <w:pPr>
              <w:spacing w:after="20"/>
            </w:pPr>
            <w:r>
              <w:rPr>
                <w:b w:val="0"/>
                <w:sz w:val="17"/>
              </w:rPr>
              <w:t xml:space="preserve">Sin un centro no hay </w:t>
            </w:r>
            <w:r>
              <w:rPr>
                <w:b/>
                <w:sz w:val="17"/>
              </w:rPr>
              <w:t>una sola verdad auditable</w:t>
            </w:r>
            <w:r>
              <w:rPr>
                <w:b w:val="0"/>
                <w:sz w:val="17"/>
              </w:rPr>
              <w:t xml:space="preserve"> ni inventario con consistencia fuerte</w:t>
            </w:r>
          </w:p>
        </w:tc>
        <w:tc>
          <w:tcPr>
            <w:tcW w:type="dxa" w:w="2808"/>
          </w:tcPr>
          <w:p>
            <w:pPr>
              <w:spacing w:after="20"/>
            </w:pPr>
            <w:r>
              <w:rPr>
                <w:b w:val="0"/>
                <w:sz w:val="17"/>
              </w:rPr>
              <w:t>AC-03 · RE-01 (ACID en inventario)</w:t>
            </w:r>
          </w:p>
        </w:tc>
      </w:tr>
      <w:tr>
        <w:tc>
          <w:tcPr>
            <w:tcW w:type="dxa" w:w="2059"/>
          </w:tcPr>
          <w:p>
            <w:pPr>
              <w:spacing w:after="20"/>
            </w:pPr>
            <w:r>
              <w:rPr>
                <w:b/>
                <w:sz w:val="17"/>
              </w:rPr>
              <w:t>Microkernel</w:t>
            </w:r>
          </w:p>
        </w:tc>
        <w:tc>
          <w:tcPr>
            <w:tcW w:type="dxa" w:w="4493"/>
          </w:tcPr>
          <w:p>
            <w:pPr>
              <w:spacing w:after="20"/>
            </w:pPr>
            <w:r>
              <w:rPr>
                <w:b w:val="0"/>
                <w:sz w:val="17"/>
              </w:rPr>
              <w:t>No hay un núcleo estable con extensiones enchufables: hay siete procesos con el mismo peso</w:t>
            </w:r>
          </w:p>
        </w:tc>
        <w:tc>
          <w:tcPr>
            <w:tcW w:type="dxa" w:w="2808"/>
          </w:tcPr>
          <w:p>
            <w:pPr>
              <w:spacing w:after="20"/>
            </w:pPr>
            <w:r>
              <w:rPr>
                <w:b w:val="0"/>
                <w:sz w:val="17"/>
              </w:rPr>
              <w:t>—</w:t>
            </w:r>
          </w:p>
        </w:tc>
      </w:tr>
      <w:tr>
        <w:tc>
          <w:tcPr>
            <w:tcW w:type="dxa" w:w="2059"/>
          </w:tcPr>
          <w:p>
            <w:pPr>
              <w:spacing w:after="20"/>
            </w:pPr>
            <w:r>
              <w:rPr>
                <w:b/>
                <w:sz w:val="17"/>
              </w:rPr>
              <w:t>Monolito en capas puro</w:t>
            </w:r>
          </w:p>
        </w:tc>
        <w:tc>
          <w:tcPr>
            <w:tcW w:type="dxa" w:w="4493"/>
          </w:tcPr>
          <w:p>
            <w:pPr>
              <w:spacing w:after="20"/>
            </w:pPr>
            <w:r>
              <w:rPr>
                <w:b w:val="0"/>
                <w:sz w:val="17"/>
              </w:rPr>
              <w:t>Capas sin servicios sigue siendo un despliegue único</w:t>
            </w:r>
          </w:p>
        </w:tc>
        <w:tc>
          <w:tcPr>
            <w:tcW w:type="dxa" w:w="2808"/>
          </w:tcPr>
          <w:p>
            <w:pPr>
              <w:spacing w:after="20"/>
            </w:pPr>
            <w:r>
              <w:rPr>
                <w:b w:val="0"/>
                <w:sz w:val="17"/>
              </w:rPr>
              <w:t>RE-05</w:t>
            </w:r>
          </w:p>
        </w:tc>
      </w:tr>
      <w:tr>
        <w:tc>
          <w:tcPr>
            <w:tcW w:type="dxa" w:w="2059"/>
          </w:tcPr>
          <w:p>
            <w:pPr>
              <w:spacing w:after="20"/>
            </w:pPr>
            <w:r>
              <w:rPr>
                <w:b/>
                <w:sz w:val="17"/>
              </w:rPr>
              <w:t>REST como estilo único</w:t>
            </w:r>
          </w:p>
        </w:tc>
        <w:tc>
          <w:tcPr>
            <w:tcW w:type="dxa" w:w="4493"/>
          </w:tcPr>
          <w:p>
            <w:pPr>
              <w:spacing w:after="20"/>
            </w:pPr>
            <w:r>
              <w:rPr>
                <w:b w:val="0"/>
                <w:sz w:val="17"/>
              </w:rPr>
              <w:t xml:space="preserve">Se usa REST como </w:t>
            </w:r>
            <w:r>
              <w:rPr>
                <w:b/>
                <w:sz w:val="17"/>
              </w:rPr>
              <w:t>protocolo</w:t>
            </w:r>
            <w:r>
              <w:rPr>
                <w:b w:val="0"/>
                <w:sz w:val="17"/>
              </w:rPr>
              <w:t xml:space="preserve"> de la llamada y retorno, pero no resuelve la asincronía</w:t>
            </w:r>
          </w:p>
        </w:tc>
        <w:tc>
          <w:tcPr>
            <w:tcW w:type="dxa" w:w="2808"/>
          </w:tcPr>
          <w:p>
            <w:pPr>
              <w:spacing w:after="20"/>
            </w:pPr>
            <w:r>
              <w:rPr>
                <w:b w:val="0"/>
                <w:sz w:val="17"/>
              </w:rPr>
              <w:t>AC-06 · RF-29</w:t>
            </w:r>
          </w:p>
        </w:tc>
      </w:tr>
    </w:tbl>
    <w:p>
      <w:pPr>
        <w:spacing w:after="40"/>
      </w:pPr>
    </w:p>
    <w:p>
      <w:pPr>
        <w:pStyle w:val="Heading2"/>
      </w:pPr>
      <w:r>
        <w:rPr>
          <w:color w:val="000000"/>
        </w:rPr>
      </w:r>
      <w:r>
        <w:rPr>
          <w:b/>
          <w:color w:val="000000"/>
        </w:rPr>
        <w:t>5.5 Cómo atiende la arquitectura a los 5 drivers más críticos</w:t>
      </w:r>
    </w:p>
    <w:tbl>
      <w:tblPr>
        <w:tblStyle w:val="TableGrid"/>
        <w:jc w:val="center"/>
        <w:tblLayout w:type="fixed"/>
        <w:tblLook w:firstColumn="1" w:firstRow="1" w:lastColumn="0" w:lastRow="0" w:noHBand="0" w:noVBand="1" w:val="04A0"/>
        <w:tblW w:type="dxa" w:w="9360"/>
      </w:tblPr>
      <w:tblGrid>
        <w:gridCol w:w="374"/>
        <w:gridCol w:w="1685"/>
        <w:gridCol w:w="4493"/>
        <w:gridCol w:w="2808"/>
      </w:tblGrid>
      <w:tr>
        <w:trPr>
          <w:tblHeader w:val="true"/>
        </w:trPr>
        <w:tc>
          <w:tcPr>
            <w:tcW w:type="dxa" w:w="374"/>
            <w:shd w:val="clear" w:color="auto" w:fill="EDEFF2"/>
          </w:tcPr>
          <w:p>
            <w:pPr>
              <w:keepNext w:val="0"/>
              <w:spacing w:after="20"/>
            </w:pPr>
            <w:r>
              <w:rPr>
                <w:b/>
                <w:sz w:val="17"/>
              </w:rPr>
              <w:t>#</w:t>
            </w:r>
          </w:p>
        </w:tc>
        <w:tc>
          <w:tcPr>
            <w:tcW w:type="dxa" w:w="1685"/>
            <w:shd w:val="clear" w:color="auto" w:fill="EDEFF2"/>
          </w:tcPr>
          <w:p>
            <w:pPr>
              <w:keepNext w:val="0"/>
              <w:spacing w:after="20"/>
            </w:pPr>
            <w:r>
              <w:rPr>
                <w:b/>
                <w:sz w:val="17"/>
              </w:rPr>
              <w:t>Driver (top 5 de §3.4)</w:t>
            </w:r>
          </w:p>
        </w:tc>
        <w:tc>
          <w:tcPr>
            <w:tcW w:type="dxa" w:w="4493"/>
            <w:shd w:val="clear" w:color="auto" w:fill="EDEFF2"/>
          </w:tcPr>
          <w:p>
            <w:pPr>
              <w:keepNext w:val="0"/>
              <w:spacing w:after="20"/>
            </w:pPr>
            <w:r>
              <w:rPr>
                <w:b/>
                <w:sz w:val="17"/>
              </w:rPr>
              <w:t>Táctica arquitectónica</w:t>
            </w:r>
          </w:p>
        </w:tc>
        <w:tc>
          <w:tcPr>
            <w:tcW w:type="dxa" w:w="2808"/>
            <w:shd w:val="clear" w:color="auto" w:fill="EDEFF2"/>
          </w:tcPr>
          <w:p>
            <w:pPr>
              <w:keepNext w:val="0"/>
              <w:spacing w:after="20"/>
            </w:pPr>
            <w:r>
              <w:rPr>
                <w:b/>
                <w:sz w:val="17"/>
              </w:rPr>
              <w:t>Dónde se ve en §6</w:t>
            </w:r>
          </w:p>
        </w:tc>
      </w:tr>
      <w:tr>
        <w:tc>
          <w:tcPr>
            <w:tcW w:type="dxa" w:w="374"/>
          </w:tcPr>
          <w:p>
            <w:pPr>
              <w:spacing w:after="20"/>
            </w:pPr>
            <w:r>
              <w:rPr>
                <w:b w:val="0"/>
                <w:sz w:val="17"/>
              </w:rPr>
              <w:t>1</w:t>
            </w:r>
          </w:p>
        </w:tc>
        <w:tc>
          <w:tcPr>
            <w:tcW w:type="dxa" w:w="1685"/>
          </w:tcPr>
          <w:p>
            <w:pPr>
              <w:spacing w:after="20"/>
            </w:pPr>
            <w:r>
              <w:rPr>
                <w:b w:val="0"/>
                <w:sz w:val="17"/>
              </w:rPr>
              <w:t>AC-02 offline ≥ 4 h sin duplicar</w:t>
            </w:r>
          </w:p>
        </w:tc>
        <w:tc>
          <w:tcPr>
            <w:tcW w:type="dxa" w:w="4493"/>
          </w:tcPr>
          <w:p>
            <w:pPr>
              <w:spacing w:after="20"/>
            </w:pPr>
            <w:r>
              <w:rPr>
                <w:b w:val="0"/>
                <w:sz w:val="17"/>
              </w:rPr>
              <w:t xml:space="preserve">Base local cifrada en la Toughpad y en la farmacia + </w:t>
            </w:r>
            <w:r>
              <w:rPr>
                <w:b/>
                <w:sz w:val="17"/>
              </w:rPr>
              <w:t>bandeja de salida</w:t>
            </w:r>
            <w:r>
              <w:rPr>
                <w:b w:val="0"/>
                <w:sz w:val="17"/>
              </w:rPr>
              <w:t xml:space="preserve"> con </w:t>
            </w:r>
            <w:r>
              <w:rPr>
                <w:b/>
                <w:sz w:val="17"/>
              </w:rPr>
              <w:t>identificador único generado en el cliente</w:t>
            </w:r>
            <w:r>
              <w:rPr>
                <w:b w:val="0"/>
                <w:sz w:val="17"/>
              </w:rPr>
              <w:t xml:space="preserve">; el Servicio de Sincronización reconcilia de forma </w:t>
            </w:r>
            <w:r>
              <w:rPr>
                <w:b/>
                <w:sz w:val="17"/>
              </w:rPr>
              <w:t>idempotente</w:t>
            </w:r>
          </w:p>
        </w:tc>
        <w:tc>
          <w:tcPr>
            <w:tcW w:type="dxa" w:w="2808"/>
          </w:tcPr>
          <w:p>
            <w:pPr>
              <w:spacing w:after="20"/>
            </w:pPr>
            <w:r>
              <w:rPr>
                <w:b w:val="0"/>
                <w:sz w:val="17"/>
              </w:rPr>
              <w:t>Bloques: Sincronización offline. Despliegue: BD local en Toughpad y estación de farmacia</w:t>
            </w:r>
          </w:p>
        </w:tc>
      </w:tr>
      <w:tr>
        <w:tc>
          <w:tcPr>
            <w:tcW w:type="dxa" w:w="374"/>
          </w:tcPr>
          <w:p>
            <w:pPr>
              <w:spacing w:after="20"/>
            </w:pPr>
            <w:r>
              <w:rPr>
                <w:b w:val="0"/>
                <w:sz w:val="17"/>
              </w:rPr>
              <w:t>2</w:t>
            </w:r>
          </w:p>
        </w:tc>
        <w:tc>
          <w:tcPr>
            <w:tcW w:type="dxa" w:w="1685"/>
          </w:tcPr>
          <w:p>
            <w:pPr>
              <w:spacing w:after="20"/>
            </w:pPr>
            <w:r>
              <w:rPr>
                <w:b w:val="0"/>
                <w:sz w:val="17"/>
              </w:rPr>
              <w:t>AC-01 validación &lt; 500 ms / &lt; 2 s</w:t>
            </w:r>
          </w:p>
        </w:tc>
        <w:tc>
          <w:tcPr>
            <w:tcW w:type="dxa" w:w="4493"/>
          </w:tcPr>
          <w:p>
            <w:pPr>
              <w:spacing w:after="20"/>
            </w:pPr>
            <w:r>
              <w:rPr>
                <w:b w:val="0"/>
                <w:sz w:val="17"/>
              </w:rPr>
              <w:t xml:space="preserve">La Toughpad descarga al inicio del turno las </w:t>
            </w:r>
            <w:r>
              <w:rPr>
                <w:b/>
                <w:sz w:val="17"/>
              </w:rPr>
              <w:t>administraciones programadas</w:t>
            </w:r>
            <w:r>
              <w:rPr>
                <w:b w:val="0"/>
                <w:sz w:val="17"/>
              </w:rPr>
              <w:t xml:space="preserve"> de sus pacientes: la validación se hace </w:t>
            </w:r>
            <w:r>
              <w:rPr>
                <w:b/>
                <w:sz w:val="17"/>
              </w:rPr>
              <w:t>localmente</w:t>
            </w:r>
            <w:r>
              <w:rPr>
                <w:b w:val="0"/>
                <w:sz w:val="17"/>
              </w:rPr>
              <w:t xml:space="preserve">, sin viajar por la red; en línea se confirma contra la </w:t>
            </w:r>
            <w:r>
              <w:rPr>
                <w:b/>
                <w:sz w:val="17"/>
              </w:rPr>
              <w:t>caché</w:t>
            </w:r>
          </w:p>
        </w:tc>
        <w:tc>
          <w:tcPr>
            <w:tcW w:type="dxa" w:w="2808"/>
          </w:tcPr>
          <w:p>
            <w:pPr>
              <w:spacing w:after="20"/>
            </w:pPr>
            <w:r>
              <w:rPr>
                <w:b w:val="0"/>
                <w:sz w:val="17"/>
              </w:rPr>
              <w:t>Despliegue: Validación local en Toughpad y Caché en el data center</w:t>
            </w:r>
          </w:p>
        </w:tc>
      </w:tr>
      <w:tr>
        <w:tc>
          <w:tcPr>
            <w:tcW w:type="dxa" w:w="374"/>
          </w:tcPr>
          <w:p>
            <w:pPr>
              <w:spacing w:after="20"/>
            </w:pPr>
            <w:r>
              <w:rPr>
                <w:b w:val="0"/>
                <w:sz w:val="17"/>
              </w:rPr>
              <w:t>3</w:t>
            </w:r>
          </w:p>
        </w:tc>
        <w:tc>
          <w:tcPr>
            <w:tcW w:type="dxa" w:w="1685"/>
          </w:tcPr>
          <w:p>
            <w:pPr>
              <w:spacing w:after="20"/>
            </w:pPr>
            <w:r>
              <w:rPr>
                <w:b w:val="0"/>
                <w:sz w:val="17"/>
              </w:rPr>
              <w:t>AC-05 pico 10x con presupuesto fijo</w:t>
            </w:r>
          </w:p>
        </w:tc>
        <w:tc>
          <w:tcPr>
            <w:tcW w:type="dxa" w:w="4493"/>
          </w:tcPr>
          <w:p>
            <w:pPr>
              <w:spacing w:after="20"/>
            </w:pPr>
            <w:r>
              <w:rPr>
                <w:b/>
                <w:sz w:val="17"/>
              </w:rPr>
              <w:t>Dos instancias</w:t>
            </w:r>
            <w:r>
              <w:rPr>
                <w:b w:val="0"/>
                <w:sz w:val="17"/>
              </w:rPr>
              <w:t xml:space="preserve"> de cada servicio tras un </w:t>
            </w:r>
            <w:r>
              <w:rPr>
                <w:b/>
                <w:sz w:val="17"/>
              </w:rPr>
              <w:t>balanceador</w:t>
            </w:r>
            <w:r>
              <w:rPr>
                <w:b w:val="0"/>
                <w:sz w:val="17"/>
              </w:rPr>
              <w:t xml:space="preserve">, </w:t>
            </w:r>
            <w:r>
              <w:rPr>
                <w:b/>
                <w:sz w:val="17"/>
              </w:rPr>
              <w:t>caché</w:t>
            </w:r>
            <w:r>
              <w:rPr>
                <w:b w:val="0"/>
                <w:sz w:val="17"/>
              </w:rPr>
              <w:t xml:space="preserve"> de lecturas, </w:t>
            </w:r>
            <w:r>
              <w:rPr>
                <w:b/>
                <w:sz w:val="17"/>
              </w:rPr>
              <w:t>bus</w:t>
            </w:r>
            <w:r>
              <w:rPr>
                <w:b w:val="0"/>
                <w:sz w:val="17"/>
              </w:rPr>
              <w:t xml:space="preserve"> que absorbe las escrituras no críticas, </w:t>
            </w:r>
            <w:r>
              <w:rPr>
                <w:b/>
                <w:sz w:val="17"/>
              </w:rPr>
              <w:t>prioridad de tráfico</w:t>
            </w:r>
            <w:r>
              <w:rPr>
                <w:b w:val="0"/>
                <w:sz w:val="17"/>
              </w:rPr>
              <w:t xml:space="preserve"> para dispensación y administración, y la </w:t>
            </w:r>
            <w:r>
              <w:rPr>
                <w:b/>
                <w:sz w:val="17"/>
              </w:rPr>
              <w:t>réplica del sitio alterno</w:t>
            </w:r>
            <w:r>
              <w:rPr>
                <w:b w:val="0"/>
                <w:sz w:val="17"/>
              </w:rPr>
              <w:t xml:space="preserve"> para informes y tablero</w:t>
            </w:r>
          </w:p>
        </w:tc>
        <w:tc>
          <w:tcPr>
            <w:tcW w:type="dxa" w:w="2808"/>
          </w:tcPr>
          <w:p>
            <w:pPr>
              <w:spacing w:after="20"/>
            </w:pPr>
            <w:r>
              <w:rPr>
                <w:b w:val="0"/>
                <w:sz w:val="17"/>
              </w:rPr>
              <w:t>Bloques: Acceso y Bus. Despliegue: VM-03/04, VM-09</w:t>
            </w:r>
          </w:p>
        </w:tc>
      </w:tr>
      <w:tr>
        <w:tc>
          <w:tcPr>
            <w:tcW w:type="dxa" w:w="374"/>
          </w:tcPr>
          <w:p>
            <w:pPr>
              <w:spacing w:after="20"/>
            </w:pPr>
            <w:r>
              <w:rPr>
                <w:b w:val="0"/>
                <w:sz w:val="17"/>
              </w:rPr>
              <w:t>4</w:t>
            </w:r>
          </w:p>
        </w:tc>
        <w:tc>
          <w:tcPr>
            <w:tcW w:type="dxa" w:w="1685"/>
          </w:tcPr>
          <w:p>
            <w:pPr>
              <w:spacing w:after="20"/>
            </w:pPr>
            <w:r>
              <w:rPr>
                <w:b w:val="0"/>
                <w:sz w:val="17"/>
              </w:rPr>
              <w:t>AC-07 mantenible por el equipo interno</w:t>
            </w:r>
          </w:p>
        </w:tc>
        <w:tc>
          <w:tcPr>
            <w:tcW w:type="dxa" w:w="4493"/>
          </w:tcPr>
          <w:p>
            <w:pPr>
              <w:spacing w:after="20"/>
            </w:pPr>
            <w:r>
              <w:rPr>
                <w:b w:val="0"/>
                <w:sz w:val="17"/>
              </w:rPr>
              <w:t xml:space="preserve">Stack que el interno ya domina: </w:t>
            </w:r>
            <w:r>
              <w:rPr>
                <w:b/>
                <w:sz w:val="17"/>
              </w:rPr>
              <w:t>Java + Spring Boot + Angular</w:t>
            </w:r>
            <w:r>
              <w:rPr>
                <w:b w:val="0"/>
                <w:sz w:val="17"/>
              </w:rPr>
              <w:t xml:space="preserve">; </w:t>
            </w:r>
            <w:r>
              <w:rPr>
                <w:b/>
                <w:sz w:val="17"/>
              </w:rPr>
              <w:t>PostgreSQL</w:t>
            </w:r>
            <w:r>
              <w:rPr>
                <w:b w:val="0"/>
                <w:sz w:val="17"/>
              </w:rPr>
              <w:t xml:space="preserve"> en lugar de Oracle; la </w:t>
            </w:r>
            <w:r>
              <w:rPr>
                <w:b/>
                <w:sz w:val="17"/>
              </w:rPr>
              <w:t>misma plantilla de capas</w:t>
            </w:r>
            <w:r>
              <w:rPr>
                <w:b w:val="0"/>
                <w:sz w:val="17"/>
              </w:rPr>
              <w:t xml:space="preserve"> en los 7 servicios; contratos </w:t>
            </w:r>
            <w:r>
              <w:rPr>
                <w:b/>
                <w:sz w:val="17"/>
              </w:rPr>
              <w:t>OpenAPI</w:t>
            </w:r>
            <w:r>
              <w:rPr>
                <w:b w:val="0"/>
                <w:sz w:val="17"/>
              </w:rPr>
              <w:t xml:space="preserve"> como documentación viva</w:t>
            </w:r>
          </w:p>
        </w:tc>
        <w:tc>
          <w:tcPr>
            <w:tcW w:type="dxa" w:w="2808"/>
          </w:tcPr>
          <w:p>
            <w:pPr>
              <w:spacing w:after="20"/>
            </w:pPr>
            <w:r>
              <w:rPr>
                <w:b w:val="0"/>
                <w:sz w:val="17"/>
              </w:rPr>
              <w:t>§5.6</w:t>
            </w:r>
          </w:p>
        </w:tc>
      </w:tr>
      <w:tr>
        <w:tc>
          <w:tcPr>
            <w:tcW w:type="dxa" w:w="374"/>
          </w:tcPr>
          <w:p>
            <w:pPr>
              <w:spacing w:after="20"/>
            </w:pPr>
            <w:r>
              <w:rPr>
                <w:b w:val="0"/>
                <w:sz w:val="17"/>
              </w:rPr>
              <w:t>5</w:t>
            </w:r>
          </w:p>
        </w:tc>
        <w:tc>
          <w:tcPr>
            <w:tcW w:type="dxa" w:w="1685"/>
          </w:tcPr>
          <w:p>
            <w:pPr>
              <w:spacing w:after="20"/>
            </w:pPr>
            <w:r>
              <w:rPr>
                <w:b w:val="0"/>
                <w:sz w:val="17"/>
              </w:rPr>
              <w:t>AC-03 inmutabilidad y trazabilidad total</w:t>
            </w:r>
          </w:p>
        </w:tc>
        <w:tc>
          <w:tcPr>
            <w:tcW w:type="dxa" w:w="4493"/>
          </w:tcPr>
          <w:p>
            <w:pPr>
              <w:spacing w:after="20"/>
            </w:pPr>
            <w:r>
              <w:rPr>
                <w:b/>
                <w:sz w:val="17"/>
              </w:rPr>
              <w:t>Bitácora de eventos de solo inserción</w:t>
            </w:r>
            <w:r>
              <w:rPr>
                <w:b w:val="0"/>
                <w:sz w:val="17"/>
              </w:rPr>
              <w:t xml:space="preserve"> (sin UPDATE ni DELETE, ni para el administrador) con </w:t>
            </w:r>
            <w:r>
              <w:rPr>
                <w:b/>
                <w:sz w:val="17"/>
              </w:rPr>
              <w:t>hash encadenado</w:t>
            </w:r>
            <w:r>
              <w:rPr>
                <w:b w:val="0"/>
                <w:sz w:val="17"/>
              </w:rPr>
              <w:t xml:space="preserve">; el informe forense se arma sobre la </w:t>
            </w:r>
            <w:r>
              <w:rPr>
                <w:b/>
                <w:sz w:val="17"/>
              </w:rPr>
              <w:t>réplica</w:t>
            </w:r>
            <w:r>
              <w:rPr>
                <w:b w:val="0"/>
                <w:sz w:val="17"/>
              </w:rPr>
              <w:t xml:space="preserve"> para no degradar la operación</w:t>
            </w:r>
          </w:p>
        </w:tc>
        <w:tc>
          <w:tcPr>
            <w:tcW w:type="dxa" w:w="2808"/>
          </w:tcPr>
          <w:p>
            <w:pPr>
              <w:spacing w:after="20"/>
            </w:pPr>
            <w:r>
              <w:rPr>
                <w:b w:val="0"/>
                <w:sz w:val="17"/>
              </w:rPr>
              <w:t>Bloques: Bitácora inmutable. Despliegue: VM-10 y sitio alterno</w:t>
            </w:r>
          </w:p>
        </w:tc>
      </w:tr>
    </w:tbl>
    <w:p>
      <w:pPr>
        <w:spacing w:after="40"/>
      </w:pPr>
    </w:p>
    <w:p>
      <w:pPr>
        <w:spacing w:after="120"/>
      </w:pPr>
      <w:r>
        <w:rPr>
          <w:b w:val="0"/>
          <w:sz w:val="21"/>
        </w:rPr>
        <w:t xml:space="preserve">Los que no entraron al top 5 también se atienden: </w:t>
      </w:r>
      <w:r>
        <w:rPr>
          <w:b/>
          <w:sz w:val="21"/>
        </w:rPr>
        <w:t>AC-04</w:t>
      </w:r>
      <w:r>
        <w:rPr>
          <w:b w:val="0"/>
          <w:sz w:val="21"/>
        </w:rPr>
        <w:t xml:space="preserve"> ABAC en el Servicio de Identidad y Acceso con caché de decisiones; </w:t>
      </w:r>
      <w:r>
        <w:rPr>
          <w:b/>
          <w:sz w:val="21"/>
        </w:rPr>
        <w:t>AC-06</w:t>
      </w:r>
      <w:r>
        <w:rPr>
          <w:b w:val="0"/>
          <w:sz w:val="21"/>
        </w:rPr>
        <w:t xml:space="preserve"> adaptadores de integración con cola (guardar y reenviar) y copia nocturna de pacientes del legacy; </w:t>
      </w:r>
      <w:r>
        <w:rPr>
          <w:b/>
          <w:sz w:val="21"/>
        </w:rPr>
        <w:t>AC-08</w:t>
      </w:r>
      <w:r>
        <w:rPr>
          <w:b w:val="0"/>
          <w:sz w:val="21"/>
        </w:rPr>
        <w:t xml:space="preserve"> filtro *Sellar* del pipeline de telemetría.</w:t>
      </w:r>
    </w:p>
    <w:p>
      <w:pPr>
        <w:pStyle w:val="Heading2"/>
      </w:pPr>
      <w:r>
        <w:rPr>
          <w:color w:val="000000"/>
        </w:rPr>
      </w:r>
      <w:r>
        <w:rPr>
          <w:b/>
          <w:color w:val="000000"/>
        </w:rPr>
        <w:t>5.6 Stack tecnológico — lo decide el conflicto STK-08 vs STK-09</w:t>
      </w:r>
    </w:p>
    <w:tbl>
      <w:tblPr>
        <w:tblStyle w:val="TableGrid"/>
        <w:jc w:val="center"/>
        <w:tblLayout w:type="fixed"/>
        <w:tblLook w:firstColumn="1" w:firstRow="1" w:lastColumn="0" w:lastRow="0" w:noHBand="0" w:noVBand="1" w:val="04A0"/>
        <w:tblW w:type="dxa" w:w="9360"/>
      </w:tblPr>
      <w:tblGrid>
        <w:gridCol w:w="1872"/>
        <w:gridCol w:w="2434"/>
        <w:gridCol w:w="2059"/>
        <w:gridCol w:w="2995"/>
      </w:tblGrid>
      <w:tr>
        <w:trPr>
          <w:tblHeader w:val="true"/>
        </w:trPr>
        <w:tc>
          <w:tcPr>
            <w:tcW w:type="dxa" w:w="1872"/>
            <w:shd w:val="clear" w:color="auto" w:fill="EDEFF2"/>
          </w:tcPr>
          <w:p>
            <w:pPr>
              <w:keepNext w:val="0"/>
              <w:spacing w:after="20"/>
            </w:pPr>
            <w:r>
              <w:rPr>
                <w:b/>
                <w:sz w:val="17"/>
              </w:rPr>
              <w:t>Pieza</w:t>
            </w:r>
          </w:p>
        </w:tc>
        <w:tc>
          <w:tcPr>
            <w:tcW w:type="dxa" w:w="2434"/>
            <w:shd w:val="clear" w:color="auto" w:fill="EDEFF2"/>
          </w:tcPr>
          <w:p>
            <w:pPr>
              <w:keepNext w:val="0"/>
              <w:spacing w:after="20"/>
            </w:pPr>
            <w:r>
              <w:rPr>
                <w:b/>
                <w:sz w:val="17"/>
              </w:rPr>
              <w:t>Elección</w:t>
            </w:r>
          </w:p>
        </w:tc>
        <w:tc>
          <w:tcPr>
            <w:tcW w:type="dxa" w:w="2059"/>
            <w:shd w:val="clear" w:color="auto" w:fill="EDEFF2"/>
          </w:tcPr>
          <w:p>
            <w:pPr>
              <w:keepNext w:val="0"/>
              <w:spacing w:after="20"/>
            </w:pPr>
            <w:r>
              <w:rPr>
                <w:b/>
                <w:sz w:val="17"/>
              </w:rPr>
              <w:t>Restricción o driver</w:t>
            </w:r>
          </w:p>
        </w:tc>
        <w:tc>
          <w:tcPr>
            <w:tcW w:type="dxa" w:w="2995"/>
            <w:shd w:val="clear" w:color="auto" w:fill="EDEFF2"/>
          </w:tcPr>
          <w:p>
            <w:pPr>
              <w:keepNext w:val="0"/>
              <w:spacing w:after="20"/>
            </w:pPr>
            <w:r>
              <w:rPr>
                <w:b/>
                <w:sz w:val="17"/>
              </w:rPr>
              <w:t>Descartado y por qué</w:t>
            </w:r>
          </w:p>
        </w:tc>
      </w:tr>
      <w:tr>
        <w:tc>
          <w:tcPr>
            <w:tcW w:type="dxa" w:w="1872"/>
          </w:tcPr>
          <w:p>
            <w:pPr>
              <w:spacing w:after="20"/>
            </w:pPr>
            <w:r>
              <w:rPr>
                <w:b w:val="0"/>
                <w:sz w:val="17"/>
              </w:rPr>
              <w:t>Lenguaje y framework de servicios</w:t>
            </w:r>
          </w:p>
        </w:tc>
        <w:tc>
          <w:tcPr>
            <w:tcW w:type="dxa" w:w="2434"/>
          </w:tcPr>
          <w:p>
            <w:pPr>
              <w:spacing w:after="20"/>
            </w:pPr>
            <w:r>
              <w:rPr>
                <w:b/>
                <w:sz w:val="17"/>
              </w:rPr>
              <w:t>Java 17 + Spring Boot 3</w:t>
            </w:r>
          </w:p>
        </w:tc>
        <w:tc>
          <w:tcPr>
            <w:tcW w:type="dxa" w:w="2059"/>
          </w:tcPr>
          <w:p>
            <w:pPr>
              <w:spacing w:after="20"/>
            </w:pPr>
            <w:r>
              <w:rPr>
                <w:b w:val="0"/>
                <w:sz w:val="17"/>
              </w:rPr>
              <w:t>RE-17 · AC-07</w:t>
            </w:r>
          </w:p>
        </w:tc>
        <w:tc>
          <w:tcPr>
            <w:tcW w:type="dxa" w:w="2995"/>
          </w:tcPr>
          <w:p>
            <w:pPr>
              <w:spacing w:after="20"/>
            </w:pPr>
            <w:r>
              <w:rPr>
                <w:b w:val="0"/>
                <w:sz w:val="17"/>
              </w:rPr>
              <w:t>Python/Django: el interno no lo puede mantener solo</w:t>
            </w:r>
          </w:p>
        </w:tc>
      </w:tr>
      <w:tr>
        <w:tc>
          <w:tcPr>
            <w:tcW w:type="dxa" w:w="1872"/>
          </w:tcPr>
          <w:p>
            <w:pPr>
              <w:spacing w:after="20"/>
            </w:pPr>
            <w:r>
              <w:rPr>
                <w:b w:val="0"/>
                <w:sz w:val="17"/>
              </w:rPr>
              <w:t>Base de datos</w:t>
            </w:r>
          </w:p>
        </w:tc>
        <w:tc>
          <w:tcPr>
            <w:tcW w:type="dxa" w:w="2434"/>
          </w:tcPr>
          <w:p>
            <w:pPr>
              <w:spacing w:after="20"/>
            </w:pPr>
            <w:r>
              <w:rPr>
                <w:b/>
                <w:sz w:val="17"/>
              </w:rPr>
              <w:t>PostgreSQL 16</w:t>
            </w:r>
            <w:r>
              <w:rPr>
                <w:b w:val="0"/>
                <w:sz w:val="17"/>
              </w:rPr>
              <w:t xml:space="preserve"> (primaria + réplica en sitio alterno)</w:t>
            </w:r>
          </w:p>
        </w:tc>
        <w:tc>
          <w:tcPr>
            <w:tcW w:type="dxa" w:w="2059"/>
          </w:tcPr>
          <w:p>
            <w:pPr>
              <w:spacing w:after="20"/>
            </w:pPr>
            <w:r>
              <w:rPr>
                <w:b w:val="0"/>
                <w:sz w:val="17"/>
              </w:rPr>
              <w:t>RE-01 ACID · RE-03 sin licencias</w:t>
            </w:r>
          </w:p>
        </w:tc>
        <w:tc>
          <w:tcPr>
            <w:tcW w:type="dxa" w:w="2995"/>
          </w:tcPr>
          <w:p>
            <w:pPr>
              <w:spacing w:after="20"/>
            </w:pPr>
            <w:r>
              <w:rPr>
                <w:b w:val="0"/>
                <w:sz w:val="17"/>
              </w:rPr>
              <w:t>Oracle Enterprise: RE-03 · MongoDB: sin ACID multi-documento para inventario (RE-01)</w:t>
            </w:r>
          </w:p>
        </w:tc>
      </w:tr>
      <w:tr>
        <w:tc>
          <w:tcPr>
            <w:tcW w:type="dxa" w:w="1872"/>
          </w:tcPr>
          <w:p>
            <w:pPr>
              <w:spacing w:after="20"/>
            </w:pPr>
            <w:r>
              <w:rPr>
                <w:b w:val="0"/>
                <w:sz w:val="17"/>
              </w:rPr>
              <w:t>Web</w:t>
            </w:r>
          </w:p>
        </w:tc>
        <w:tc>
          <w:tcPr>
            <w:tcW w:type="dxa" w:w="2434"/>
          </w:tcPr>
          <w:p>
            <w:pPr>
              <w:spacing w:after="20"/>
            </w:pPr>
            <w:r>
              <w:rPr>
                <w:b/>
                <w:sz w:val="17"/>
              </w:rPr>
              <w:t>Angular</w:t>
            </w:r>
          </w:p>
        </w:tc>
        <w:tc>
          <w:tcPr>
            <w:tcW w:type="dxa" w:w="2059"/>
          </w:tcPr>
          <w:p>
            <w:pPr>
              <w:spacing w:after="20"/>
            </w:pPr>
            <w:r>
              <w:rPr>
                <w:b w:val="0"/>
                <w:sz w:val="17"/>
              </w:rPr>
              <w:t>AC-07</w:t>
            </w:r>
          </w:p>
        </w:tc>
        <w:tc>
          <w:tcPr>
            <w:tcW w:type="dxa" w:w="2995"/>
          </w:tcPr>
          <w:p>
            <w:pPr>
              <w:spacing w:after="20"/>
            </w:pPr>
            <w:r>
              <w:rPr>
                <w:b w:val="0"/>
                <w:sz w:val="17"/>
              </w:rPr>
              <w:t>React: el interno no lo conoce</w:t>
            </w:r>
          </w:p>
        </w:tc>
      </w:tr>
      <w:tr>
        <w:tc>
          <w:tcPr>
            <w:tcW w:type="dxa" w:w="1872"/>
          </w:tcPr>
          <w:p>
            <w:pPr>
              <w:spacing w:after="20"/>
            </w:pPr>
            <w:r>
              <w:rPr>
                <w:b w:val="0"/>
                <w:sz w:val="17"/>
              </w:rPr>
              <w:t>App de enfermería</w:t>
            </w:r>
          </w:p>
        </w:tc>
        <w:tc>
          <w:tcPr>
            <w:tcW w:type="dxa" w:w="2434"/>
          </w:tcPr>
          <w:p>
            <w:pPr>
              <w:spacing w:after="20"/>
            </w:pPr>
            <w:r>
              <w:rPr>
                <w:b/>
                <w:sz w:val="17"/>
              </w:rPr>
              <w:t>Android nativa</w:t>
            </w:r>
            <w:r>
              <w:rPr>
                <w:b w:val="0"/>
                <w:sz w:val="17"/>
              </w:rPr>
              <w:t xml:space="preserve"> (Java/Kotlin) con </w:t>
            </w:r>
            <w:r>
              <w:rPr>
                <w:b/>
                <w:sz w:val="17"/>
              </w:rPr>
              <w:t>SQLite cifrado</w:t>
            </w:r>
          </w:p>
        </w:tc>
        <w:tc>
          <w:tcPr>
            <w:tcW w:type="dxa" w:w="2059"/>
          </w:tcPr>
          <w:p>
            <w:pPr>
              <w:spacing w:after="20"/>
            </w:pPr>
            <w:r>
              <w:rPr>
                <w:b w:val="0"/>
                <w:sz w:val="17"/>
              </w:rPr>
              <w:t>RE-14 Android 9, 3 GB · RE-04 · RE-07</w:t>
            </w:r>
          </w:p>
        </w:tc>
        <w:tc>
          <w:tcPr>
            <w:tcW w:type="dxa" w:w="2995"/>
          </w:tcPr>
          <w:p>
            <w:pPr>
              <w:spacing w:after="20"/>
            </w:pPr>
            <w:r>
              <w:rPr>
                <w:b w:val="0"/>
                <w:sz w:val="17"/>
              </w:rPr>
              <w:t>Frameworks multiplataforma pesados: 3 GB de RAM</w:t>
            </w:r>
          </w:p>
        </w:tc>
      </w:tr>
      <w:tr>
        <w:tc>
          <w:tcPr>
            <w:tcW w:type="dxa" w:w="1872"/>
          </w:tcPr>
          <w:p>
            <w:pPr>
              <w:spacing w:after="20"/>
            </w:pPr>
            <w:r>
              <w:rPr>
                <w:b w:val="0"/>
                <w:sz w:val="17"/>
              </w:rPr>
              <w:t>Bus de eventos</w:t>
            </w:r>
          </w:p>
        </w:tc>
        <w:tc>
          <w:tcPr>
            <w:tcW w:type="dxa" w:w="2434"/>
          </w:tcPr>
          <w:p>
            <w:pPr>
              <w:spacing w:after="20"/>
            </w:pPr>
            <w:r>
              <w:rPr>
                <w:b/>
                <w:sz w:val="17"/>
              </w:rPr>
              <w:t>RabbitMQ</w:t>
            </w:r>
          </w:p>
        </w:tc>
        <w:tc>
          <w:tcPr>
            <w:tcW w:type="dxa" w:w="2059"/>
          </w:tcPr>
          <w:p>
            <w:pPr>
              <w:spacing w:after="20"/>
            </w:pPr>
            <w:r>
              <w:rPr>
                <w:b w:val="0"/>
                <w:sz w:val="17"/>
              </w:rPr>
              <w:t>AC-05 · AC-06 · RE-03</w:t>
            </w:r>
          </w:p>
        </w:tc>
        <w:tc>
          <w:tcPr>
            <w:tcW w:type="dxa" w:w="2995"/>
          </w:tcPr>
          <w:p>
            <w:pPr>
              <w:spacing w:after="20"/>
            </w:pPr>
            <w:r>
              <w:rPr>
                <w:b w:val="0"/>
                <w:sz w:val="17"/>
              </w:rPr>
              <w:t>Kafka: lo conoce la consultora, pero su operación es excesiva para 3 personas</w:t>
            </w:r>
          </w:p>
        </w:tc>
      </w:tr>
      <w:tr>
        <w:tc>
          <w:tcPr>
            <w:tcW w:type="dxa" w:w="1872"/>
          </w:tcPr>
          <w:p>
            <w:pPr>
              <w:spacing w:after="20"/>
            </w:pPr>
            <w:r>
              <w:rPr>
                <w:b w:val="0"/>
                <w:sz w:val="17"/>
              </w:rPr>
              <w:t>Caché</w:t>
            </w:r>
          </w:p>
        </w:tc>
        <w:tc>
          <w:tcPr>
            <w:tcW w:type="dxa" w:w="2434"/>
          </w:tcPr>
          <w:p>
            <w:pPr>
              <w:spacing w:after="20"/>
            </w:pPr>
            <w:r>
              <w:rPr>
                <w:b/>
                <w:sz w:val="17"/>
              </w:rPr>
              <w:t>Redis</w:t>
            </w:r>
          </w:p>
        </w:tc>
        <w:tc>
          <w:tcPr>
            <w:tcW w:type="dxa" w:w="2059"/>
          </w:tcPr>
          <w:p>
            <w:pPr>
              <w:spacing w:after="20"/>
            </w:pPr>
            <w:r>
              <w:rPr>
                <w:b w:val="0"/>
                <w:sz w:val="17"/>
              </w:rPr>
              <w:t>AC-01 · AC-05</w:t>
            </w:r>
          </w:p>
        </w:tc>
        <w:tc>
          <w:tcPr>
            <w:tcW w:type="dxa" w:w="2995"/>
          </w:tcPr>
          <w:p>
            <w:pPr>
              <w:spacing w:after="20"/>
            </w:pPr>
            <w:r>
              <w:rPr>
                <w:b w:val="0"/>
                <w:sz w:val="17"/>
              </w:rPr>
              <w:t>—</w:t>
            </w:r>
          </w:p>
        </w:tc>
      </w:tr>
      <w:tr>
        <w:tc>
          <w:tcPr>
            <w:tcW w:type="dxa" w:w="1872"/>
          </w:tcPr>
          <w:p>
            <w:pPr>
              <w:spacing w:after="20"/>
            </w:pPr>
            <w:r>
              <w:rPr>
                <w:b w:val="0"/>
                <w:sz w:val="17"/>
              </w:rPr>
              <w:t>Identidad</w:t>
            </w:r>
          </w:p>
        </w:tc>
        <w:tc>
          <w:tcPr>
            <w:tcW w:type="dxa" w:w="2434"/>
          </w:tcPr>
          <w:p>
            <w:pPr>
              <w:spacing w:after="20"/>
            </w:pPr>
            <w:r>
              <w:rPr>
                <w:b/>
                <w:sz w:val="17"/>
              </w:rPr>
              <w:t>Keycloak</w:t>
            </w:r>
            <w:r>
              <w:rPr>
                <w:b w:val="0"/>
                <w:sz w:val="17"/>
              </w:rPr>
              <w:t xml:space="preserve"> (federado con LDAP + OTP por SMS de respaldo)</w:t>
            </w:r>
          </w:p>
        </w:tc>
        <w:tc>
          <w:tcPr>
            <w:tcW w:type="dxa" w:w="2059"/>
          </w:tcPr>
          <w:p>
            <w:pPr>
              <w:spacing w:after="20"/>
            </w:pPr>
            <w:r>
              <w:rPr>
                <w:b w:val="0"/>
                <w:sz w:val="17"/>
              </w:rPr>
              <w:t>RE-08 · RE-06 · AC-04</w:t>
            </w:r>
          </w:p>
        </w:tc>
        <w:tc>
          <w:tcPr>
            <w:tcW w:type="dxa" w:w="2995"/>
          </w:tcPr>
          <w:p>
            <w:pPr>
              <w:spacing w:after="20"/>
            </w:pPr>
            <w:r>
              <w:rPr>
                <w:b w:val="0"/>
                <w:sz w:val="17"/>
              </w:rPr>
              <w:t>Autenticar solo contra LDAP: RE-08</w:t>
            </w:r>
          </w:p>
        </w:tc>
      </w:tr>
      <w:tr>
        <w:tc>
          <w:tcPr>
            <w:tcW w:type="dxa" w:w="1872"/>
          </w:tcPr>
          <w:p>
            <w:pPr>
              <w:spacing w:after="20"/>
            </w:pPr>
            <w:r>
              <w:rPr>
                <w:b w:val="0"/>
                <w:sz w:val="17"/>
              </w:rPr>
              <w:t>Balanceo y prioridad de tráfico</w:t>
            </w:r>
          </w:p>
        </w:tc>
        <w:tc>
          <w:tcPr>
            <w:tcW w:type="dxa" w:w="2434"/>
          </w:tcPr>
          <w:p>
            <w:pPr>
              <w:spacing w:after="20"/>
            </w:pPr>
            <w:r>
              <w:rPr>
                <w:b/>
                <w:sz w:val="17"/>
              </w:rPr>
              <w:t>Nginx</w:t>
            </w:r>
          </w:p>
        </w:tc>
        <w:tc>
          <w:tcPr>
            <w:tcW w:type="dxa" w:w="2059"/>
          </w:tcPr>
          <w:p>
            <w:pPr>
              <w:spacing w:after="20"/>
            </w:pPr>
            <w:r>
              <w:rPr>
                <w:b w:val="0"/>
                <w:sz w:val="17"/>
              </w:rPr>
              <w:t>AC-05 · 50 Mbps compartidos</w:t>
            </w:r>
          </w:p>
        </w:tc>
        <w:tc>
          <w:tcPr>
            <w:tcW w:type="dxa" w:w="2995"/>
          </w:tcPr>
          <w:p>
            <w:pPr>
              <w:spacing w:after="20"/>
            </w:pPr>
            <w:r>
              <w:rPr>
                <w:b w:val="0"/>
                <w:sz w:val="17"/>
              </w:rPr>
              <w:t>—</w:t>
            </w:r>
          </w:p>
        </w:tc>
      </w:tr>
      <w:tr>
        <w:tc>
          <w:tcPr>
            <w:tcW w:type="dxa" w:w="1872"/>
          </w:tcPr>
          <w:p>
            <w:pPr>
              <w:spacing w:after="20"/>
            </w:pPr>
            <w:r>
              <w:rPr>
                <w:b w:val="0"/>
                <w:sz w:val="17"/>
              </w:rPr>
              <w:t>Observabilidad</w:t>
            </w:r>
          </w:p>
        </w:tc>
        <w:tc>
          <w:tcPr>
            <w:tcW w:type="dxa" w:w="2434"/>
          </w:tcPr>
          <w:p>
            <w:pPr>
              <w:spacing w:after="20"/>
            </w:pPr>
            <w:r>
              <w:rPr>
                <w:b/>
                <w:sz w:val="17"/>
              </w:rPr>
              <w:t>Prometheus + Grafana</w:t>
            </w:r>
          </w:p>
        </w:tc>
        <w:tc>
          <w:tcPr>
            <w:tcW w:type="dxa" w:w="2059"/>
          </w:tcPr>
          <w:p>
            <w:pPr>
              <w:spacing w:after="20"/>
            </w:pPr>
            <w:r>
              <w:rPr>
                <w:b w:val="0"/>
                <w:sz w:val="17"/>
              </w:rPr>
              <w:t>STK-13</w:t>
            </w:r>
          </w:p>
        </w:tc>
        <w:tc>
          <w:tcPr>
            <w:tcW w:type="dxa" w:w="2995"/>
          </w:tcPr>
          <w:p>
            <w:pPr>
              <w:spacing w:after="20"/>
            </w:pPr>
            <w:r>
              <w:rPr>
                <w:b w:val="0"/>
                <w:sz w:val="17"/>
              </w:rPr>
              <w:t>—</w:t>
            </w:r>
          </w:p>
        </w:tc>
      </w:tr>
    </w:tbl>
    <w:p>
      <w:pPr>
        <w:spacing w:after="40"/>
      </w:pPr>
    </w:p>
    <w:p>
      <w:pPr>
        <w:spacing w:after="120"/>
      </w:pPr>
      <w:r>
        <w:rPr>
          <w:b/>
          <w:sz w:val="21"/>
        </w:rPr>
        <w:t>Todo es open source</w:t>
      </w:r>
      <w:r>
        <w:rPr>
          <w:b w:val="0"/>
          <w:sz w:val="21"/>
        </w:rPr>
        <w:t xml:space="preserve"> (RE-03) y </w:t>
      </w:r>
      <w:r>
        <w:rPr>
          <w:b/>
          <w:sz w:val="21"/>
        </w:rPr>
        <w:t>todo lo sensible reside en el data center local</w:t>
      </w:r>
      <w:r>
        <w:rPr>
          <w:b w:val="0"/>
          <w:sz w:val="21"/>
        </w:rPr>
        <w:t xml:space="preserve"> (RE-02); a la nube pública solo sale el </w:t>
      </w:r>
      <w:r>
        <w:rPr>
          <w:b/>
          <w:sz w:val="21"/>
        </w:rPr>
        <w:t>análisis estadístico con datos anonimizados</w:t>
      </w:r>
      <w:r>
        <w:rPr>
          <w:b w:val="0"/>
          <w:sz w:val="21"/>
        </w:rPr>
        <w:t>.</w:t>
      </w:r>
    </w:p>
    <w:p>
      <w:pPr>
        <w:pStyle w:val="Heading1"/>
        <w:pageBreakBefore/>
      </w:pPr>
      <w:r>
        <w:rPr>
          <w:color w:val="000000"/>
        </w:rPr>
      </w:r>
      <w:r>
        <w:rPr>
          <w:b/>
          <w:color w:val="000000"/>
        </w:rPr>
        <w:t>6. Diagrama de bloques y de despliegue · criterio 6 — 30 pts</w:t>
      </w:r>
    </w:p>
    <w:p>
      <w:pPr>
        <w:spacing w:after="120"/>
      </w:pPr>
      <w:r>
        <w:rPr>
          <w:b w:val="0"/>
          <w:sz w:val="21"/>
        </w:rPr>
        <w:t xml:space="preserve">Tres láminas, en el orden de la clase: </w:t>
      </w:r>
      <w:r>
        <w:rPr>
          <w:b/>
          <w:sz w:val="21"/>
        </w:rPr>
        <w:t>primero el alto nivel, después el detalle</w:t>
      </w:r>
      <w:r>
        <w:rPr>
          <w:b w:val="0"/>
          <w:sz w:val="21"/>
        </w:rPr>
        <w:t xml:space="preserve"> — «Suele ser el primer paso antes de un diseño más detallado (ej. con diagramas de componentes)».</w:t>
      </w:r>
    </w:p>
    <w:tbl>
      <w:tblPr>
        <w:tblStyle w:val="TableGrid"/>
        <w:jc w:val="center"/>
        <w:tblLayout w:type="fixed"/>
        <w:tblLook w:firstColumn="1" w:firstRow="1" w:lastColumn="0" w:lastRow="0" w:noHBand="0" w:noVBand="1" w:val="04A0"/>
        <w:tblW w:type="dxa" w:w="9360"/>
      </w:tblPr>
      <w:tblGrid>
        <w:gridCol w:w="749"/>
        <w:gridCol w:w="2527"/>
        <w:gridCol w:w="6084"/>
      </w:tblGrid>
      <w:tr>
        <w:trPr>
          <w:tblHeader w:val="true"/>
        </w:trPr>
        <w:tc>
          <w:tcPr>
            <w:tcW w:type="dxa" w:w="749"/>
            <w:shd w:val="clear" w:color="auto" w:fill="EDEFF2"/>
          </w:tcPr>
          <w:p>
            <w:pPr>
              <w:keepNext w:val="0"/>
              <w:spacing w:after="20"/>
            </w:pPr>
            <w:r>
              <w:rPr>
                <w:b/>
                <w:sz w:val="18"/>
              </w:rPr>
              <w:t>#</w:t>
            </w:r>
          </w:p>
        </w:tc>
        <w:tc>
          <w:tcPr>
            <w:tcW w:type="dxa" w:w="2527"/>
            <w:shd w:val="clear" w:color="auto" w:fill="EDEFF2"/>
          </w:tcPr>
          <w:p>
            <w:pPr>
              <w:keepNext w:val="0"/>
              <w:spacing w:after="20"/>
            </w:pPr>
            <w:r>
              <w:rPr>
                <w:b/>
                <w:sz w:val="18"/>
              </w:rPr>
              <w:t>Lámina</w:t>
            </w:r>
          </w:p>
        </w:tc>
        <w:tc>
          <w:tcPr>
            <w:tcW w:type="dxa" w:w="6084"/>
            <w:shd w:val="clear" w:color="auto" w:fill="EDEFF2"/>
          </w:tcPr>
          <w:p>
            <w:pPr>
              <w:keepNext w:val="0"/>
              <w:spacing w:after="20"/>
            </w:pPr>
            <w:r>
              <w:rPr>
                <w:b/>
                <w:sz w:val="18"/>
              </w:rPr>
              <w:t>Qué responde</w:t>
            </w:r>
          </w:p>
        </w:tc>
      </w:tr>
      <w:tr>
        <w:tc>
          <w:tcPr>
            <w:tcW w:type="dxa" w:w="749"/>
          </w:tcPr>
          <w:p>
            <w:pPr>
              <w:spacing w:after="20"/>
            </w:pPr>
            <w:r>
              <w:rPr>
                <w:b w:val="0"/>
                <w:sz w:val="18"/>
              </w:rPr>
              <w:t>6.1</w:t>
            </w:r>
          </w:p>
        </w:tc>
        <w:tc>
          <w:tcPr>
            <w:tcW w:type="dxa" w:w="2527"/>
          </w:tcPr>
          <w:p>
            <w:pPr>
              <w:spacing w:after="20"/>
            </w:pPr>
            <w:r>
              <w:rPr>
                <w:b/>
                <w:sz w:val="18"/>
              </w:rPr>
              <w:t>Diagrama de bloques</w:t>
            </w:r>
          </w:p>
        </w:tc>
        <w:tc>
          <w:tcPr>
            <w:tcW w:type="dxa" w:w="6084"/>
          </w:tcPr>
          <w:p>
            <w:pPr>
              <w:spacing w:after="20"/>
            </w:pPr>
            <w:r>
              <w:rPr>
                <w:b w:val="0"/>
                <w:sz w:val="18"/>
              </w:rPr>
              <w:t>¿Cuáles son las partes grandes, cómo se conectan y qué fluye entre ellas?</w:t>
            </w:r>
          </w:p>
        </w:tc>
      </w:tr>
      <w:tr>
        <w:tc>
          <w:tcPr>
            <w:tcW w:type="dxa" w:w="749"/>
          </w:tcPr>
          <w:p>
            <w:pPr>
              <w:spacing w:after="20"/>
            </w:pPr>
            <w:r>
              <w:rPr>
                <w:b w:val="0"/>
                <w:sz w:val="18"/>
              </w:rPr>
              <w:t>6.2</w:t>
            </w:r>
          </w:p>
        </w:tc>
        <w:tc>
          <w:tcPr>
            <w:tcW w:type="dxa" w:w="2527"/>
          </w:tcPr>
          <w:p>
            <w:pPr>
              <w:spacing w:after="20"/>
            </w:pPr>
            <w:r>
              <w:rPr>
                <w:b/>
                <w:sz w:val="18"/>
              </w:rPr>
              <w:t>Diagrama de componentes</w:t>
            </w:r>
          </w:p>
        </w:tc>
        <w:tc>
          <w:tcPr>
            <w:tcW w:type="dxa" w:w="6084"/>
          </w:tcPr>
          <w:p>
            <w:pPr>
              <w:spacing w:after="20"/>
            </w:pPr>
            <w:r>
              <w:rPr>
                <w:b w:val="0"/>
                <w:sz w:val="18"/>
              </w:rPr>
              <w:t>¿De qué piezas de software está hecho y qué interfaces ofrece cada una?</w:t>
            </w:r>
          </w:p>
        </w:tc>
      </w:tr>
      <w:tr>
        <w:tc>
          <w:tcPr>
            <w:tcW w:type="dxa" w:w="749"/>
          </w:tcPr>
          <w:p>
            <w:pPr>
              <w:spacing w:after="20"/>
            </w:pPr>
            <w:r>
              <w:rPr>
                <w:b w:val="0"/>
                <w:sz w:val="18"/>
              </w:rPr>
              <w:t>6.3</w:t>
            </w:r>
          </w:p>
        </w:tc>
        <w:tc>
          <w:tcPr>
            <w:tcW w:type="dxa" w:w="2527"/>
          </w:tcPr>
          <w:p>
            <w:pPr>
              <w:spacing w:after="20"/>
            </w:pPr>
            <w:r>
              <w:rPr>
                <w:b/>
                <w:sz w:val="18"/>
              </w:rPr>
              <w:t>Diagrama de despliegue</w:t>
            </w:r>
          </w:p>
        </w:tc>
        <w:tc>
          <w:tcPr>
            <w:tcW w:type="dxa" w:w="6084"/>
          </w:tcPr>
          <w:p>
            <w:pPr>
              <w:spacing w:after="20"/>
            </w:pPr>
            <w:r>
              <w:rPr>
                <w:b w:val="0"/>
                <w:sz w:val="18"/>
              </w:rPr>
              <w:t>¿En qué hardware corre cada pieza y por qué red se hablan?</w:t>
            </w:r>
          </w:p>
        </w:tc>
      </w:tr>
    </w:tbl>
    <w:p>
      <w:pPr>
        <w:spacing w:after="40"/>
      </w:pPr>
    </w:p>
    <w:p>
      <w:pPr>
        <w:pStyle w:val="Heading2"/>
      </w:pPr>
      <w:r>
        <w:rPr>
          <w:color w:val="000000"/>
        </w:rPr>
      </w:r>
      <w:r>
        <w:rPr>
          <w:b/>
          <w:color w:val="000000"/>
        </w:rPr>
        <w:t>6.1 Diagrama de bloques de alto nivel</w:t>
      </w:r>
    </w:p>
    <w:p>
      <w:pPr>
        <w:spacing w:after="120"/>
      </w:pPr>
      <w:r>
        <w:rPr>
          <w:b/>
          <w:sz w:val="21"/>
        </w:rPr>
        <w:t>Definición de clase aplicada:</w:t>
      </w:r>
      <w:r>
        <w:rPr>
          <w:b w:val="0"/>
          <w:sz w:val="21"/>
        </w:rPr>
        <w:t xml:space="preserve"> «representación del funcionamiento de un sistema, que se hace mediante bloques y sus relaciones, y que, además, definen la organización de todo el proceso interno, sus entradas y sus salidas». Por eso la lámina se lee de </w:t>
      </w:r>
      <w:r>
        <w:rPr>
          <w:b/>
          <w:sz w:val="21"/>
        </w:rPr>
        <w:t>izquierda (entradas) a derecha (salidas)</w:t>
      </w:r>
      <w:r>
        <w:rPr>
          <w:b w:val="0"/>
          <w:sz w:val="21"/>
        </w:rPr>
        <w:t xml:space="preserve"> y </w:t>
      </w:r>
      <w:r>
        <w:rPr>
          <w:b/>
          <w:sz w:val="21"/>
        </w:rPr>
        <w:t>todas las flechas llevan nombre</w:t>
      </w:r>
      <w:r>
        <w:rPr>
          <w:b w:val="0"/>
          <w:sz w:val="21"/>
        </w:rPr>
        <w:t xml:space="preserve"> con lo que fluye.</w:t>
      </w:r>
    </w:p>
    <w:tbl>
      <w:tblPr>
        <w:tblStyle w:val="TableGrid"/>
        <w:jc w:val="center"/>
        <w:tblLayout w:type="fixed"/>
        <w:tblLook w:firstColumn="1" w:firstRow="1" w:lastColumn="0" w:lastRow="0" w:noHBand="0" w:noVBand="1" w:val="04A0"/>
        <w:tblW w:type="dxa" w:w="9360"/>
      </w:tblPr>
      <w:tblGrid>
        <w:gridCol w:w="1591"/>
        <w:gridCol w:w="3182"/>
        <w:gridCol w:w="2621"/>
        <w:gridCol w:w="1966"/>
      </w:tblGrid>
      <w:tr>
        <w:trPr>
          <w:tblHeader w:val="true"/>
        </w:trPr>
        <w:tc>
          <w:tcPr>
            <w:tcW w:type="dxa" w:w="1591"/>
            <w:shd w:val="clear" w:color="auto" w:fill="EDEFF2"/>
          </w:tcPr>
          <w:p>
            <w:pPr>
              <w:keepNext w:val="0"/>
              <w:spacing w:after="20"/>
            </w:pPr>
            <w:r>
              <w:rPr>
                <w:b/>
                <w:sz w:val="16"/>
              </w:rPr>
              <w:t>Banda</w:t>
            </w:r>
          </w:p>
        </w:tc>
        <w:tc>
          <w:tcPr>
            <w:tcW w:type="dxa" w:w="3182"/>
            <w:shd w:val="clear" w:color="auto" w:fill="EDEFF2"/>
          </w:tcPr>
          <w:p>
            <w:pPr>
              <w:keepNext w:val="0"/>
              <w:spacing w:after="20"/>
            </w:pPr>
            <w:r>
              <w:rPr>
                <w:b/>
                <w:sz w:val="16"/>
              </w:rPr>
              <w:t>Bloque</w:t>
            </w:r>
          </w:p>
        </w:tc>
        <w:tc>
          <w:tcPr>
            <w:tcW w:type="dxa" w:w="2621"/>
            <w:shd w:val="clear" w:color="auto" w:fill="EDEFF2"/>
          </w:tcPr>
          <w:p>
            <w:pPr>
              <w:keepNext w:val="0"/>
              <w:spacing w:after="20"/>
            </w:pPr>
            <w:r>
              <w:rPr>
                <w:b/>
                <w:sz w:val="16"/>
              </w:rPr>
              <w:t>Responsabilidad</w:t>
            </w:r>
          </w:p>
        </w:tc>
        <w:tc>
          <w:tcPr>
            <w:tcW w:type="dxa" w:w="1966"/>
            <w:shd w:val="clear" w:color="auto" w:fill="EDEFF2"/>
          </w:tcPr>
          <w:p>
            <w:pPr>
              <w:keepNext w:val="0"/>
              <w:spacing w:after="20"/>
            </w:pPr>
            <w:r>
              <w:rPr>
                <w:b/>
                <w:sz w:val="16"/>
              </w:rPr>
              <w:t>Traza</w:t>
            </w:r>
          </w:p>
        </w:tc>
      </w:tr>
      <w:tr>
        <w:tc>
          <w:tcPr>
            <w:tcW w:type="dxa" w:w="1591"/>
          </w:tcPr>
          <w:p>
            <w:pPr>
              <w:spacing w:after="20"/>
            </w:pPr>
            <w:r>
              <w:rPr>
                <w:b/>
                <w:sz w:val="16"/>
              </w:rPr>
              <w:t>Entradas</w:t>
            </w:r>
          </w:p>
        </w:tc>
        <w:tc>
          <w:tcPr>
            <w:tcW w:type="dxa" w:w="3182"/>
          </w:tcPr>
          <w:p>
            <w:pPr>
              <w:spacing w:after="20"/>
            </w:pPr>
            <w:r>
              <w:rPr>
                <w:b w:val="0"/>
                <w:sz w:val="16"/>
              </w:rPr>
              <w:t>Enfermería (Toughpad + escáner Bluetooth)</w:t>
            </w:r>
          </w:p>
        </w:tc>
        <w:tc>
          <w:tcPr>
            <w:tcW w:type="dxa" w:w="2621"/>
          </w:tcPr>
          <w:p>
            <w:pPr>
              <w:spacing w:after="20"/>
            </w:pPr>
            <w:r>
              <w:rPr>
                <w:b w:val="0"/>
                <w:sz w:val="16"/>
              </w:rPr>
              <w:t>Administrar y validar offline</w:t>
            </w:r>
          </w:p>
        </w:tc>
        <w:tc>
          <w:tcPr>
            <w:tcW w:type="dxa" w:w="1966"/>
          </w:tcPr>
          <w:p>
            <w:pPr>
              <w:spacing w:after="20"/>
            </w:pPr>
            <w:r>
              <w:rPr>
                <w:b w:val="0"/>
                <w:sz w:val="16"/>
              </w:rPr>
              <w:t>RF-23..27 · RE-04 · RE-14 · RE-15</w:t>
            </w:r>
          </w:p>
        </w:tc>
      </w:tr>
      <w:tr>
        <w:tc>
          <w:tcPr>
            <w:tcW w:type="dxa" w:w="1591"/>
          </w:tcPr>
          <w:p>
            <w:pPr>
              <w:spacing w:after="20"/>
            </w:pPr>
          </w:p>
        </w:tc>
        <w:tc>
          <w:tcPr>
            <w:tcW w:type="dxa" w:w="3182"/>
          </w:tcPr>
          <w:p>
            <w:pPr>
              <w:spacing w:after="20"/>
            </w:pPr>
            <w:r>
              <w:rPr>
                <w:b w:val="0"/>
                <w:sz w:val="16"/>
              </w:rPr>
              <w:t>Farmacia (estación offline, sótano)</w:t>
            </w:r>
          </w:p>
        </w:tc>
        <w:tc>
          <w:tcPr>
            <w:tcW w:type="dxa" w:w="2621"/>
          </w:tcPr>
          <w:p>
            <w:pPr>
              <w:spacing w:after="20"/>
            </w:pPr>
            <w:r>
              <w:rPr>
                <w:b w:val="0"/>
                <w:sz w:val="16"/>
              </w:rPr>
              <w:t>Dispensar aunque falle el Wi-Fi</w:t>
            </w:r>
          </w:p>
        </w:tc>
        <w:tc>
          <w:tcPr>
            <w:tcW w:type="dxa" w:w="1966"/>
          </w:tcPr>
          <w:p>
            <w:pPr>
              <w:spacing w:after="20"/>
            </w:pPr>
            <w:r>
              <w:rPr>
                <w:b w:val="0"/>
                <w:sz w:val="16"/>
              </w:rPr>
              <w:t>RF-17..22 · RE-16</w:t>
            </w:r>
          </w:p>
        </w:tc>
      </w:tr>
      <w:tr>
        <w:tc>
          <w:tcPr>
            <w:tcW w:type="dxa" w:w="1591"/>
          </w:tcPr>
          <w:p>
            <w:pPr>
              <w:spacing w:after="20"/>
            </w:pPr>
          </w:p>
        </w:tc>
        <w:tc>
          <w:tcPr>
            <w:tcW w:type="dxa" w:w="3182"/>
          </w:tcPr>
          <w:p>
            <w:pPr>
              <w:spacing w:after="20"/>
            </w:pPr>
            <w:r>
              <w:rPr>
                <w:b w:val="0"/>
                <w:sz w:val="16"/>
              </w:rPr>
              <w:t>Portal clínico y administrativo</w:t>
            </w:r>
          </w:p>
        </w:tc>
        <w:tc>
          <w:tcPr>
            <w:tcW w:type="dxa" w:w="2621"/>
          </w:tcPr>
          <w:p>
            <w:pPr>
              <w:spacing w:after="20"/>
            </w:pPr>
            <w:r>
              <w:rPr>
                <w:b w:val="0"/>
                <w:sz w:val="16"/>
              </w:rPr>
              <w:t>Prescribir, farmacovigilancia, tablero</w:t>
            </w:r>
          </w:p>
        </w:tc>
        <w:tc>
          <w:tcPr>
            <w:tcW w:type="dxa" w:w="1966"/>
          </w:tcPr>
          <w:p>
            <w:pPr>
              <w:spacing w:after="20"/>
            </w:pPr>
            <w:r>
              <w:rPr>
                <w:b w:val="0"/>
                <w:sz w:val="16"/>
              </w:rPr>
              <w:t>RF-10..16 · RF-28..35</w:t>
            </w:r>
          </w:p>
        </w:tc>
      </w:tr>
      <w:tr>
        <w:tc>
          <w:tcPr>
            <w:tcW w:type="dxa" w:w="1591"/>
          </w:tcPr>
          <w:p>
            <w:pPr>
              <w:spacing w:after="20"/>
            </w:pPr>
          </w:p>
        </w:tc>
        <w:tc>
          <w:tcPr>
            <w:tcW w:type="dxa" w:w="3182"/>
          </w:tcPr>
          <w:p>
            <w:pPr>
              <w:spacing w:after="20"/>
            </w:pPr>
            <w:r>
              <w:rPr>
                <w:b w:val="0"/>
                <w:sz w:val="16"/>
              </w:rPr>
              <w:t>Paciente (consulta QR)</w:t>
            </w:r>
          </w:p>
        </w:tc>
        <w:tc>
          <w:tcPr>
            <w:tcW w:type="dxa" w:w="2621"/>
          </w:tcPr>
          <w:p>
            <w:pPr>
              <w:spacing w:after="20"/>
            </w:pPr>
            <w:r>
              <w:rPr>
                <w:b w:val="0"/>
                <w:sz w:val="16"/>
              </w:rPr>
              <w:t>Verificar su medicamento</w:t>
            </w:r>
          </w:p>
        </w:tc>
        <w:tc>
          <w:tcPr>
            <w:tcW w:type="dxa" w:w="1966"/>
          </w:tcPr>
          <w:p>
            <w:pPr>
              <w:spacing w:after="20"/>
            </w:pPr>
            <w:r>
              <w:rPr>
                <w:b w:val="0"/>
                <w:sz w:val="16"/>
              </w:rPr>
              <w:t>RF-32</w:t>
            </w:r>
          </w:p>
        </w:tc>
      </w:tr>
      <w:tr>
        <w:tc>
          <w:tcPr>
            <w:tcW w:type="dxa" w:w="1591"/>
          </w:tcPr>
          <w:p>
            <w:pPr>
              <w:spacing w:after="20"/>
            </w:pPr>
          </w:p>
        </w:tc>
        <w:tc>
          <w:tcPr>
            <w:tcW w:type="dxa" w:w="3182"/>
          </w:tcPr>
          <w:p>
            <w:pPr>
              <w:spacing w:after="20"/>
            </w:pPr>
            <w:r>
              <w:rPr>
                <w:b w:val="0"/>
                <w:sz w:val="16"/>
              </w:rPr>
              <w:t>Sensores IoT de cámaras (vía gateway)</w:t>
            </w:r>
          </w:p>
        </w:tc>
        <w:tc>
          <w:tcPr>
            <w:tcW w:type="dxa" w:w="2621"/>
          </w:tcPr>
          <w:p>
            <w:pPr>
              <w:spacing w:after="20"/>
            </w:pPr>
            <w:r>
              <w:rPr>
                <w:b w:val="0"/>
                <w:sz w:val="16"/>
              </w:rPr>
              <w:t>Lecturas cada 5 min</w:t>
            </w:r>
          </w:p>
        </w:tc>
        <w:tc>
          <w:tcPr>
            <w:tcW w:type="dxa" w:w="1966"/>
          </w:tcPr>
          <w:p>
            <w:pPr>
              <w:spacing w:after="20"/>
            </w:pPr>
            <w:r>
              <w:rPr>
                <w:b w:val="0"/>
                <w:sz w:val="16"/>
              </w:rPr>
              <w:t>RF-05</w:t>
            </w:r>
          </w:p>
        </w:tc>
      </w:tr>
      <w:tr>
        <w:tc>
          <w:tcPr>
            <w:tcW w:type="dxa" w:w="1591"/>
          </w:tcPr>
          <w:p>
            <w:pPr>
              <w:spacing w:after="20"/>
            </w:pPr>
            <w:r>
              <w:rPr>
                <w:b/>
                <w:sz w:val="16"/>
              </w:rPr>
              <w:t>Acceso</w:t>
            </w:r>
          </w:p>
        </w:tc>
        <w:tc>
          <w:tcPr>
            <w:tcW w:type="dxa" w:w="3182"/>
          </w:tcPr>
          <w:p>
            <w:pPr>
              <w:spacing w:after="20"/>
            </w:pPr>
            <w:r>
              <w:rPr>
                <w:b w:val="0"/>
                <w:sz w:val="16"/>
              </w:rPr>
              <w:t>Balanceador y API Gateway</w:t>
            </w:r>
          </w:p>
        </w:tc>
        <w:tc>
          <w:tcPr>
            <w:tcW w:type="dxa" w:w="2621"/>
          </w:tcPr>
          <w:p>
            <w:pPr>
              <w:spacing w:after="20"/>
            </w:pPr>
            <w:r>
              <w:rPr>
                <w:b w:val="0"/>
                <w:sz w:val="16"/>
              </w:rPr>
              <w:t>Reparte carga, prioriza dispensación y administración</w:t>
            </w:r>
          </w:p>
        </w:tc>
        <w:tc>
          <w:tcPr>
            <w:tcW w:type="dxa" w:w="1966"/>
          </w:tcPr>
          <w:p>
            <w:pPr>
              <w:spacing w:after="20"/>
            </w:pPr>
            <w:r>
              <w:rPr>
                <w:b w:val="0"/>
                <w:sz w:val="16"/>
              </w:rPr>
              <w:t>AC-05</w:t>
            </w:r>
          </w:p>
        </w:tc>
      </w:tr>
      <w:tr>
        <w:tc>
          <w:tcPr>
            <w:tcW w:type="dxa" w:w="1591"/>
          </w:tcPr>
          <w:p>
            <w:pPr>
              <w:spacing w:after="20"/>
            </w:pPr>
          </w:p>
        </w:tc>
        <w:tc>
          <w:tcPr>
            <w:tcW w:type="dxa" w:w="3182"/>
          </w:tcPr>
          <w:p>
            <w:pPr>
              <w:spacing w:after="20"/>
            </w:pPr>
            <w:r>
              <w:rPr>
                <w:b w:val="0"/>
                <w:sz w:val="16"/>
              </w:rPr>
              <w:t>Identidad y acceso</w:t>
            </w:r>
          </w:p>
        </w:tc>
        <w:tc>
          <w:tcPr>
            <w:tcW w:type="dxa" w:w="2621"/>
          </w:tcPr>
          <w:p>
            <w:pPr>
              <w:spacing w:after="20"/>
            </w:pPr>
            <w:r>
              <w:rPr>
                <w:b w:val="0"/>
                <w:sz w:val="16"/>
              </w:rPr>
              <w:t>LDAP + OTP de respaldo, ABAC</w:t>
            </w:r>
          </w:p>
        </w:tc>
        <w:tc>
          <w:tcPr>
            <w:tcW w:type="dxa" w:w="1966"/>
          </w:tcPr>
          <w:p>
            <w:pPr>
              <w:spacing w:after="20"/>
            </w:pPr>
            <w:r>
              <w:rPr>
                <w:b w:val="0"/>
                <w:sz w:val="16"/>
              </w:rPr>
              <w:t>RE-08 · AC-04 · RE-12</w:t>
            </w:r>
          </w:p>
        </w:tc>
      </w:tr>
      <w:tr>
        <w:tc>
          <w:tcPr>
            <w:tcW w:type="dxa" w:w="1591"/>
          </w:tcPr>
          <w:p>
            <w:pPr>
              <w:spacing w:after="20"/>
            </w:pPr>
            <w:r>
              <w:rPr>
                <w:b/>
                <w:sz w:val="16"/>
              </w:rPr>
              <w:t>Servicios de negocio (SOA)</w:t>
            </w:r>
          </w:p>
        </w:tc>
        <w:tc>
          <w:tcPr>
            <w:tcW w:type="dxa" w:w="3182"/>
          </w:tcPr>
          <w:p>
            <w:pPr>
              <w:spacing w:after="20"/>
            </w:pPr>
            <w:r>
              <w:rPr>
                <w:b w:val="0"/>
                <w:sz w:val="16"/>
              </w:rPr>
              <w:t>Adquisición · Almacenamiento e Inventario · Prescripción · Dispensación · Administración · Farmacovigilancia · Auditoría y Tablero</w:t>
            </w:r>
          </w:p>
        </w:tc>
        <w:tc>
          <w:tcPr>
            <w:tcW w:type="dxa" w:w="2621"/>
          </w:tcPr>
          <w:p>
            <w:pPr>
              <w:spacing w:after="20"/>
            </w:pPr>
            <w:r>
              <w:rPr>
                <w:b w:val="0"/>
                <w:sz w:val="16"/>
              </w:rPr>
              <w:t>Un servicio por proceso CDU-01..07, cada uno en capas</w:t>
            </w:r>
          </w:p>
        </w:tc>
        <w:tc>
          <w:tcPr>
            <w:tcW w:type="dxa" w:w="1966"/>
          </w:tcPr>
          <w:p>
            <w:pPr>
              <w:spacing w:after="20"/>
            </w:pPr>
            <w:r>
              <w:rPr>
                <w:b w:val="0"/>
                <w:sz w:val="16"/>
              </w:rPr>
              <w:t>RE-05 · AC-07</w:t>
            </w:r>
          </w:p>
        </w:tc>
      </w:tr>
      <w:tr>
        <w:tc>
          <w:tcPr>
            <w:tcW w:type="dxa" w:w="1591"/>
          </w:tcPr>
          <w:p>
            <w:pPr>
              <w:spacing w:after="20"/>
            </w:pPr>
            <w:r>
              <w:rPr>
                <w:b/>
                <w:sz w:val="16"/>
              </w:rPr>
              <w:t>Servicios de soporte</w:t>
            </w:r>
          </w:p>
        </w:tc>
        <w:tc>
          <w:tcPr>
            <w:tcW w:type="dxa" w:w="3182"/>
          </w:tcPr>
          <w:p>
            <w:pPr>
              <w:spacing w:after="20"/>
            </w:pPr>
            <w:r>
              <w:rPr>
                <w:b w:val="0"/>
                <w:sz w:val="16"/>
              </w:rPr>
              <w:t>Sincronización offline</w:t>
            </w:r>
          </w:p>
        </w:tc>
        <w:tc>
          <w:tcPr>
            <w:tcW w:type="dxa" w:w="2621"/>
          </w:tcPr>
          <w:p>
            <w:pPr>
              <w:spacing w:after="20"/>
            </w:pPr>
            <w:r>
              <w:rPr>
                <w:b w:val="0"/>
                <w:sz w:val="16"/>
              </w:rPr>
              <w:t>Reconciliación idempotente</w:t>
            </w:r>
          </w:p>
        </w:tc>
        <w:tc>
          <w:tcPr>
            <w:tcW w:type="dxa" w:w="1966"/>
          </w:tcPr>
          <w:p>
            <w:pPr>
              <w:spacing w:after="20"/>
            </w:pPr>
            <w:r>
              <w:rPr>
                <w:b w:val="0"/>
                <w:sz w:val="16"/>
              </w:rPr>
              <w:t>AC-02 · RF-26</w:t>
            </w:r>
          </w:p>
        </w:tc>
      </w:tr>
      <w:tr>
        <w:tc>
          <w:tcPr>
            <w:tcW w:type="dxa" w:w="1591"/>
          </w:tcPr>
          <w:p>
            <w:pPr>
              <w:spacing w:after="20"/>
            </w:pPr>
          </w:p>
        </w:tc>
        <w:tc>
          <w:tcPr>
            <w:tcW w:type="dxa" w:w="3182"/>
          </w:tcPr>
          <w:p>
            <w:pPr>
              <w:spacing w:after="20"/>
            </w:pPr>
            <w:r>
              <w:rPr>
                <w:b w:val="0"/>
                <w:sz w:val="16"/>
              </w:rPr>
              <w:t>Pipeline de telemetría (tuberías y filtros)</w:t>
            </w:r>
          </w:p>
        </w:tc>
        <w:tc>
          <w:tcPr>
            <w:tcW w:type="dxa" w:w="2621"/>
          </w:tcPr>
          <w:p>
            <w:pPr>
              <w:spacing w:after="20"/>
            </w:pPr>
            <w:r>
              <w:rPr>
                <w:b w:val="0"/>
                <w:sz w:val="16"/>
              </w:rPr>
              <w:t>Recibir → validar → sellar → detectar → publicar</w:t>
            </w:r>
          </w:p>
        </w:tc>
        <w:tc>
          <w:tcPr>
            <w:tcW w:type="dxa" w:w="1966"/>
          </w:tcPr>
          <w:p>
            <w:pPr>
              <w:spacing w:after="20"/>
            </w:pPr>
            <w:r>
              <w:rPr>
                <w:b w:val="0"/>
                <w:sz w:val="16"/>
              </w:rPr>
              <w:t>AC-08 · RF-05 · RF-06</w:t>
            </w:r>
          </w:p>
        </w:tc>
      </w:tr>
      <w:tr>
        <w:tc>
          <w:tcPr>
            <w:tcW w:type="dxa" w:w="1591"/>
          </w:tcPr>
          <w:p>
            <w:pPr>
              <w:spacing w:after="20"/>
            </w:pPr>
          </w:p>
        </w:tc>
        <w:tc>
          <w:tcPr>
            <w:tcW w:type="dxa" w:w="3182"/>
          </w:tcPr>
          <w:p>
            <w:pPr>
              <w:spacing w:after="20"/>
            </w:pPr>
            <w:r>
              <w:rPr>
                <w:b w:val="0"/>
                <w:sz w:val="16"/>
              </w:rPr>
              <w:t>Integración</w:t>
            </w:r>
          </w:p>
        </w:tc>
        <w:tc>
          <w:tcPr>
            <w:tcW w:type="dxa" w:w="2621"/>
          </w:tcPr>
          <w:p>
            <w:pPr>
              <w:spacing w:after="20"/>
            </w:pPr>
            <w:r>
              <w:rPr>
                <w:b w:val="0"/>
                <w:sz w:val="16"/>
              </w:rPr>
              <w:t>Adaptadores legacy SOAP, MSPAS XML/DTD, HL7 FHIR</w:t>
            </w:r>
          </w:p>
        </w:tc>
        <w:tc>
          <w:tcPr>
            <w:tcW w:type="dxa" w:w="1966"/>
          </w:tcPr>
          <w:p>
            <w:pPr>
              <w:spacing w:after="20"/>
            </w:pPr>
            <w:r>
              <w:rPr>
                <w:b w:val="0"/>
                <w:sz w:val="16"/>
              </w:rPr>
              <w:t>AC-06 · RF-29 · RF-37</w:t>
            </w:r>
          </w:p>
        </w:tc>
      </w:tr>
      <w:tr>
        <w:tc>
          <w:tcPr>
            <w:tcW w:type="dxa" w:w="1591"/>
          </w:tcPr>
          <w:p>
            <w:pPr>
              <w:spacing w:after="20"/>
            </w:pPr>
          </w:p>
        </w:tc>
        <w:tc>
          <w:tcPr>
            <w:tcW w:type="dxa" w:w="3182"/>
          </w:tcPr>
          <w:p>
            <w:pPr>
              <w:spacing w:after="20"/>
            </w:pPr>
            <w:r>
              <w:rPr>
                <w:b w:val="0"/>
                <w:sz w:val="16"/>
              </w:rPr>
              <w:t>Notificaciones</w:t>
            </w:r>
          </w:p>
        </w:tc>
        <w:tc>
          <w:tcPr>
            <w:tcW w:type="dxa" w:w="2621"/>
          </w:tcPr>
          <w:p>
            <w:pPr>
              <w:spacing w:after="20"/>
            </w:pPr>
            <w:r>
              <w:rPr>
                <w:b w:val="0"/>
                <w:sz w:val="16"/>
              </w:rPr>
              <w:t>SMS, WhatsApp, correo</w:t>
            </w:r>
          </w:p>
        </w:tc>
        <w:tc>
          <w:tcPr>
            <w:tcW w:type="dxa" w:w="1966"/>
          </w:tcPr>
          <w:p>
            <w:pPr>
              <w:spacing w:after="20"/>
            </w:pPr>
            <w:r>
              <w:rPr>
                <w:b w:val="0"/>
                <w:sz w:val="16"/>
              </w:rPr>
              <w:t>RF-07 · RF-31</w:t>
            </w:r>
          </w:p>
        </w:tc>
      </w:tr>
      <w:tr>
        <w:tc>
          <w:tcPr>
            <w:tcW w:type="dxa" w:w="1591"/>
          </w:tcPr>
          <w:p>
            <w:pPr>
              <w:spacing w:after="20"/>
            </w:pPr>
            <w:r>
              <w:rPr>
                <w:b/>
                <w:sz w:val="16"/>
              </w:rPr>
              <w:t>Bus de eventos</w:t>
            </w:r>
          </w:p>
        </w:tc>
        <w:tc>
          <w:tcPr>
            <w:tcW w:type="dxa" w:w="3182"/>
          </w:tcPr>
          <w:p>
            <w:pPr>
              <w:spacing w:after="20"/>
            </w:pPr>
            <w:r>
              <w:rPr>
                <w:b w:val="0"/>
                <w:sz w:val="16"/>
              </w:rPr>
              <w:t>—</w:t>
            </w:r>
          </w:p>
        </w:tc>
        <w:tc>
          <w:tcPr>
            <w:tcW w:type="dxa" w:w="2621"/>
          </w:tcPr>
          <w:p>
            <w:pPr>
              <w:spacing w:after="20"/>
            </w:pPr>
            <w:r>
              <w:rPr>
                <w:b w:val="0"/>
                <w:sz w:val="16"/>
              </w:rPr>
              <w:t>Desacopla y absorbe picos</w:t>
            </w:r>
          </w:p>
        </w:tc>
        <w:tc>
          <w:tcPr>
            <w:tcW w:type="dxa" w:w="1966"/>
          </w:tcPr>
          <w:p>
            <w:pPr>
              <w:spacing w:after="20"/>
            </w:pPr>
            <w:r>
              <w:rPr>
                <w:b w:val="0"/>
                <w:sz w:val="16"/>
              </w:rPr>
              <w:t>AC-05 · AC-06</w:t>
            </w:r>
          </w:p>
        </w:tc>
      </w:tr>
      <w:tr>
        <w:tc>
          <w:tcPr>
            <w:tcW w:type="dxa" w:w="1591"/>
          </w:tcPr>
          <w:p>
            <w:pPr>
              <w:spacing w:after="20"/>
            </w:pPr>
            <w:r>
              <w:rPr>
                <w:b/>
                <w:sz w:val="16"/>
              </w:rPr>
              <w:t>Datos</w:t>
            </w:r>
          </w:p>
        </w:tc>
        <w:tc>
          <w:tcPr>
            <w:tcW w:type="dxa" w:w="3182"/>
          </w:tcPr>
          <w:p>
            <w:pPr>
              <w:spacing w:after="20"/>
            </w:pPr>
            <w:r>
              <w:rPr>
                <w:b w:val="0"/>
                <w:sz w:val="16"/>
              </w:rPr>
              <w:t>Base transaccional PostgreSQL</w:t>
            </w:r>
          </w:p>
        </w:tc>
        <w:tc>
          <w:tcPr>
            <w:tcW w:type="dxa" w:w="2621"/>
          </w:tcPr>
          <w:p>
            <w:pPr>
              <w:spacing w:after="20"/>
            </w:pPr>
            <w:r>
              <w:rPr>
                <w:b w:val="0"/>
                <w:sz w:val="16"/>
              </w:rPr>
              <w:t>Inventario ACID</w:t>
            </w:r>
          </w:p>
        </w:tc>
        <w:tc>
          <w:tcPr>
            <w:tcW w:type="dxa" w:w="1966"/>
          </w:tcPr>
          <w:p>
            <w:pPr>
              <w:spacing w:after="20"/>
            </w:pPr>
            <w:r>
              <w:rPr>
                <w:b w:val="0"/>
                <w:sz w:val="16"/>
              </w:rPr>
              <w:t>RE-01</w:t>
            </w:r>
          </w:p>
        </w:tc>
      </w:tr>
      <w:tr>
        <w:tc>
          <w:tcPr>
            <w:tcW w:type="dxa" w:w="1591"/>
          </w:tcPr>
          <w:p>
            <w:pPr>
              <w:spacing w:after="20"/>
            </w:pPr>
          </w:p>
        </w:tc>
        <w:tc>
          <w:tcPr>
            <w:tcW w:type="dxa" w:w="3182"/>
          </w:tcPr>
          <w:p>
            <w:pPr>
              <w:spacing w:after="20"/>
            </w:pPr>
            <w:r>
              <w:rPr>
                <w:b w:val="0"/>
                <w:sz w:val="16"/>
              </w:rPr>
              <w:t>Bitácora inmutable</w:t>
            </w:r>
          </w:p>
        </w:tc>
        <w:tc>
          <w:tcPr>
            <w:tcW w:type="dxa" w:w="2621"/>
          </w:tcPr>
          <w:p>
            <w:pPr>
              <w:spacing w:after="20"/>
            </w:pPr>
            <w:r>
              <w:rPr>
                <w:b w:val="0"/>
                <w:sz w:val="16"/>
              </w:rPr>
              <w:t>Solo inserción + hash encadenado</w:t>
            </w:r>
          </w:p>
        </w:tc>
        <w:tc>
          <w:tcPr>
            <w:tcW w:type="dxa" w:w="1966"/>
          </w:tcPr>
          <w:p>
            <w:pPr>
              <w:spacing w:after="20"/>
            </w:pPr>
            <w:r>
              <w:rPr>
                <w:b w:val="0"/>
                <w:sz w:val="16"/>
              </w:rPr>
              <w:t>AC-03 · AC-08</w:t>
            </w:r>
          </w:p>
        </w:tc>
      </w:tr>
      <w:tr>
        <w:tc>
          <w:tcPr>
            <w:tcW w:type="dxa" w:w="1591"/>
          </w:tcPr>
          <w:p>
            <w:pPr>
              <w:spacing w:after="20"/>
            </w:pPr>
          </w:p>
        </w:tc>
        <w:tc>
          <w:tcPr>
            <w:tcW w:type="dxa" w:w="3182"/>
          </w:tcPr>
          <w:p>
            <w:pPr>
              <w:spacing w:after="20"/>
            </w:pPr>
            <w:r>
              <w:rPr>
                <w:b w:val="0"/>
                <w:sz w:val="16"/>
              </w:rPr>
              <w:t>Caché</w:t>
            </w:r>
          </w:p>
        </w:tc>
        <w:tc>
          <w:tcPr>
            <w:tcW w:type="dxa" w:w="2621"/>
          </w:tcPr>
          <w:p>
            <w:pPr>
              <w:spacing w:after="20"/>
            </w:pPr>
            <w:r>
              <w:rPr>
                <w:b w:val="0"/>
                <w:sz w:val="16"/>
              </w:rPr>
              <w:t>Lecturas rápidas</w:t>
            </w:r>
          </w:p>
        </w:tc>
        <w:tc>
          <w:tcPr>
            <w:tcW w:type="dxa" w:w="1966"/>
          </w:tcPr>
          <w:p>
            <w:pPr>
              <w:spacing w:after="20"/>
            </w:pPr>
            <w:r>
              <w:rPr>
                <w:b w:val="0"/>
                <w:sz w:val="16"/>
              </w:rPr>
              <w:t>AC-01 · AC-05</w:t>
            </w:r>
          </w:p>
        </w:tc>
      </w:tr>
      <w:tr>
        <w:tc>
          <w:tcPr>
            <w:tcW w:type="dxa" w:w="1591"/>
          </w:tcPr>
          <w:p>
            <w:pPr>
              <w:spacing w:after="20"/>
            </w:pPr>
          </w:p>
        </w:tc>
        <w:tc>
          <w:tcPr>
            <w:tcW w:type="dxa" w:w="3182"/>
          </w:tcPr>
          <w:p>
            <w:pPr>
              <w:spacing w:after="20"/>
            </w:pPr>
            <w:r>
              <w:rPr>
                <w:b w:val="0"/>
                <w:sz w:val="16"/>
              </w:rPr>
              <w:t>Réplica en sitio alterno</w:t>
            </w:r>
          </w:p>
        </w:tc>
        <w:tc>
          <w:tcPr>
            <w:tcW w:type="dxa" w:w="2621"/>
          </w:tcPr>
          <w:p>
            <w:pPr>
              <w:spacing w:after="20"/>
            </w:pPr>
            <w:r>
              <w:rPr>
                <w:b w:val="0"/>
                <w:sz w:val="16"/>
              </w:rPr>
              <w:t>Respaldo y lecturas de informes</w:t>
            </w:r>
          </w:p>
        </w:tc>
        <w:tc>
          <w:tcPr>
            <w:tcW w:type="dxa" w:w="1966"/>
          </w:tcPr>
          <w:p>
            <w:pPr>
              <w:spacing w:after="20"/>
            </w:pPr>
            <w:r>
              <w:rPr>
                <w:b w:val="0"/>
                <w:sz w:val="16"/>
              </w:rPr>
              <w:t>escenario de caída · RF-33</w:t>
            </w:r>
          </w:p>
        </w:tc>
      </w:tr>
      <w:tr>
        <w:tc>
          <w:tcPr>
            <w:tcW w:type="dxa" w:w="1591"/>
          </w:tcPr>
          <w:p>
            <w:pPr>
              <w:spacing w:after="20"/>
            </w:pPr>
            <w:r>
              <w:rPr>
                <w:b/>
                <w:sz w:val="16"/>
              </w:rPr>
              <w:t>Salidas (externos)</w:t>
            </w:r>
          </w:p>
        </w:tc>
        <w:tc>
          <w:tcPr>
            <w:tcW w:type="dxa" w:w="3182"/>
          </w:tcPr>
          <w:p>
            <w:pPr>
              <w:spacing w:after="20"/>
            </w:pPr>
            <w:r>
              <w:rPr>
                <w:b w:val="0"/>
                <w:sz w:val="16"/>
              </w:rPr>
              <w:t>Legacy de admisiones · Sistema nacional MSPAS · LDAP · Pasarela SMS/WhatsApp · Nube (solo anonimizado)</w:t>
            </w:r>
          </w:p>
        </w:tc>
        <w:tc>
          <w:tcPr>
            <w:tcW w:type="dxa" w:w="2621"/>
          </w:tcPr>
          <w:p>
            <w:pPr>
              <w:spacing w:after="20"/>
            </w:pPr>
            <w:r>
              <w:rPr>
                <w:b w:val="0"/>
                <w:sz w:val="16"/>
              </w:rPr>
              <w:t>—</w:t>
            </w:r>
          </w:p>
        </w:tc>
        <w:tc>
          <w:tcPr>
            <w:tcW w:type="dxa" w:w="1966"/>
          </w:tcPr>
          <w:p>
            <w:pPr>
              <w:spacing w:after="20"/>
            </w:pPr>
            <w:r>
              <w:rPr>
                <w:b w:val="0"/>
                <w:sz w:val="16"/>
              </w:rPr>
              <w:t>AC-06 · RE-02 · RE-08</w:t>
            </w:r>
          </w:p>
        </w:tc>
      </w:tr>
    </w:tbl>
    <w:p>
      <w:pPr>
        <w:spacing w:after="40"/>
      </w:pPr>
    </w:p>
    <w:p>
      <w:pPr>
        <w:sectPr>
          <w:footerReference w:type="default" r:id="rId18"/>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8503920" cy="5098749"/>
            <wp:docPr id="5" name="Picture 5"/>
            <wp:cNvGraphicFramePr>
              <a:graphicFrameLocks noChangeAspect="1"/>
            </wp:cNvGraphicFramePr>
            <a:graphic>
              <a:graphicData uri="http://schemas.openxmlformats.org/drawingml/2006/picture">
                <pic:pic>
                  <pic:nvPicPr>
                    <pic:cNvPr id="0" name="bloques-farmahosp.png"/>
                    <pic:cNvPicPr/>
                  </pic:nvPicPr>
                  <pic:blipFill>
                    <a:blip r:embed="rId13"/>
                    <a:stretch>
                      <a:fillRect/>
                    </a:stretch>
                  </pic:blipFill>
                  <pic:spPr>
                    <a:xfrm>
                      <a:off x="0" y="0"/>
                      <a:ext cx="8503920" cy="5098749"/>
                    </a:xfrm>
                    <a:prstGeom prst="rect"/>
                  </pic:spPr>
                </pic:pic>
              </a:graphicData>
            </a:graphic>
          </wp:inline>
        </w:drawing>
      </w:r>
    </w:p>
    <w:p>
      <w:pPr>
        <w:jc w:val="center"/>
      </w:pPr>
      <w:r>
        <w:rPr>
          <w:b w:val="0"/>
          <w:i/>
          <w:color w:val="555555"/>
          <w:sz w:val="18"/>
        </w:rPr>
        <w:t>§6.1 Diagrama de bloques de alto nivel — bandas por nivel, entradas a la izquierda, salidas a la derecha, toda flecha con lo que fluye y el driver entre paréntesis en cada bloque.</w:t>
      </w:r>
    </w:p>
    <w:p>
      <w:pPr>
        <w:sectPr>
          <w:footerReference w:type="default" r:id="rId19"/>
          <w:pgSz w:w="15840" w:h="12240" w:orient="landscape"/>
          <w:pgMar w:top="1008" w:right="1152" w:bottom="1008" w:left="1152" w:header="720" w:footer="720" w:gutter="0"/>
          <w:cols w:space="720"/>
          <w:docGrid w:linePitch="360"/>
        </w:sectPr>
      </w:pPr>
    </w:p>
    <w:p>
      <w:pPr>
        <w:pStyle w:val="Heading2"/>
      </w:pPr>
      <w:r>
        <w:rPr>
          <w:color w:val="000000"/>
        </w:rPr>
      </w:r>
      <w:r>
        <w:rPr>
          <w:b/>
          <w:color w:val="000000"/>
        </w:rPr>
        <w:t>6.2 Diagrama de componentes</w:t>
      </w:r>
    </w:p>
    <w:p>
      <w:pPr>
        <w:spacing w:after="120"/>
      </w:pPr>
      <w:r>
        <w:rPr>
          <w:b/>
          <w:sz w:val="21"/>
        </w:rPr>
        <w:t>Definición de clase aplicada:</w:t>
      </w:r>
      <w:r>
        <w:rPr>
          <w:b w:val="0"/>
          <w:sz w:val="21"/>
        </w:rPr>
        <w:t xml:space="preserve"> un componente es «una unidad software que puede ser reemplazada y actualizada de forma independiente» y se define «en términos de los servicios que ofrecen (interfaces de salida) y los servicios que requieren». Notación de la clase: interfaz </w:t>
      </w:r>
      <w:r>
        <w:rPr>
          <w:b/>
          <w:sz w:val="21"/>
        </w:rPr>
        <w:t>provista = círculo</w:t>
      </w:r>
      <w:r>
        <w:rPr>
          <w:b w:val="0"/>
          <w:sz w:val="21"/>
        </w:rPr>
        <w:t xml:space="preserve">, dependencia </w:t>
      </w:r>
      <w:r>
        <w:rPr>
          <w:b/>
          <w:sz w:val="21"/>
        </w:rPr>
        <w:t>punteada</w:t>
      </w:r>
      <w:r>
        <w:rPr>
          <w:b w:val="0"/>
          <w:sz w:val="21"/>
        </w:rPr>
        <w:t xml:space="preserve"> del que usa hacia la interfaz.</w:t>
      </w:r>
    </w:p>
    <w:tbl>
      <w:tblPr>
        <w:tblStyle w:val="TableGrid"/>
        <w:jc w:val="center"/>
        <w:tblLayout w:type="fixed"/>
        <w:tblLook w:firstColumn="1" w:firstRow="1" w:lastColumn="0" w:lastRow="0" w:noHBand="0" w:noVBand="1" w:val="04A0"/>
        <w:tblW w:type="dxa" w:w="9360"/>
      </w:tblPr>
      <w:tblGrid>
        <w:gridCol w:w="2059"/>
        <w:gridCol w:w="2246"/>
        <w:gridCol w:w="2995"/>
        <w:gridCol w:w="2059"/>
      </w:tblGrid>
      <w:tr>
        <w:trPr>
          <w:tblHeader w:val="true"/>
        </w:trPr>
        <w:tc>
          <w:tcPr>
            <w:tcW w:type="dxa" w:w="2059"/>
            <w:shd w:val="clear" w:color="auto" w:fill="EDEFF2"/>
          </w:tcPr>
          <w:p>
            <w:pPr>
              <w:keepNext w:val="0"/>
              <w:spacing w:after="20"/>
            </w:pPr>
            <w:r>
              <w:rPr>
                <w:b/>
                <w:sz w:val="17"/>
              </w:rPr>
              <w:t>Componente</w:t>
            </w:r>
          </w:p>
        </w:tc>
        <w:tc>
          <w:tcPr>
            <w:tcW w:type="dxa" w:w="2246"/>
            <w:shd w:val="clear" w:color="auto" w:fill="EDEFF2"/>
          </w:tcPr>
          <w:p>
            <w:pPr>
              <w:keepNext w:val="0"/>
              <w:spacing w:after="20"/>
            </w:pPr>
            <w:r>
              <w:rPr>
                <w:b/>
                <w:sz w:val="17"/>
              </w:rPr>
              <w:t>Interfaz provista</w:t>
            </w:r>
          </w:p>
        </w:tc>
        <w:tc>
          <w:tcPr>
            <w:tcW w:type="dxa" w:w="2995"/>
            <w:shd w:val="clear" w:color="auto" w:fill="EDEFF2"/>
          </w:tcPr>
          <w:p>
            <w:pPr>
              <w:keepNext w:val="0"/>
              <w:spacing w:after="20"/>
            </w:pPr>
            <w:r>
              <w:rPr>
                <w:b/>
                <w:sz w:val="17"/>
              </w:rPr>
              <w:t>La usan</w:t>
            </w:r>
          </w:p>
        </w:tc>
        <w:tc>
          <w:tcPr>
            <w:tcW w:type="dxa" w:w="2059"/>
            <w:shd w:val="clear" w:color="auto" w:fill="EDEFF2"/>
          </w:tcPr>
          <w:p>
            <w:pPr>
              <w:keepNext w:val="0"/>
              <w:spacing w:after="20"/>
            </w:pPr>
            <w:r>
              <w:rPr>
                <w:b/>
                <w:sz w:val="17"/>
              </w:rPr>
              <w:t>Traza</w:t>
            </w:r>
          </w:p>
        </w:tc>
      </w:tr>
      <w:tr>
        <w:tc>
          <w:tcPr>
            <w:tcW w:type="dxa" w:w="2059"/>
          </w:tcPr>
          <w:p>
            <w:pPr>
              <w:spacing w:after="20"/>
            </w:pPr>
            <w:r>
              <w:rPr>
                <w:b w:val="0"/>
                <w:sz w:val="17"/>
              </w:rPr>
              <w:t>SvcAdquisicion</w:t>
            </w:r>
          </w:p>
        </w:tc>
        <w:tc>
          <w:tcPr>
            <w:tcW w:type="dxa" w:w="2246"/>
          </w:tcPr>
          <w:p>
            <w:pPr>
              <w:spacing w:after="20"/>
            </w:pPr>
            <w:r>
              <w:rPr>
                <w:b w:val="0"/>
                <w:sz w:val="17"/>
              </w:rPr>
              <w:t>IOrdenCompra</w:t>
            </w:r>
          </w:p>
        </w:tc>
        <w:tc>
          <w:tcPr>
            <w:tcW w:type="dxa" w:w="2995"/>
          </w:tcPr>
          <w:p>
            <w:pPr>
              <w:spacing w:after="20"/>
            </w:pPr>
            <w:r>
              <w:rPr>
                <w:b w:val="0"/>
                <w:sz w:val="17"/>
              </w:rPr>
              <w:t>SvcInventario (faltantes), SvcPrescripcion (compra urgente)</w:t>
            </w:r>
          </w:p>
        </w:tc>
        <w:tc>
          <w:tcPr>
            <w:tcW w:type="dxa" w:w="2059"/>
          </w:tcPr>
          <w:p>
            <w:pPr>
              <w:spacing w:after="20"/>
            </w:pPr>
            <w:r>
              <w:rPr>
                <w:b w:val="0"/>
                <w:sz w:val="17"/>
              </w:rPr>
              <w:t>RF-01..04</w:t>
            </w:r>
          </w:p>
        </w:tc>
      </w:tr>
      <w:tr>
        <w:tc>
          <w:tcPr>
            <w:tcW w:type="dxa" w:w="2059"/>
          </w:tcPr>
          <w:p>
            <w:pPr>
              <w:spacing w:after="20"/>
            </w:pPr>
            <w:r>
              <w:rPr>
                <w:b w:val="0"/>
                <w:sz w:val="17"/>
              </w:rPr>
              <w:t>SvcInventario</w:t>
            </w:r>
          </w:p>
        </w:tc>
        <w:tc>
          <w:tcPr>
            <w:tcW w:type="dxa" w:w="2246"/>
          </w:tcPr>
          <w:p>
            <w:pPr>
              <w:spacing w:after="20"/>
            </w:pPr>
            <w:r>
              <w:rPr>
                <w:b w:val="0"/>
                <w:sz w:val="17"/>
              </w:rPr>
              <w:t>IInventario</w:t>
            </w:r>
          </w:p>
        </w:tc>
        <w:tc>
          <w:tcPr>
            <w:tcW w:type="dxa" w:w="2995"/>
          </w:tcPr>
          <w:p>
            <w:pPr>
              <w:spacing w:after="20"/>
            </w:pPr>
            <w:r>
              <w:rPr>
                <w:b w:val="0"/>
                <w:sz w:val="17"/>
              </w:rPr>
              <w:t>SvcPrescripcion, SvcDispensacion</w:t>
            </w:r>
          </w:p>
        </w:tc>
        <w:tc>
          <w:tcPr>
            <w:tcW w:type="dxa" w:w="2059"/>
          </w:tcPr>
          <w:p>
            <w:pPr>
              <w:spacing w:after="20"/>
            </w:pPr>
            <w:r>
              <w:rPr>
                <w:b w:val="0"/>
                <w:sz w:val="17"/>
              </w:rPr>
              <w:t>RF-05..09 · RF-14 · RE-01</w:t>
            </w:r>
          </w:p>
        </w:tc>
      </w:tr>
      <w:tr>
        <w:tc>
          <w:tcPr>
            <w:tcW w:type="dxa" w:w="2059"/>
          </w:tcPr>
          <w:p>
            <w:pPr>
              <w:spacing w:after="20"/>
            </w:pPr>
            <w:r>
              <w:rPr>
                <w:b w:val="0"/>
                <w:sz w:val="17"/>
              </w:rPr>
              <w:t>SvcPrescripcion</w:t>
            </w:r>
          </w:p>
        </w:tc>
        <w:tc>
          <w:tcPr>
            <w:tcW w:type="dxa" w:w="2246"/>
          </w:tcPr>
          <w:p>
            <w:pPr>
              <w:spacing w:after="20"/>
            </w:pPr>
            <w:r>
              <w:rPr>
                <w:b w:val="0"/>
                <w:sz w:val="17"/>
              </w:rPr>
              <w:t>IPrescripcion</w:t>
            </w:r>
          </w:p>
        </w:tc>
        <w:tc>
          <w:tcPr>
            <w:tcW w:type="dxa" w:w="2995"/>
          </w:tcPr>
          <w:p>
            <w:pPr>
              <w:spacing w:after="20"/>
            </w:pPr>
            <w:r>
              <w:rPr>
                <w:b w:val="0"/>
                <w:sz w:val="17"/>
              </w:rPr>
              <w:t>SvcDispensacion</w:t>
            </w:r>
          </w:p>
        </w:tc>
        <w:tc>
          <w:tcPr>
            <w:tcW w:type="dxa" w:w="2059"/>
          </w:tcPr>
          <w:p>
            <w:pPr>
              <w:spacing w:after="20"/>
            </w:pPr>
            <w:r>
              <w:rPr>
                <w:b w:val="0"/>
                <w:sz w:val="17"/>
              </w:rPr>
              <w:t>RF-10..16</w:t>
            </w:r>
          </w:p>
        </w:tc>
      </w:tr>
      <w:tr>
        <w:tc>
          <w:tcPr>
            <w:tcW w:type="dxa" w:w="2059"/>
          </w:tcPr>
          <w:p>
            <w:pPr>
              <w:spacing w:after="20"/>
            </w:pPr>
            <w:r>
              <w:rPr>
                <w:b w:val="0"/>
                <w:sz w:val="17"/>
              </w:rPr>
              <w:t>SvcDispensacion</w:t>
            </w:r>
          </w:p>
        </w:tc>
        <w:tc>
          <w:tcPr>
            <w:tcW w:type="dxa" w:w="2246"/>
          </w:tcPr>
          <w:p>
            <w:pPr>
              <w:spacing w:after="20"/>
            </w:pPr>
            <w:r>
              <w:rPr>
                <w:b w:val="0"/>
                <w:sz w:val="17"/>
              </w:rPr>
              <w:t>IDispensacion</w:t>
            </w:r>
          </w:p>
        </w:tc>
        <w:tc>
          <w:tcPr>
            <w:tcW w:type="dxa" w:w="2995"/>
          </w:tcPr>
          <w:p>
            <w:pPr>
              <w:spacing w:after="20"/>
            </w:pPr>
            <w:r>
              <w:rPr>
                <w:b w:val="0"/>
                <w:sz w:val="17"/>
              </w:rPr>
              <w:t>SvcAdministracion (doble registro)</w:t>
            </w:r>
          </w:p>
        </w:tc>
        <w:tc>
          <w:tcPr>
            <w:tcW w:type="dxa" w:w="2059"/>
          </w:tcPr>
          <w:p>
            <w:pPr>
              <w:spacing w:after="20"/>
            </w:pPr>
            <w:r>
              <w:rPr>
                <w:b w:val="0"/>
                <w:sz w:val="17"/>
              </w:rPr>
              <w:t>RF-17..22</w:t>
            </w:r>
          </w:p>
        </w:tc>
      </w:tr>
      <w:tr>
        <w:tc>
          <w:tcPr>
            <w:tcW w:type="dxa" w:w="2059"/>
          </w:tcPr>
          <w:p>
            <w:pPr>
              <w:spacing w:after="20"/>
            </w:pPr>
            <w:r>
              <w:rPr>
                <w:b w:val="0"/>
                <w:sz w:val="17"/>
              </w:rPr>
              <w:t>SvcAdministracion</w:t>
            </w:r>
          </w:p>
        </w:tc>
        <w:tc>
          <w:tcPr>
            <w:tcW w:type="dxa" w:w="2246"/>
          </w:tcPr>
          <w:p>
            <w:pPr>
              <w:spacing w:after="20"/>
            </w:pPr>
            <w:r>
              <w:rPr>
                <w:b w:val="0"/>
                <w:sz w:val="17"/>
              </w:rPr>
              <w:t>IAdministracion</w:t>
            </w:r>
          </w:p>
        </w:tc>
        <w:tc>
          <w:tcPr>
            <w:tcW w:type="dxa" w:w="2995"/>
          </w:tcPr>
          <w:p>
            <w:pPr>
              <w:spacing w:after="20"/>
            </w:pPr>
            <w:r>
              <w:rPr>
                <w:b w:val="0"/>
                <w:sz w:val="17"/>
              </w:rPr>
              <w:t>AppEnfermeria</w:t>
            </w:r>
          </w:p>
        </w:tc>
        <w:tc>
          <w:tcPr>
            <w:tcW w:type="dxa" w:w="2059"/>
          </w:tcPr>
          <w:p>
            <w:pPr>
              <w:spacing w:after="20"/>
            </w:pPr>
            <w:r>
              <w:rPr>
                <w:b w:val="0"/>
                <w:sz w:val="17"/>
              </w:rPr>
              <w:t>RF-23..27</w:t>
            </w:r>
          </w:p>
        </w:tc>
      </w:tr>
      <w:tr>
        <w:tc>
          <w:tcPr>
            <w:tcW w:type="dxa" w:w="2059"/>
          </w:tcPr>
          <w:p>
            <w:pPr>
              <w:spacing w:after="20"/>
            </w:pPr>
            <w:r>
              <w:rPr>
                <w:b w:val="0"/>
                <w:sz w:val="17"/>
              </w:rPr>
              <w:t>SvcFarmacovigilancia</w:t>
            </w:r>
          </w:p>
        </w:tc>
        <w:tc>
          <w:tcPr>
            <w:tcW w:type="dxa" w:w="2246"/>
          </w:tcPr>
          <w:p>
            <w:pPr>
              <w:spacing w:after="20"/>
            </w:pPr>
            <w:r>
              <w:rPr>
                <w:b w:val="0"/>
                <w:sz w:val="17"/>
              </w:rPr>
              <w:t>IFarmacovigilancia</w:t>
            </w:r>
          </w:p>
        </w:tc>
        <w:tc>
          <w:tcPr>
            <w:tcW w:type="dxa" w:w="2995"/>
          </w:tcPr>
          <w:p>
            <w:pPr>
              <w:spacing w:after="20"/>
            </w:pPr>
            <w:r>
              <w:rPr>
                <w:b w:val="0"/>
                <w:sz w:val="17"/>
              </w:rPr>
              <w:t>SvcAdministracion (reacción adversa)</w:t>
            </w:r>
          </w:p>
        </w:tc>
        <w:tc>
          <w:tcPr>
            <w:tcW w:type="dxa" w:w="2059"/>
          </w:tcPr>
          <w:p>
            <w:pPr>
              <w:spacing w:after="20"/>
            </w:pPr>
            <w:r>
              <w:rPr>
                <w:b w:val="0"/>
                <w:sz w:val="17"/>
              </w:rPr>
              <w:t>RF-28..32</w:t>
            </w:r>
          </w:p>
        </w:tc>
      </w:tr>
      <w:tr>
        <w:tc>
          <w:tcPr>
            <w:tcW w:type="dxa" w:w="2059"/>
          </w:tcPr>
          <w:p>
            <w:pPr>
              <w:spacing w:after="20"/>
            </w:pPr>
            <w:r>
              <w:rPr>
                <w:b w:val="0"/>
                <w:sz w:val="17"/>
              </w:rPr>
              <w:t>SvcAuditoria</w:t>
            </w:r>
          </w:p>
        </w:tc>
        <w:tc>
          <w:tcPr>
            <w:tcW w:type="dxa" w:w="2246"/>
          </w:tcPr>
          <w:p>
            <w:pPr>
              <w:spacing w:after="20"/>
            </w:pPr>
            <w:r>
              <w:rPr>
                <w:b w:val="0"/>
                <w:sz w:val="17"/>
              </w:rPr>
              <w:t>IAuditoria</w:t>
            </w:r>
          </w:p>
        </w:tc>
        <w:tc>
          <w:tcPr>
            <w:tcW w:type="dxa" w:w="2995"/>
          </w:tcPr>
          <w:p>
            <w:pPr>
              <w:spacing w:after="20"/>
            </w:pPr>
            <w:r>
              <w:rPr>
                <w:b w:val="0"/>
                <w:sz w:val="17"/>
              </w:rPr>
              <w:t>PortalWeb</w:t>
            </w:r>
          </w:p>
        </w:tc>
        <w:tc>
          <w:tcPr>
            <w:tcW w:type="dxa" w:w="2059"/>
          </w:tcPr>
          <w:p>
            <w:pPr>
              <w:spacing w:after="20"/>
            </w:pPr>
            <w:r>
              <w:rPr>
                <w:b w:val="0"/>
                <w:sz w:val="17"/>
              </w:rPr>
              <w:t>RF-33..37</w:t>
            </w:r>
          </w:p>
        </w:tc>
      </w:tr>
      <w:tr>
        <w:tc>
          <w:tcPr>
            <w:tcW w:type="dxa" w:w="2059"/>
          </w:tcPr>
          <w:p>
            <w:pPr>
              <w:spacing w:after="20"/>
            </w:pPr>
            <w:r>
              <w:rPr>
                <w:b w:val="0"/>
                <w:sz w:val="17"/>
              </w:rPr>
              <w:t>SvcSincronizacion</w:t>
            </w:r>
          </w:p>
        </w:tc>
        <w:tc>
          <w:tcPr>
            <w:tcW w:type="dxa" w:w="2246"/>
          </w:tcPr>
          <w:p>
            <w:pPr>
              <w:spacing w:after="20"/>
            </w:pPr>
            <w:r>
              <w:rPr>
                <w:b w:val="0"/>
                <w:sz w:val="17"/>
              </w:rPr>
              <w:t>ISincronizacion</w:t>
            </w:r>
          </w:p>
        </w:tc>
        <w:tc>
          <w:tcPr>
            <w:tcW w:type="dxa" w:w="2995"/>
          </w:tcPr>
          <w:p>
            <w:pPr>
              <w:spacing w:after="20"/>
            </w:pPr>
            <w:r>
              <w:rPr>
                <w:b w:val="0"/>
                <w:sz w:val="17"/>
              </w:rPr>
              <w:t>AppEnfermeria, AppFarmacia</w:t>
            </w:r>
          </w:p>
        </w:tc>
        <w:tc>
          <w:tcPr>
            <w:tcW w:type="dxa" w:w="2059"/>
          </w:tcPr>
          <w:p>
            <w:pPr>
              <w:spacing w:after="20"/>
            </w:pPr>
            <w:r>
              <w:rPr>
                <w:b w:val="0"/>
                <w:sz w:val="17"/>
              </w:rPr>
              <w:t>AC-02 · RF-26</w:t>
            </w:r>
          </w:p>
        </w:tc>
      </w:tr>
      <w:tr>
        <w:tc>
          <w:tcPr>
            <w:tcW w:type="dxa" w:w="2059"/>
          </w:tcPr>
          <w:p>
            <w:pPr>
              <w:spacing w:after="20"/>
            </w:pPr>
            <w:r>
              <w:rPr>
                <w:b w:val="0"/>
                <w:sz w:val="17"/>
              </w:rPr>
              <w:t>SvcIdentidad</w:t>
            </w:r>
          </w:p>
        </w:tc>
        <w:tc>
          <w:tcPr>
            <w:tcW w:type="dxa" w:w="2246"/>
          </w:tcPr>
          <w:p>
            <w:pPr>
              <w:spacing w:after="20"/>
            </w:pPr>
            <w:r>
              <w:rPr>
                <w:b w:val="0"/>
                <w:sz w:val="17"/>
              </w:rPr>
              <w:t>IAutenticacion · IAutorizacion</w:t>
            </w:r>
          </w:p>
        </w:tc>
        <w:tc>
          <w:tcPr>
            <w:tcW w:type="dxa" w:w="2995"/>
          </w:tcPr>
          <w:p>
            <w:pPr>
              <w:spacing w:after="20"/>
            </w:pPr>
            <w:r>
              <w:rPr>
                <w:b w:val="0"/>
                <w:sz w:val="17"/>
              </w:rPr>
              <w:t>todos los clientes y servicios</w:t>
            </w:r>
          </w:p>
        </w:tc>
        <w:tc>
          <w:tcPr>
            <w:tcW w:type="dxa" w:w="2059"/>
          </w:tcPr>
          <w:p>
            <w:pPr>
              <w:spacing w:after="20"/>
            </w:pPr>
            <w:r>
              <w:rPr>
                <w:b w:val="0"/>
                <w:sz w:val="17"/>
              </w:rPr>
              <w:t>RE-08 · AC-04</w:t>
            </w:r>
          </w:p>
        </w:tc>
      </w:tr>
      <w:tr>
        <w:tc>
          <w:tcPr>
            <w:tcW w:type="dxa" w:w="2059"/>
          </w:tcPr>
          <w:p>
            <w:pPr>
              <w:spacing w:after="20"/>
            </w:pPr>
            <w:r>
              <w:rPr>
                <w:b w:val="0"/>
                <w:sz w:val="17"/>
              </w:rPr>
              <w:t>SvcIntegracion</w:t>
            </w:r>
          </w:p>
        </w:tc>
        <w:tc>
          <w:tcPr>
            <w:tcW w:type="dxa" w:w="2246"/>
          </w:tcPr>
          <w:p>
            <w:pPr>
              <w:spacing w:after="20"/>
            </w:pPr>
            <w:r>
              <w:rPr>
                <w:b w:val="0"/>
                <w:sz w:val="17"/>
              </w:rPr>
              <w:t>IAdmisiones · IReporteMSPAS</w:t>
            </w:r>
          </w:p>
        </w:tc>
        <w:tc>
          <w:tcPr>
            <w:tcW w:type="dxa" w:w="2995"/>
          </w:tcPr>
          <w:p>
            <w:pPr>
              <w:spacing w:after="20"/>
            </w:pPr>
            <w:r>
              <w:rPr>
                <w:b w:val="0"/>
                <w:sz w:val="17"/>
              </w:rPr>
              <w:t>SvcPrescripcion, SvcFarmacovigilancia</w:t>
            </w:r>
          </w:p>
        </w:tc>
        <w:tc>
          <w:tcPr>
            <w:tcW w:type="dxa" w:w="2059"/>
          </w:tcPr>
          <w:p>
            <w:pPr>
              <w:spacing w:after="20"/>
            </w:pPr>
            <w:r>
              <w:rPr>
                <w:b w:val="0"/>
                <w:sz w:val="17"/>
              </w:rPr>
              <w:t>AC-06 · RF-29 · RF-37</w:t>
            </w:r>
          </w:p>
        </w:tc>
      </w:tr>
      <w:tr>
        <w:tc>
          <w:tcPr>
            <w:tcW w:type="dxa" w:w="2059"/>
          </w:tcPr>
          <w:p>
            <w:pPr>
              <w:spacing w:after="20"/>
            </w:pPr>
            <w:r>
              <w:rPr>
                <w:b w:val="0"/>
                <w:sz w:val="17"/>
              </w:rPr>
              <w:t>SvcNotificacion</w:t>
            </w:r>
          </w:p>
        </w:tc>
        <w:tc>
          <w:tcPr>
            <w:tcW w:type="dxa" w:w="2246"/>
          </w:tcPr>
          <w:p>
            <w:pPr>
              <w:spacing w:after="20"/>
            </w:pPr>
            <w:r>
              <w:rPr>
                <w:b w:val="0"/>
                <w:sz w:val="17"/>
              </w:rPr>
              <w:t>INotificacion</w:t>
            </w:r>
          </w:p>
        </w:tc>
        <w:tc>
          <w:tcPr>
            <w:tcW w:type="dxa" w:w="2995"/>
          </w:tcPr>
          <w:p>
            <w:pPr>
              <w:spacing w:after="20"/>
            </w:pPr>
            <w:r>
              <w:rPr>
                <w:b w:val="0"/>
                <w:sz w:val="17"/>
              </w:rPr>
              <w:t>SvcInventario, SvcFarmacovigilancia</w:t>
            </w:r>
          </w:p>
        </w:tc>
        <w:tc>
          <w:tcPr>
            <w:tcW w:type="dxa" w:w="2059"/>
          </w:tcPr>
          <w:p>
            <w:pPr>
              <w:spacing w:after="20"/>
            </w:pPr>
            <w:r>
              <w:rPr>
                <w:b w:val="0"/>
                <w:sz w:val="17"/>
              </w:rPr>
              <w:t>RF-07 · RF-31</w:t>
            </w:r>
          </w:p>
        </w:tc>
      </w:tr>
      <w:tr>
        <w:tc>
          <w:tcPr>
            <w:tcW w:type="dxa" w:w="2059"/>
          </w:tcPr>
          <w:p>
            <w:pPr>
              <w:spacing w:after="20"/>
            </w:pPr>
            <w:r>
              <w:rPr>
                <w:b w:val="0"/>
                <w:sz w:val="17"/>
              </w:rPr>
              <w:t>PipelineTelemetria</w:t>
            </w:r>
          </w:p>
        </w:tc>
        <w:tc>
          <w:tcPr>
            <w:tcW w:type="dxa" w:w="2246"/>
          </w:tcPr>
          <w:p>
            <w:pPr>
              <w:spacing w:after="20"/>
            </w:pPr>
            <w:r>
              <w:rPr>
                <w:b w:val="0"/>
                <w:sz w:val="17"/>
              </w:rPr>
              <w:t>ILectura</w:t>
            </w:r>
          </w:p>
        </w:tc>
        <w:tc>
          <w:tcPr>
            <w:tcW w:type="dxa" w:w="2995"/>
          </w:tcPr>
          <w:p>
            <w:pPr>
              <w:spacing w:after="20"/>
            </w:pPr>
            <w:r>
              <w:rPr>
                <w:b w:val="0"/>
                <w:sz w:val="17"/>
              </w:rPr>
              <w:t>GatewayIoT</w:t>
            </w:r>
          </w:p>
        </w:tc>
        <w:tc>
          <w:tcPr>
            <w:tcW w:type="dxa" w:w="2059"/>
          </w:tcPr>
          <w:p>
            <w:pPr>
              <w:spacing w:after="20"/>
            </w:pPr>
            <w:r>
              <w:rPr>
                <w:b w:val="0"/>
                <w:sz w:val="17"/>
              </w:rPr>
              <w:t>RF-05 · AC-08</w:t>
            </w:r>
          </w:p>
        </w:tc>
      </w:tr>
      <w:tr>
        <w:tc>
          <w:tcPr>
            <w:tcW w:type="dxa" w:w="2059"/>
          </w:tcPr>
          <w:p>
            <w:pPr>
              <w:spacing w:after="20"/>
            </w:pPr>
            <w:r>
              <w:rPr>
                <w:b w:val="0"/>
                <w:sz w:val="17"/>
              </w:rPr>
              <w:t>BitacoraInmutable</w:t>
            </w:r>
          </w:p>
        </w:tc>
        <w:tc>
          <w:tcPr>
            <w:tcW w:type="dxa" w:w="2246"/>
          </w:tcPr>
          <w:p>
            <w:pPr>
              <w:spacing w:after="20"/>
            </w:pPr>
            <w:r>
              <w:rPr>
                <w:b w:val="0"/>
                <w:sz w:val="17"/>
              </w:rPr>
              <w:t>IRegistroEvento</w:t>
            </w:r>
          </w:p>
        </w:tc>
        <w:tc>
          <w:tcPr>
            <w:tcW w:type="dxa" w:w="2995"/>
          </w:tcPr>
          <w:p>
            <w:pPr>
              <w:spacing w:after="20"/>
            </w:pPr>
            <w:r>
              <w:rPr>
                <w:b w:val="0"/>
                <w:sz w:val="17"/>
              </w:rPr>
              <w:t>todos los servicios de negocio</w:t>
            </w:r>
          </w:p>
        </w:tc>
        <w:tc>
          <w:tcPr>
            <w:tcW w:type="dxa" w:w="2059"/>
          </w:tcPr>
          <w:p>
            <w:pPr>
              <w:spacing w:after="20"/>
            </w:pPr>
            <w:r>
              <w:rPr>
                <w:b w:val="0"/>
                <w:sz w:val="17"/>
              </w:rPr>
              <w:t>AC-03</w:t>
            </w:r>
          </w:p>
        </w:tc>
      </w:tr>
    </w:tbl>
    <w:p>
      <w:pPr>
        <w:spacing w:after="40"/>
      </w:pPr>
    </w:p>
    <w:p>
      <w:pPr>
        <w:spacing w:after="120"/>
      </w:pPr>
      <w:r>
        <w:rPr>
          <w:b w:val="0"/>
          <w:sz w:val="21"/>
        </w:rPr>
        <w:t xml:space="preserve">En la lámina, las cuatro interfaces transversales (SvcIntegracion, SvcNotificacion, SvcIdentidad y BitacoraInmutable) se dibujan como dependencias del </w:t>
      </w:r>
      <w:r>
        <w:rPr>
          <w:b/>
          <w:sz w:val="21"/>
        </w:rPr>
        <w:t>grupo</w:t>
      </w:r>
      <w:r>
        <w:rPr>
          <w:b w:val="0"/>
          <w:sz w:val="21"/>
        </w:rPr>
        <w:t xml:space="preserve"> de servicios de negocio, para no repetir siete flechas iguales por cada una.</w:t>
      </w:r>
    </w:p>
    <w:p>
      <w:pPr>
        <w:sectPr>
          <w:footerReference w:type="default" r:id="rId20"/>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8503920" cy="5213625"/>
            <wp:docPr id="6" name="Picture 6"/>
            <wp:cNvGraphicFramePr>
              <a:graphicFrameLocks noChangeAspect="1"/>
            </wp:cNvGraphicFramePr>
            <a:graphic>
              <a:graphicData uri="http://schemas.openxmlformats.org/drawingml/2006/picture">
                <pic:pic>
                  <pic:nvPicPr>
                    <pic:cNvPr id="0" name="componentes-farmahosp.png"/>
                    <pic:cNvPicPr/>
                  </pic:nvPicPr>
                  <pic:blipFill>
                    <a:blip r:embed="rId14"/>
                    <a:stretch>
                      <a:fillRect/>
                    </a:stretch>
                  </pic:blipFill>
                  <pic:spPr>
                    <a:xfrm>
                      <a:off x="0" y="0"/>
                      <a:ext cx="8503920" cy="5213625"/>
                    </a:xfrm>
                    <a:prstGeom prst="rect"/>
                  </pic:spPr>
                </pic:pic>
              </a:graphicData>
            </a:graphic>
          </wp:inline>
        </w:drawing>
      </w:r>
    </w:p>
    <w:p>
      <w:pPr>
        <w:jc w:val="center"/>
      </w:pPr>
      <w:r>
        <w:rPr>
          <w:b w:val="0"/>
          <w:i/>
          <w:color w:val="555555"/>
          <w:sz w:val="18"/>
        </w:rPr>
        <w:t>§6.2 Diagrama de componentes — el nombre de la interfaz arriba del símbolo, la bola unida a su componente con línea llena, y el semicírculo del lado del consumidor abrazando la bola.</w:t>
      </w:r>
    </w:p>
    <w:p>
      <w:pPr>
        <w:sectPr>
          <w:footerReference w:type="default" r:id="rId21"/>
          <w:pgSz w:w="15840" w:h="12240" w:orient="landscape"/>
          <w:pgMar w:top="1008" w:right="1152" w:bottom="1008" w:left="1152" w:header="720" w:footer="720" w:gutter="0"/>
          <w:cols w:space="720"/>
          <w:docGrid w:linePitch="360"/>
        </w:sectPr>
      </w:pPr>
    </w:p>
    <w:p>
      <w:pPr>
        <w:pStyle w:val="Heading2"/>
      </w:pPr>
      <w:r>
        <w:rPr>
          <w:color w:val="000000"/>
        </w:rPr>
      </w:r>
      <w:r>
        <w:rPr>
          <w:b/>
          <w:color w:val="000000"/>
        </w:rPr>
        <w:t>6.3 Diagrama de despliegue</w:t>
      </w:r>
    </w:p>
    <w:p>
      <w:pPr>
        <w:spacing w:after="120"/>
      </w:pPr>
      <w:r>
        <w:rPr>
          <w:b/>
          <w:sz w:val="21"/>
        </w:rPr>
        <w:t>Definición de clase aplicada:</w:t>
      </w:r>
      <w:r>
        <w:rPr>
          <w:b w:val="0"/>
          <w:sz w:val="21"/>
        </w:rPr>
        <w:t xml:space="preserve"> «Se utilizará para representar la arquitectura física sobre la que un sistema software es desplegado. Por tanto, describe tanto dispositivos hardware como software». Notación: </w:t>
      </w:r>
      <w:r>
        <w:rPr>
          <w:b/>
          <w:sz w:val="21"/>
        </w:rPr>
        <w:t>nodo = cubo</w:t>
      </w:r>
      <w:r>
        <w:rPr>
          <w:b w:val="0"/>
          <w:sz w:val="21"/>
        </w:rPr>
        <w:t xml:space="preserve">, «device» para hardware, «executionEnvironment» para software </w:t>
      </w:r>
      <w:r>
        <w:rPr>
          <w:b/>
          <w:sz w:val="21"/>
        </w:rPr>
        <w:t>siempre dentro de un dispositivo</w:t>
      </w:r>
      <w:r>
        <w:rPr>
          <w:b w:val="0"/>
          <w:sz w:val="21"/>
        </w:rPr>
        <w:t xml:space="preserve"> — una </w:t>
      </w:r>
      <w:r>
        <w:rPr>
          <w:b/>
          <w:sz w:val="21"/>
        </w:rPr>
        <w:t>máquina virtual</w:t>
      </w:r>
      <w:r>
        <w:rPr>
          <w:b w:val="0"/>
          <w:sz w:val="21"/>
        </w:rPr>
        <w:t xml:space="preserve"> es el ejemplo del propio PDF —, componentes dentro del nodo, </w:t>
      </w:r>
      <w:r>
        <w:rPr>
          <w:b/>
          <w:sz w:val="21"/>
        </w:rPr>
        <w:t>conexión = línea llena</w:t>
      </w:r>
      <w:r>
        <w:rPr>
          <w:b w:val="0"/>
          <w:sz w:val="21"/>
        </w:rPr>
        <w:t xml:space="preserve"> con el protocolo como estereotipo, y las zonas </w:t>
      </w:r>
      <w:r>
        <w:rPr>
          <w:b/>
          <w:sz w:val="21"/>
        </w:rPr>
        <w:t>FrontEnd / BackEnd</w:t>
      </w:r>
      <w:r>
        <w:rPr>
          <w:b w:val="0"/>
          <w:sz w:val="21"/>
        </w:rPr>
        <w:t xml:space="preserve"> marcadas.</w:t>
      </w:r>
    </w:p>
    <w:tbl>
      <w:tblPr>
        <w:tblStyle w:val="TableGrid"/>
        <w:jc w:val="center"/>
        <w:tblLayout w:type="fixed"/>
        <w:tblLook w:firstColumn="1" w:firstRow="1" w:lastColumn="0" w:lastRow="0" w:noHBand="0" w:noVBand="1" w:val="04A0"/>
        <w:tblW w:type="dxa" w:w="9360"/>
      </w:tblPr>
      <w:tblGrid>
        <w:gridCol w:w="2246"/>
        <w:gridCol w:w="1872"/>
        <w:gridCol w:w="2434"/>
        <w:gridCol w:w="1498"/>
        <w:gridCol w:w="1310"/>
      </w:tblGrid>
      <w:tr>
        <w:trPr>
          <w:tblHeader w:val="true"/>
        </w:trPr>
        <w:tc>
          <w:tcPr>
            <w:tcW w:type="dxa" w:w="2246"/>
            <w:shd w:val="clear" w:color="auto" w:fill="EDEFF2"/>
          </w:tcPr>
          <w:p>
            <w:pPr>
              <w:keepNext w:val="0"/>
              <w:spacing w:after="20"/>
            </w:pPr>
            <w:r>
              <w:rPr>
                <w:b/>
                <w:sz w:val="15"/>
              </w:rPr>
              <w:t>Nodo</w:t>
            </w:r>
          </w:p>
        </w:tc>
        <w:tc>
          <w:tcPr>
            <w:tcW w:type="dxa" w:w="1872"/>
            <w:shd w:val="clear" w:color="auto" w:fill="EDEFF2"/>
          </w:tcPr>
          <w:p>
            <w:pPr>
              <w:keepNext w:val="0"/>
              <w:spacing w:after="20"/>
            </w:pPr>
            <w:r>
              <w:rPr>
                <w:b/>
                <w:sz w:val="15"/>
              </w:rPr>
              <w:t>Tipo</w:t>
            </w:r>
          </w:p>
        </w:tc>
        <w:tc>
          <w:tcPr>
            <w:tcW w:type="dxa" w:w="2434"/>
            <w:shd w:val="clear" w:color="auto" w:fill="EDEFF2"/>
          </w:tcPr>
          <w:p>
            <w:pPr>
              <w:keepNext w:val="0"/>
              <w:spacing w:after="20"/>
            </w:pPr>
            <w:r>
              <w:rPr>
                <w:b/>
                <w:sz w:val="15"/>
              </w:rPr>
              <w:t>Contiene</w:t>
            </w:r>
          </w:p>
        </w:tc>
        <w:tc>
          <w:tcPr>
            <w:tcW w:type="dxa" w:w="1498"/>
            <w:shd w:val="clear" w:color="auto" w:fill="EDEFF2"/>
          </w:tcPr>
          <w:p>
            <w:pPr>
              <w:keepNext w:val="0"/>
              <w:spacing w:after="20"/>
            </w:pPr>
            <w:r>
              <w:rPr>
                <w:b/>
                <w:sz w:val="15"/>
              </w:rPr>
              <w:t>Conexión</w:t>
            </w:r>
          </w:p>
        </w:tc>
        <w:tc>
          <w:tcPr>
            <w:tcW w:type="dxa" w:w="1310"/>
            <w:shd w:val="clear" w:color="auto" w:fill="EDEFF2"/>
          </w:tcPr>
          <w:p>
            <w:pPr>
              <w:keepNext w:val="0"/>
              <w:spacing w:after="20"/>
            </w:pPr>
            <w:r>
              <w:rPr>
                <w:b/>
                <w:sz w:val="15"/>
              </w:rPr>
              <w:t>Traza</w:t>
            </w:r>
          </w:p>
        </w:tc>
      </w:tr>
      <w:tr>
        <w:tc>
          <w:tcPr>
            <w:tcW w:type="dxa" w:w="2246"/>
          </w:tcPr>
          <w:p>
            <w:pPr>
              <w:spacing w:after="20"/>
            </w:pPr>
            <w:r>
              <w:rPr>
                <w:b/>
                <w:sz w:val="15"/>
              </w:rPr>
              <w:t>Toughpad Panasonic</w:t>
            </w:r>
            <w:r>
              <w:rPr>
                <w:b w:val="0"/>
                <w:sz w:val="15"/>
              </w:rPr>
              <w:t xml:space="preserve"> (Android 9, 3 GB, 32 GB)</w:t>
            </w:r>
          </w:p>
        </w:tc>
        <w:tc>
          <w:tcPr>
            <w:tcW w:type="dxa" w:w="1872"/>
          </w:tcPr>
          <w:p>
            <w:pPr>
              <w:spacing w:after="20"/>
            </w:pPr>
            <w:r>
              <w:rPr>
                <w:b w:val="0"/>
                <w:sz w:val="15"/>
              </w:rPr>
              <w:t>«device» → «executionEnvironment» Android 9</w:t>
            </w:r>
          </w:p>
        </w:tc>
        <w:tc>
          <w:tcPr>
            <w:tcW w:type="dxa" w:w="2434"/>
          </w:tcPr>
          <w:p>
            <w:pPr>
              <w:spacing w:after="20"/>
            </w:pPr>
            <w:r>
              <w:rPr>
                <w:b w:val="0"/>
                <w:sz w:val="15"/>
              </w:rPr>
              <w:t>App de Enfermería · Validación local · BD local cifrada (SQLite) · Bandeja de sincronización</w:t>
            </w:r>
          </w:p>
        </w:tc>
        <w:tc>
          <w:tcPr>
            <w:tcW w:type="dxa" w:w="1498"/>
          </w:tcPr>
          <w:p>
            <w:pPr>
              <w:spacing w:after="20"/>
            </w:pPr>
            <w:r>
              <w:rPr>
                <w:b w:val="0"/>
                <w:sz w:val="15"/>
              </w:rPr>
              <w:t>«wifi / HTTPS» al data center · «Bluetooth» al escáner</w:t>
            </w:r>
          </w:p>
        </w:tc>
        <w:tc>
          <w:tcPr>
            <w:tcW w:type="dxa" w:w="1310"/>
          </w:tcPr>
          <w:p>
            <w:pPr>
              <w:spacing w:after="20"/>
            </w:pPr>
            <w:r>
              <w:rPr>
                <w:b w:val="0"/>
                <w:sz w:val="15"/>
              </w:rPr>
              <w:t>RE-04 · RE-14 · AC-01 · AC-02</w:t>
            </w:r>
          </w:p>
        </w:tc>
      </w:tr>
      <w:tr>
        <w:tc>
          <w:tcPr>
            <w:tcW w:type="dxa" w:w="2246"/>
          </w:tcPr>
          <w:p>
            <w:pPr>
              <w:spacing w:after="20"/>
            </w:pPr>
            <w:r>
              <w:rPr>
                <w:b/>
                <w:sz w:val="15"/>
              </w:rPr>
              <w:t>Escáner de código de barras</w:t>
            </w:r>
          </w:p>
        </w:tc>
        <w:tc>
          <w:tcPr>
            <w:tcW w:type="dxa" w:w="1872"/>
          </w:tcPr>
          <w:p>
            <w:pPr>
              <w:spacing w:after="20"/>
            </w:pPr>
            <w:r>
              <w:rPr>
                <w:b w:val="0"/>
                <w:sz w:val="15"/>
              </w:rPr>
              <w:t>«device»</w:t>
            </w:r>
          </w:p>
        </w:tc>
        <w:tc>
          <w:tcPr>
            <w:tcW w:type="dxa" w:w="2434"/>
          </w:tcPr>
          <w:p>
            <w:pPr>
              <w:spacing w:after="20"/>
            </w:pPr>
            <w:r>
              <w:rPr>
                <w:b w:val="0"/>
                <w:sz w:val="15"/>
              </w:rPr>
              <w:t>— (entrada manual de respaldo en la app)</w:t>
            </w:r>
          </w:p>
        </w:tc>
        <w:tc>
          <w:tcPr>
            <w:tcW w:type="dxa" w:w="1498"/>
          </w:tcPr>
          <w:p>
            <w:pPr>
              <w:spacing w:after="20"/>
            </w:pPr>
            <w:r>
              <w:rPr>
                <w:b w:val="0"/>
                <w:sz w:val="15"/>
              </w:rPr>
              <w:t>«Bluetooth»</w:t>
            </w:r>
          </w:p>
        </w:tc>
        <w:tc>
          <w:tcPr>
            <w:tcW w:type="dxa" w:w="1310"/>
          </w:tcPr>
          <w:p>
            <w:pPr>
              <w:spacing w:after="20"/>
            </w:pPr>
            <w:r>
              <w:rPr>
                <w:b w:val="0"/>
                <w:sz w:val="15"/>
              </w:rPr>
              <w:t>RE-15 · RF-25</w:t>
            </w:r>
          </w:p>
        </w:tc>
      </w:tr>
      <w:tr>
        <w:tc>
          <w:tcPr>
            <w:tcW w:type="dxa" w:w="2246"/>
          </w:tcPr>
          <w:p>
            <w:pPr>
              <w:spacing w:after="20"/>
            </w:pPr>
            <w:r>
              <w:rPr>
                <w:b/>
                <w:sz w:val="15"/>
              </w:rPr>
              <w:t>Estación de farmacia</w:t>
            </w:r>
            <w:r>
              <w:rPr>
                <w:b w:val="0"/>
                <w:sz w:val="15"/>
              </w:rPr>
              <w:t xml:space="preserve"> (PC del sótano)</w:t>
            </w:r>
          </w:p>
        </w:tc>
        <w:tc>
          <w:tcPr>
            <w:tcW w:type="dxa" w:w="1872"/>
          </w:tcPr>
          <w:p>
            <w:pPr>
              <w:spacing w:after="20"/>
            </w:pPr>
            <w:r>
              <w:rPr>
                <w:b w:val="0"/>
                <w:sz w:val="15"/>
              </w:rPr>
              <w:t>«device» → «executionEnvironment» Navegador</w:t>
            </w:r>
          </w:p>
        </w:tc>
        <w:tc>
          <w:tcPr>
            <w:tcW w:type="dxa" w:w="2434"/>
          </w:tcPr>
          <w:p>
            <w:pPr>
              <w:spacing w:after="20"/>
            </w:pPr>
            <w:r>
              <w:rPr>
                <w:b w:val="0"/>
                <w:sz w:val="15"/>
              </w:rPr>
              <w:t>App de Farmacia offline · BD local (IndexedDB) · Bandeja de sincronización</w:t>
            </w:r>
          </w:p>
        </w:tc>
        <w:tc>
          <w:tcPr>
            <w:tcW w:type="dxa" w:w="1498"/>
          </w:tcPr>
          <w:p>
            <w:pPr>
              <w:spacing w:after="20"/>
            </w:pPr>
            <w:r>
              <w:rPr>
                <w:b w:val="0"/>
                <w:sz w:val="15"/>
              </w:rPr>
              <w:t>«wifi inestable / HTTPS» · «USB» a impresora</w:t>
            </w:r>
          </w:p>
        </w:tc>
        <w:tc>
          <w:tcPr>
            <w:tcW w:type="dxa" w:w="1310"/>
          </w:tcPr>
          <w:p>
            <w:pPr>
              <w:spacing w:after="20"/>
            </w:pPr>
            <w:r>
              <w:rPr>
                <w:b w:val="0"/>
                <w:sz w:val="15"/>
              </w:rPr>
              <w:t>RE-16 · AC-02</w:t>
            </w:r>
          </w:p>
        </w:tc>
      </w:tr>
      <w:tr>
        <w:tc>
          <w:tcPr>
            <w:tcW w:type="dxa" w:w="2246"/>
          </w:tcPr>
          <w:p>
            <w:pPr>
              <w:spacing w:after="20"/>
            </w:pPr>
            <w:r>
              <w:rPr>
                <w:b/>
                <w:sz w:val="15"/>
              </w:rPr>
              <w:t>Impresora de etiquetas</w:t>
            </w:r>
          </w:p>
        </w:tc>
        <w:tc>
          <w:tcPr>
            <w:tcW w:type="dxa" w:w="1872"/>
          </w:tcPr>
          <w:p>
            <w:pPr>
              <w:spacing w:after="20"/>
            </w:pPr>
            <w:r>
              <w:rPr>
                <w:b w:val="0"/>
                <w:sz w:val="15"/>
              </w:rPr>
              <w:t>«device»</w:t>
            </w:r>
          </w:p>
        </w:tc>
        <w:tc>
          <w:tcPr>
            <w:tcW w:type="dxa" w:w="2434"/>
          </w:tcPr>
          <w:p>
            <w:pPr>
              <w:spacing w:after="20"/>
            </w:pPr>
            <w:r>
              <w:rPr>
                <w:b w:val="0"/>
                <w:sz w:val="15"/>
              </w:rPr>
              <w:t>—</w:t>
            </w:r>
          </w:p>
        </w:tc>
        <w:tc>
          <w:tcPr>
            <w:tcW w:type="dxa" w:w="1498"/>
          </w:tcPr>
          <w:p>
            <w:pPr>
              <w:spacing w:after="20"/>
            </w:pPr>
            <w:r>
              <w:rPr>
                <w:b w:val="0"/>
                <w:sz w:val="15"/>
              </w:rPr>
              <w:t>«USB»</w:t>
            </w:r>
          </w:p>
        </w:tc>
        <w:tc>
          <w:tcPr>
            <w:tcW w:type="dxa" w:w="1310"/>
          </w:tcPr>
          <w:p>
            <w:pPr>
              <w:spacing w:after="20"/>
            </w:pPr>
            <w:r>
              <w:rPr>
                <w:b w:val="0"/>
                <w:sz w:val="15"/>
              </w:rPr>
              <w:t>RF-18</w:t>
            </w:r>
          </w:p>
        </w:tc>
      </w:tr>
      <w:tr>
        <w:tc>
          <w:tcPr>
            <w:tcW w:type="dxa" w:w="2246"/>
          </w:tcPr>
          <w:p>
            <w:pPr>
              <w:spacing w:after="20"/>
            </w:pPr>
            <w:r>
              <w:rPr>
                <w:b/>
                <w:sz w:val="15"/>
              </w:rPr>
              <w:t>PC clínica y administrativa</w:t>
            </w:r>
          </w:p>
        </w:tc>
        <w:tc>
          <w:tcPr>
            <w:tcW w:type="dxa" w:w="1872"/>
          </w:tcPr>
          <w:p>
            <w:pPr>
              <w:spacing w:after="20"/>
            </w:pPr>
            <w:r>
              <w:rPr>
                <w:b w:val="0"/>
                <w:sz w:val="15"/>
              </w:rPr>
              <w:t>«device» → «executionEnvironment» Navegador</w:t>
            </w:r>
          </w:p>
        </w:tc>
        <w:tc>
          <w:tcPr>
            <w:tcW w:type="dxa" w:w="2434"/>
          </w:tcPr>
          <w:p>
            <w:pPr>
              <w:spacing w:after="20"/>
            </w:pPr>
            <w:r>
              <w:rPr>
                <w:b w:val="0"/>
                <w:sz w:val="15"/>
              </w:rPr>
              <w:t>Portal web (Angular)</w:t>
            </w:r>
          </w:p>
        </w:tc>
        <w:tc>
          <w:tcPr>
            <w:tcW w:type="dxa" w:w="1498"/>
          </w:tcPr>
          <w:p>
            <w:pPr>
              <w:spacing w:after="20"/>
            </w:pPr>
            <w:r>
              <w:rPr>
                <w:b w:val="0"/>
                <w:sz w:val="15"/>
              </w:rPr>
              <w:t>«Ethernet 1 Gbps / HTTPS»</w:t>
            </w:r>
          </w:p>
        </w:tc>
        <w:tc>
          <w:tcPr>
            <w:tcW w:type="dxa" w:w="1310"/>
          </w:tcPr>
          <w:p>
            <w:pPr>
              <w:spacing w:after="20"/>
            </w:pPr>
            <w:r>
              <w:rPr>
                <w:b w:val="0"/>
                <w:sz w:val="15"/>
              </w:rPr>
              <w:t>RF-10..16 · RF-28..35</w:t>
            </w:r>
          </w:p>
        </w:tc>
      </w:tr>
      <w:tr>
        <w:tc>
          <w:tcPr>
            <w:tcW w:type="dxa" w:w="2246"/>
          </w:tcPr>
          <w:p>
            <w:pPr>
              <w:spacing w:after="20"/>
            </w:pPr>
            <w:r>
              <w:rPr>
                <w:b/>
                <w:sz w:val="15"/>
              </w:rPr>
              <w:t>Smartphone del paciente</w:t>
            </w:r>
          </w:p>
        </w:tc>
        <w:tc>
          <w:tcPr>
            <w:tcW w:type="dxa" w:w="1872"/>
          </w:tcPr>
          <w:p>
            <w:pPr>
              <w:spacing w:after="20"/>
            </w:pPr>
            <w:r>
              <w:rPr>
                <w:b w:val="0"/>
                <w:sz w:val="15"/>
              </w:rPr>
              <w:t>«device» → «executionEnvironment» Navegador</w:t>
            </w:r>
          </w:p>
        </w:tc>
        <w:tc>
          <w:tcPr>
            <w:tcW w:type="dxa" w:w="2434"/>
          </w:tcPr>
          <w:p>
            <w:pPr>
              <w:spacing w:after="20"/>
            </w:pPr>
            <w:r>
              <w:rPr>
                <w:b w:val="0"/>
                <w:sz w:val="15"/>
              </w:rPr>
              <w:t>Consulta QR</w:t>
            </w:r>
          </w:p>
        </w:tc>
        <w:tc>
          <w:tcPr>
            <w:tcW w:type="dxa" w:w="1498"/>
          </w:tcPr>
          <w:p>
            <w:pPr>
              <w:spacing w:after="20"/>
            </w:pPr>
            <w:r>
              <w:rPr>
                <w:b w:val="0"/>
                <w:sz w:val="15"/>
              </w:rPr>
              <w:t>«Internet / HTTPS»</w:t>
            </w:r>
          </w:p>
        </w:tc>
        <w:tc>
          <w:tcPr>
            <w:tcW w:type="dxa" w:w="1310"/>
          </w:tcPr>
          <w:p>
            <w:pPr>
              <w:spacing w:after="20"/>
            </w:pPr>
            <w:r>
              <w:rPr>
                <w:b w:val="0"/>
                <w:sz w:val="15"/>
              </w:rPr>
              <w:t>RF-32</w:t>
            </w:r>
          </w:p>
        </w:tc>
      </w:tr>
      <w:tr>
        <w:tc>
          <w:tcPr>
            <w:tcW w:type="dxa" w:w="2246"/>
          </w:tcPr>
          <w:p>
            <w:pPr>
              <w:spacing w:after="20"/>
            </w:pPr>
            <w:r>
              <w:rPr>
                <w:b/>
                <w:sz w:val="15"/>
              </w:rPr>
              <w:t>Sensores IoT</w:t>
            </w:r>
            <w:r>
              <w:rPr>
                <w:b w:val="0"/>
                <w:sz w:val="15"/>
              </w:rPr>
              <w:t xml:space="preserve"> (cada cámara)</w:t>
            </w:r>
          </w:p>
        </w:tc>
        <w:tc>
          <w:tcPr>
            <w:tcW w:type="dxa" w:w="1872"/>
          </w:tcPr>
          <w:p>
            <w:pPr>
              <w:spacing w:after="20"/>
            </w:pPr>
            <w:r>
              <w:rPr>
                <w:b w:val="0"/>
                <w:sz w:val="15"/>
              </w:rPr>
              <w:t>«device»</w:t>
            </w:r>
          </w:p>
        </w:tc>
        <w:tc>
          <w:tcPr>
            <w:tcW w:type="dxa" w:w="2434"/>
          </w:tcPr>
          <w:p>
            <w:pPr>
              <w:spacing w:after="20"/>
            </w:pPr>
            <w:r>
              <w:rPr>
                <w:b w:val="0"/>
                <w:sz w:val="15"/>
              </w:rPr>
              <w:t>—</w:t>
            </w:r>
          </w:p>
        </w:tc>
        <w:tc>
          <w:tcPr>
            <w:tcW w:type="dxa" w:w="1498"/>
          </w:tcPr>
          <w:p>
            <w:pPr>
              <w:spacing w:after="20"/>
            </w:pPr>
            <w:r>
              <w:rPr>
                <w:b w:val="0"/>
                <w:sz w:val="15"/>
              </w:rPr>
              <w:t>«MQTT» al gateway</w:t>
            </w:r>
          </w:p>
        </w:tc>
        <w:tc>
          <w:tcPr>
            <w:tcW w:type="dxa" w:w="1310"/>
          </w:tcPr>
          <w:p>
            <w:pPr>
              <w:spacing w:after="20"/>
            </w:pPr>
            <w:r>
              <w:rPr>
                <w:b w:val="0"/>
                <w:sz w:val="15"/>
              </w:rPr>
              <w:t>RF-05</w:t>
            </w:r>
          </w:p>
        </w:tc>
      </w:tr>
      <w:tr>
        <w:tc>
          <w:tcPr>
            <w:tcW w:type="dxa" w:w="2246"/>
          </w:tcPr>
          <w:p>
            <w:pPr>
              <w:spacing w:after="20"/>
            </w:pPr>
            <w:r>
              <w:rPr>
                <w:b/>
                <w:sz w:val="15"/>
              </w:rPr>
              <w:t>Gateway IoT</w:t>
            </w:r>
          </w:p>
        </w:tc>
        <w:tc>
          <w:tcPr>
            <w:tcW w:type="dxa" w:w="1872"/>
          </w:tcPr>
          <w:p>
            <w:pPr>
              <w:spacing w:after="20"/>
            </w:pPr>
            <w:r>
              <w:rPr>
                <w:b w:val="0"/>
                <w:sz w:val="15"/>
              </w:rPr>
              <w:t>«device»</w:t>
            </w:r>
          </w:p>
        </w:tc>
        <w:tc>
          <w:tcPr>
            <w:tcW w:type="dxa" w:w="2434"/>
          </w:tcPr>
          <w:p>
            <w:pPr>
              <w:spacing w:after="20"/>
            </w:pPr>
            <w:r>
              <w:rPr>
                <w:b w:val="0"/>
                <w:sz w:val="15"/>
              </w:rPr>
              <w:t>Buffer local (guardar y reenviar)</w:t>
            </w:r>
          </w:p>
        </w:tc>
        <w:tc>
          <w:tcPr>
            <w:tcW w:type="dxa" w:w="1498"/>
          </w:tcPr>
          <w:p>
            <w:pPr>
              <w:spacing w:after="20"/>
            </w:pPr>
            <w:r>
              <w:rPr>
                <w:b w:val="0"/>
                <w:sz w:val="15"/>
              </w:rPr>
              <w:t>«MQTT / TLS» al data center</w:t>
            </w:r>
          </w:p>
        </w:tc>
        <w:tc>
          <w:tcPr>
            <w:tcW w:type="dxa" w:w="1310"/>
          </w:tcPr>
          <w:p>
            <w:pPr>
              <w:spacing w:after="20"/>
            </w:pPr>
            <w:r>
              <w:rPr>
                <w:b w:val="0"/>
                <w:sz w:val="15"/>
              </w:rPr>
              <w:t>AC-08 · escenario de caída</w:t>
            </w:r>
          </w:p>
        </w:tc>
      </w:tr>
      <w:tr>
        <w:tc>
          <w:tcPr>
            <w:tcW w:type="dxa" w:w="2246"/>
          </w:tcPr>
          <w:p>
            <w:pPr>
              <w:spacing w:after="20"/>
            </w:pPr>
            <w:r>
              <w:rPr>
                <w:b/>
                <w:sz w:val="15"/>
              </w:rPr>
              <w:t>Servidor de virtualización VMware</w:t>
            </w:r>
            <w:r>
              <w:rPr>
                <w:b w:val="0"/>
                <w:sz w:val="15"/>
              </w:rPr>
              <w:t xml:space="preserve"> — data center principal (32 vCPU / 128 GB / SAN 10 TB)</w:t>
            </w:r>
          </w:p>
        </w:tc>
        <w:tc>
          <w:tcPr>
            <w:tcW w:type="dxa" w:w="1872"/>
          </w:tcPr>
          <w:p>
            <w:pPr>
              <w:spacing w:after="20"/>
            </w:pPr>
            <w:r>
              <w:rPr>
                <w:b w:val="0"/>
                <w:sz w:val="15"/>
              </w:rPr>
              <w:t>«device» con 11 «executionEnvironment» (VM-01 a VM-11)</w:t>
            </w:r>
          </w:p>
        </w:tc>
        <w:tc>
          <w:tcPr>
            <w:tcW w:type="dxa" w:w="2434"/>
          </w:tcPr>
          <w:p>
            <w:pPr>
              <w:spacing w:after="20"/>
            </w:pPr>
            <w:r>
              <w:rPr>
                <w:b w:val="0"/>
                <w:sz w:val="15"/>
              </w:rPr>
              <w:t>ver tabla de VMs</w:t>
            </w:r>
          </w:p>
        </w:tc>
        <w:tc>
          <w:tcPr>
            <w:tcW w:type="dxa" w:w="1498"/>
          </w:tcPr>
          <w:p>
            <w:pPr>
              <w:spacing w:after="20"/>
            </w:pPr>
            <w:r>
              <w:rPr>
                <w:b w:val="0"/>
                <w:sz w:val="15"/>
              </w:rPr>
              <w:t>—</w:t>
            </w:r>
          </w:p>
        </w:tc>
        <w:tc>
          <w:tcPr>
            <w:tcW w:type="dxa" w:w="1310"/>
          </w:tcPr>
          <w:p>
            <w:pPr>
              <w:spacing w:after="20"/>
            </w:pPr>
            <w:r>
              <w:rPr>
                <w:b w:val="0"/>
                <w:sz w:val="15"/>
              </w:rPr>
              <w:t>RE-13</w:t>
            </w:r>
          </w:p>
        </w:tc>
      </w:tr>
      <w:tr>
        <w:tc>
          <w:tcPr>
            <w:tcW w:type="dxa" w:w="2246"/>
          </w:tcPr>
          <w:p>
            <w:pPr>
              <w:spacing w:after="20"/>
            </w:pPr>
            <w:r>
              <w:rPr>
                <w:b/>
                <w:sz w:val="15"/>
              </w:rPr>
              <w:t>Servidor de respaldo</w:t>
            </w:r>
            <w:r>
              <w:rPr>
                <w:b w:val="0"/>
                <w:sz w:val="15"/>
              </w:rPr>
              <w:t xml:space="preserve"> — sitio alterno</w:t>
            </w:r>
          </w:p>
        </w:tc>
        <w:tc>
          <w:tcPr>
            <w:tcW w:type="dxa" w:w="1872"/>
          </w:tcPr>
          <w:p>
            <w:pPr>
              <w:spacing w:after="20"/>
            </w:pPr>
            <w:r>
              <w:rPr>
                <w:b w:val="0"/>
                <w:sz w:val="15"/>
              </w:rPr>
              <w:t>«device» → VM</w:t>
            </w:r>
          </w:p>
        </w:tc>
        <w:tc>
          <w:tcPr>
            <w:tcW w:type="dxa" w:w="2434"/>
          </w:tcPr>
          <w:p>
            <w:pPr>
              <w:spacing w:after="20"/>
            </w:pPr>
            <w:r>
              <w:rPr>
                <w:b w:val="0"/>
                <w:sz w:val="15"/>
              </w:rPr>
              <w:t>PostgreSQL réplica (lectura para informes y tablero) · Servicios en espera</w:t>
            </w:r>
          </w:p>
        </w:tc>
        <w:tc>
          <w:tcPr>
            <w:tcW w:type="dxa" w:w="1498"/>
          </w:tcPr>
          <w:p>
            <w:pPr>
              <w:spacing w:after="20"/>
            </w:pPr>
            <w:r>
              <w:rPr>
                <w:b w:val="0"/>
                <w:sz w:val="15"/>
              </w:rPr>
              <w:t>«replicación en streaming / TCP»</w:t>
            </w:r>
          </w:p>
        </w:tc>
        <w:tc>
          <w:tcPr>
            <w:tcW w:type="dxa" w:w="1310"/>
          </w:tcPr>
          <w:p>
            <w:pPr>
              <w:spacing w:after="20"/>
            </w:pPr>
            <w:r>
              <w:rPr>
                <w:b w:val="0"/>
                <w:sz w:val="15"/>
              </w:rPr>
              <w:t>escenario de caída · RF-33</w:t>
            </w:r>
          </w:p>
        </w:tc>
      </w:tr>
      <w:tr>
        <w:tc>
          <w:tcPr>
            <w:tcW w:type="dxa" w:w="2246"/>
          </w:tcPr>
          <w:p>
            <w:pPr>
              <w:spacing w:after="20"/>
            </w:pPr>
            <w:r>
              <w:rPr>
                <w:b/>
                <w:sz w:val="15"/>
              </w:rPr>
              <w:t>Servidor legacy de admisiones</w:t>
            </w:r>
          </w:p>
        </w:tc>
        <w:tc>
          <w:tcPr>
            <w:tcW w:type="dxa" w:w="1872"/>
          </w:tcPr>
          <w:p>
            <w:pPr>
              <w:spacing w:after="20"/>
            </w:pPr>
            <w:r>
              <w:rPr>
                <w:b w:val="0"/>
                <w:sz w:val="15"/>
              </w:rPr>
              <w:t>«device» externo</w:t>
            </w:r>
          </w:p>
        </w:tc>
        <w:tc>
          <w:tcPr>
            <w:tcW w:type="dxa" w:w="2434"/>
          </w:tcPr>
          <w:p>
            <w:pPr>
              <w:spacing w:after="20"/>
            </w:pPr>
            <w:r>
              <w:rPr>
                <w:b w:val="0"/>
                <w:sz w:val="15"/>
              </w:rPr>
              <w:t>COBOL con interfaz SOAP</w:t>
            </w:r>
          </w:p>
        </w:tc>
        <w:tc>
          <w:tcPr>
            <w:tcW w:type="dxa" w:w="1498"/>
          </w:tcPr>
          <w:p>
            <w:pPr>
              <w:spacing w:after="20"/>
            </w:pPr>
            <w:r>
              <w:rPr>
                <w:b w:val="0"/>
                <w:sz w:val="15"/>
              </w:rPr>
              <w:t>«SOAP / HTTPS»</w:t>
            </w:r>
          </w:p>
        </w:tc>
        <w:tc>
          <w:tcPr>
            <w:tcW w:type="dxa" w:w="1310"/>
          </w:tcPr>
          <w:p>
            <w:pPr>
              <w:spacing w:after="20"/>
            </w:pPr>
            <w:r>
              <w:rPr>
                <w:b w:val="0"/>
                <w:sz w:val="15"/>
              </w:rPr>
              <w:t>AC-06</w:t>
            </w:r>
          </w:p>
        </w:tc>
      </w:tr>
      <w:tr>
        <w:tc>
          <w:tcPr>
            <w:tcW w:type="dxa" w:w="2246"/>
          </w:tcPr>
          <w:p>
            <w:pPr>
              <w:spacing w:after="20"/>
            </w:pPr>
            <w:r>
              <w:rPr>
                <w:b/>
                <w:sz w:val="15"/>
              </w:rPr>
              <w:t>Sistema nacional de farmacovigilancia</w:t>
            </w:r>
            <w:r>
              <w:rPr>
                <w:b w:val="0"/>
                <w:sz w:val="15"/>
              </w:rPr>
              <w:t xml:space="preserve"> (MSPAS)</w:t>
            </w:r>
          </w:p>
        </w:tc>
        <w:tc>
          <w:tcPr>
            <w:tcW w:type="dxa" w:w="1872"/>
          </w:tcPr>
          <w:p>
            <w:pPr>
              <w:spacing w:after="20"/>
            </w:pPr>
            <w:r>
              <w:rPr>
                <w:b w:val="0"/>
                <w:sz w:val="15"/>
              </w:rPr>
              <w:t>«device» externo</w:t>
            </w:r>
          </w:p>
        </w:tc>
        <w:tc>
          <w:tcPr>
            <w:tcW w:type="dxa" w:w="2434"/>
          </w:tcPr>
          <w:p>
            <w:pPr>
              <w:spacing w:after="20"/>
            </w:pPr>
            <w:r>
              <w:rPr>
                <w:b w:val="0"/>
                <w:sz w:val="15"/>
              </w:rPr>
              <w:t>Recepción XML/DTD, 8:00-16:00</w:t>
            </w:r>
          </w:p>
        </w:tc>
        <w:tc>
          <w:tcPr>
            <w:tcW w:type="dxa" w:w="1498"/>
          </w:tcPr>
          <w:p>
            <w:pPr>
              <w:spacing w:after="20"/>
            </w:pPr>
            <w:r>
              <w:rPr>
                <w:b w:val="0"/>
                <w:sz w:val="15"/>
              </w:rPr>
              <w:t>«Internet / HTTPS»</w:t>
            </w:r>
          </w:p>
        </w:tc>
        <w:tc>
          <w:tcPr>
            <w:tcW w:type="dxa" w:w="1310"/>
          </w:tcPr>
          <w:p>
            <w:pPr>
              <w:spacing w:after="20"/>
            </w:pPr>
            <w:r>
              <w:rPr>
                <w:b w:val="0"/>
                <w:sz w:val="15"/>
              </w:rPr>
              <w:t>RE-09 · RF-29</w:t>
            </w:r>
          </w:p>
        </w:tc>
      </w:tr>
      <w:tr>
        <w:tc>
          <w:tcPr>
            <w:tcW w:type="dxa" w:w="2246"/>
          </w:tcPr>
          <w:p>
            <w:pPr>
              <w:spacing w:after="20"/>
            </w:pPr>
            <w:r>
              <w:rPr>
                <w:b/>
                <w:sz w:val="15"/>
              </w:rPr>
              <w:t>Directorio activo (LDAP)</w:t>
            </w:r>
          </w:p>
        </w:tc>
        <w:tc>
          <w:tcPr>
            <w:tcW w:type="dxa" w:w="1872"/>
          </w:tcPr>
          <w:p>
            <w:pPr>
              <w:spacing w:after="20"/>
            </w:pPr>
            <w:r>
              <w:rPr>
                <w:b w:val="0"/>
                <w:sz w:val="15"/>
              </w:rPr>
              <w:t>«device»</w:t>
            </w:r>
          </w:p>
        </w:tc>
        <w:tc>
          <w:tcPr>
            <w:tcW w:type="dxa" w:w="2434"/>
          </w:tcPr>
          <w:p>
            <w:pPr>
              <w:spacing w:after="20"/>
            </w:pPr>
            <w:r>
              <w:rPr>
                <w:b w:val="0"/>
                <w:sz w:val="15"/>
              </w:rPr>
              <w:t>—</w:t>
            </w:r>
          </w:p>
        </w:tc>
        <w:tc>
          <w:tcPr>
            <w:tcW w:type="dxa" w:w="1498"/>
          </w:tcPr>
          <w:p>
            <w:pPr>
              <w:spacing w:after="20"/>
            </w:pPr>
            <w:r>
              <w:rPr>
                <w:b w:val="0"/>
                <w:sz w:val="15"/>
              </w:rPr>
              <w:t>«LDAPS»</w:t>
            </w:r>
          </w:p>
        </w:tc>
        <w:tc>
          <w:tcPr>
            <w:tcW w:type="dxa" w:w="1310"/>
          </w:tcPr>
          <w:p>
            <w:pPr>
              <w:spacing w:after="20"/>
            </w:pPr>
            <w:r>
              <w:rPr>
                <w:b w:val="0"/>
                <w:sz w:val="15"/>
              </w:rPr>
              <w:t>RE-08</w:t>
            </w:r>
          </w:p>
        </w:tc>
      </w:tr>
      <w:tr>
        <w:tc>
          <w:tcPr>
            <w:tcW w:type="dxa" w:w="2246"/>
          </w:tcPr>
          <w:p>
            <w:pPr>
              <w:spacing w:after="20"/>
            </w:pPr>
            <w:r>
              <w:rPr>
                <w:b/>
                <w:sz w:val="15"/>
              </w:rPr>
              <w:t>Pasarela SMS / WhatsApp</w:t>
            </w:r>
          </w:p>
        </w:tc>
        <w:tc>
          <w:tcPr>
            <w:tcW w:type="dxa" w:w="1872"/>
          </w:tcPr>
          <w:p>
            <w:pPr>
              <w:spacing w:after="20"/>
            </w:pPr>
            <w:r>
              <w:rPr>
                <w:b w:val="0"/>
                <w:sz w:val="15"/>
              </w:rPr>
              <w:t>«device» externo</w:t>
            </w:r>
          </w:p>
        </w:tc>
        <w:tc>
          <w:tcPr>
            <w:tcW w:type="dxa" w:w="2434"/>
          </w:tcPr>
          <w:p>
            <w:pPr>
              <w:spacing w:after="20"/>
            </w:pPr>
            <w:r>
              <w:rPr>
                <w:b w:val="0"/>
                <w:sz w:val="15"/>
              </w:rPr>
              <w:t>—</w:t>
            </w:r>
          </w:p>
        </w:tc>
        <w:tc>
          <w:tcPr>
            <w:tcW w:type="dxa" w:w="1498"/>
          </w:tcPr>
          <w:p>
            <w:pPr>
              <w:spacing w:after="20"/>
            </w:pPr>
            <w:r>
              <w:rPr>
                <w:b w:val="0"/>
                <w:sz w:val="15"/>
              </w:rPr>
              <w:t>«Internet / HTTPS»</w:t>
            </w:r>
          </w:p>
        </w:tc>
        <w:tc>
          <w:tcPr>
            <w:tcW w:type="dxa" w:w="1310"/>
          </w:tcPr>
          <w:p>
            <w:pPr>
              <w:spacing w:after="20"/>
            </w:pPr>
            <w:r>
              <w:rPr>
                <w:b w:val="0"/>
                <w:sz w:val="15"/>
              </w:rPr>
              <w:t>RF-07 · RF-31</w:t>
            </w:r>
          </w:p>
        </w:tc>
      </w:tr>
      <w:tr>
        <w:tc>
          <w:tcPr>
            <w:tcW w:type="dxa" w:w="2246"/>
          </w:tcPr>
          <w:p>
            <w:pPr>
              <w:spacing w:after="20"/>
            </w:pPr>
            <w:r>
              <w:rPr>
                <w:b/>
                <w:sz w:val="15"/>
              </w:rPr>
              <w:t>Nube pública</w:t>
            </w:r>
          </w:p>
        </w:tc>
        <w:tc>
          <w:tcPr>
            <w:tcW w:type="dxa" w:w="1872"/>
          </w:tcPr>
          <w:p>
            <w:pPr>
              <w:spacing w:after="20"/>
            </w:pPr>
            <w:r>
              <w:rPr>
                <w:b w:val="0"/>
                <w:sz w:val="15"/>
              </w:rPr>
              <w:t>«device» externo</w:t>
            </w:r>
          </w:p>
        </w:tc>
        <w:tc>
          <w:tcPr>
            <w:tcW w:type="dxa" w:w="2434"/>
          </w:tcPr>
          <w:p>
            <w:pPr>
              <w:spacing w:after="20"/>
            </w:pPr>
            <w:r>
              <w:rPr>
                <w:b w:val="0"/>
                <w:sz w:val="15"/>
              </w:rPr>
              <w:t xml:space="preserve">Analítica estadística </w:t>
            </w:r>
            <w:r>
              <w:rPr>
                <w:b/>
                <w:sz w:val="15"/>
              </w:rPr>
              <w:t>anonimizada</w:t>
            </w:r>
          </w:p>
        </w:tc>
        <w:tc>
          <w:tcPr>
            <w:tcW w:type="dxa" w:w="1498"/>
          </w:tcPr>
          <w:p>
            <w:pPr>
              <w:spacing w:after="20"/>
            </w:pPr>
            <w:r>
              <w:rPr>
                <w:b w:val="0"/>
                <w:sz w:val="15"/>
              </w:rPr>
              <w:t>«Internet / HTTPS»</w:t>
            </w:r>
          </w:p>
        </w:tc>
        <w:tc>
          <w:tcPr>
            <w:tcW w:type="dxa" w:w="1310"/>
          </w:tcPr>
          <w:p>
            <w:pPr>
              <w:spacing w:after="20"/>
            </w:pPr>
            <w:r>
              <w:rPr>
                <w:b w:val="0"/>
                <w:sz w:val="15"/>
              </w:rPr>
              <w:t>RE-02 · RF-36</w:t>
            </w:r>
          </w:p>
        </w:tc>
      </w:tr>
    </w:tbl>
    <w:p>
      <w:pPr>
        <w:spacing w:after="40"/>
      </w:pPr>
    </w:p>
    <w:p>
      <w:pPr>
        <w:pStyle w:val="Heading3"/>
      </w:pPr>
      <w:r>
        <w:rPr>
          <w:color w:val="000000"/>
        </w:rPr>
      </w:r>
      <w:r>
        <w:rPr>
          <w:b/>
          <w:color w:val="000000"/>
        </w:rPr>
        <w:t>Las máquinas virtuales del data center — la prueba de que cabe en el hardware fijo (RE-13)</w:t>
      </w:r>
    </w:p>
    <w:tbl>
      <w:tblPr>
        <w:tblStyle w:val="TableGrid"/>
        <w:jc w:val="center"/>
        <w:tblLayout w:type="fixed"/>
        <w:tblLook w:firstColumn="1" w:firstRow="1" w:lastColumn="0" w:lastRow="0" w:noHBand="0" w:noVBand="1" w:val="04A0"/>
        <w:tblW w:type="dxa" w:w="9360"/>
      </w:tblPr>
      <w:tblGrid>
        <w:gridCol w:w="1310"/>
        <w:gridCol w:w="4118"/>
        <w:gridCol w:w="1030"/>
        <w:gridCol w:w="1217"/>
        <w:gridCol w:w="1685"/>
      </w:tblGrid>
      <w:tr>
        <w:trPr>
          <w:tblHeader w:val="true"/>
        </w:trPr>
        <w:tc>
          <w:tcPr>
            <w:tcW w:type="dxa" w:w="1310"/>
            <w:shd w:val="clear" w:color="auto" w:fill="EDEFF2"/>
          </w:tcPr>
          <w:p>
            <w:pPr>
              <w:keepNext w:val="0"/>
              <w:spacing w:after="20"/>
            </w:pPr>
            <w:r>
              <w:rPr>
                <w:b/>
                <w:sz w:val="17"/>
              </w:rPr>
              <w:t>VM</w:t>
            </w:r>
          </w:p>
        </w:tc>
        <w:tc>
          <w:tcPr>
            <w:tcW w:type="dxa" w:w="4118"/>
            <w:shd w:val="clear" w:color="auto" w:fill="EDEFF2"/>
          </w:tcPr>
          <w:p>
            <w:pPr>
              <w:keepNext w:val="0"/>
              <w:spacing w:after="20"/>
            </w:pPr>
            <w:r>
              <w:rPr>
                <w:b/>
                <w:sz w:val="17"/>
              </w:rPr>
              <w:t>Qué corre</w:t>
            </w:r>
          </w:p>
        </w:tc>
        <w:tc>
          <w:tcPr>
            <w:tcW w:type="dxa" w:w="1030"/>
            <w:shd w:val="clear" w:color="auto" w:fill="EDEFF2"/>
          </w:tcPr>
          <w:p>
            <w:pPr>
              <w:keepNext w:val="0"/>
              <w:spacing w:after="20"/>
            </w:pPr>
            <w:r>
              <w:rPr>
                <w:b/>
                <w:sz w:val="17"/>
              </w:rPr>
              <w:t>vCPU</w:t>
            </w:r>
          </w:p>
        </w:tc>
        <w:tc>
          <w:tcPr>
            <w:tcW w:type="dxa" w:w="1217"/>
            <w:shd w:val="clear" w:color="auto" w:fill="EDEFF2"/>
          </w:tcPr>
          <w:p>
            <w:pPr>
              <w:keepNext w:val="0"/>
              <w:spacing w:after="20"/>
            </w:pPr>
            <w:r>
              <w:rPr>
                <w:b/>
                <w:sz w:val="17"/>
              </w:rPr>
              <w:t>RAM</w:t>
            </w:r>
          </w:p>
        </w:tc>
        <w:tc>
          <w:tcPr>
            <w:tcW w:type="dxa" w:w="1685"/>
            <w:shd w:val="clear" w:color="auto" w:fill="EDEFF2"/>
          </w:tcPr>
          <w:p>
            <w:pPr>
              <w:keepNext w:val="0"/>
              <w:spacing w:after="20"/>
            </w:pPr>
            <w:r>
              <w:rPr>
                <w:b/>
                <w:sz w:val="17"/>
              </w:rPr>
              <w:t>Por qué</w:t>
            </w:r>
          </w:p>
        </w:tc>
      </w:tr>
      <w:tr>
        <w:tc>
          <w:tcPr>
            <w:tcW w:type="dxa" w:w="1310"/>
          </w:tcPr>
          <w:p>
            <w:pPr>
              <w:spacing w:after="20"/>
            </w:pPr>
            <w:r>
              <w:rPr>
                <w:b w:val="0"/>
                <w:sz w:val="17"/>
              </w:rPr>
              <w:t>VM-01, VM-02</w:t>
            </w:r>
          </w:p>
        </w:tc>
        <w:tc>
          <w:tcPr>
            <w:tcW w:type="dxa" w:w="4118"/>
          </w:tcPr>
          <w:p>
            <w:pPr>
              <w:spacing w:after="20"/>
            </w:pPr>
            <w:r>
              <w:rPr>
                <w:b w:val="0"/>
                <w:sz w:val="17"/>
              </w:rPr>
              <w:t>Balanceador y API Gateway (Nginx)</w:t>
            </w:r>
          </w:p>
        </w:tc>
        <w:tc>
          <w:tcPr>
            <w:tcW w:type="dxa" w:w="1030"/>
          </w:tcPr>
          <w:p>
            <w:pPr>
              <w:spacing w:after="20"/>
              <w:jc w:val="center"/>
            </w:pPr>
            <w:r>
              <w:rPr>
                <w:b w:val="0"/>
                <w:sz w:val="17"/>
              </w:rPr>
              <w:t>1 + 1</w:t>
            </w:r>
          </w:p>
        </w:tc>
        <w:tc>
          <w:tcPr>
            <w:tcW w:type="dxa" w:w="1217"/>
          </w:tcPr>
          <w:p>
            <w:pPr>
              <w:spacing w:after="20"/>
              <w:jc w:val="center"/>
            </w:pPr>
            <w:r>
              <w:rPr>
                <w:b w:val="0"/>
                <w:sz w:val="17"/>
              </w:rPr>
              <w:t>2 + 2 GB</w:t>
            </w:r>
          </w:p>
        </w:tc>
        <w:tc>
          <w:tcPr>
            <w:tcW w:type="dxa" w:w="1685"/>
          </w:tcPr>
          <w:p>
            <w:pPr>
              <w:spacing w:after="20"/>
              <w:jc w:val="center"/>
            </w:pPr>
            <w:r>
              <w:rPr>
                <w:b w:val="0"/>
                <w:sz w:val="17"/>
              </w:rPr>
              <w:t>AC-05 · sin punto único de falla</w:t>
            </w:r>
          </w:p>
        </w:tc>
      </w:tr>
      <w:tr>
        <w:tc>
          <w:tcPr>
            <w:tcW w:type="dxa" w:w="1310"/>
          </w:tcPr>
          <w:p>
            <w:pPr>
              <w:spacing w:after="20"/>
            </w:pPr>
            <w:r>
              <w:rPr>
                <w:b w:val="0"/>
                <w:sz w:val="17"/>
              </w:rPr>
              <w:t>VM-03, VM-04</w:t>
            </w:r>
          </w:p>
        </w:tc>
        <w:tc>
          <w:tcPr>
            <w:tcW w:type="dxa" w:w="4118"/>
          </w:tcPr>
          <w:p>
            <w:pPr>
              <w:spacing w:after="20"/>
            </w:pPr>
            <w:r>
              <w:rPr>
                <w:b w:val="0"/>
                <w:sz w:val="17"/>
              </w:rPr>
              <w:t xml:space="preserve">Servidor de aplicaciones (JRE 17): los </w:t>
            </w:r>
            <w:r>
              <w:rPr>
                <w:b/>
                <w:sz w:val="17"/>
              </w:rPr>
              <w:t>7 servicios de negocio + Sincronización</w:t>
            </w:r>
          </w:p>
        </w:tc>
        <w:tc>
          <w:tcPr>
            <w:tcW w:type="dxa" w:w="1030"/>
          </w:tcPr>
          <w:p>
            <w:pPr>
              <w:spacing w:after="20"/>
              <w:jc w:val="center"/>
            </w:pPr>
            <w:r>
              <w:rPr>
                <w:b w:val="0"/>
                <w:sz w:val="17"/>
              </w:rPr>
              <w:t>5 + 5</w:t>
            </w:r>
          </w:p>
        </w:tc>
        <w:tc>
          <w:tcPr>
            <w:tcW w:type="dxa" w:w="1217"/>
          </w:tcPr>
          <w:p>
            <w:pPr>
              <w:spacing w:after="20"/>
              <w:jc w:val="center"/>
            </w:pPr>
            <w:r>
              <w:rPr>
                <w:b w:val="0"/>
                <w:sz w:val="17"/>
              </w:rPr>
              <w:t>14 + 14 GB</w:t>
            </w:r>
          </w:p>
        </w:tc>
        <w:tc>
          <w:tcPr>
            <w:tcW w:type="dxa" w:w="1685"/>
          </w:tcPr>
          <w:p>
            <w:pPr>
              <w:spacing w:after="20"/>
              <w:jc w:val="center"/>
            </w:pPr>
            <w:r>
              <w:rPr>
                <w:b w:val="0"/>
                <w:sz w:val="17"/>
              </w:rPr>
              <w:t>AC-05: dos instancias de cada servicio</w:t>
            </w:r>
          </w:p>
        </w:tc>
      </w:tr>
      <w:tr>
        <w:tc>
          <w:tcPr>
            <w:tcW w:type="dxa" w:w="1310"/>
          </w:tcPr>
          <w:p>
            <w:pPr>
              <w:spacing w:after="20"/>
            </w:pPr>
            <w:r>
              <w:rPr>
                <w:b w:val="0"/>
                <w:sz w:val="17"/>
              </w:rPr>
              <w:t>VM-05, VM-06</w:t>
            </w:r>
          </w:p>
        </w:tc>
        <w:tc>
          <w:tcPr>
            <w:tcW w:type="dxa" w:w="4118"/>
          </w:tcPr>
          <w:p>
            <w:pPr>
              <w:spacing w:after="20"/>
            </w:pPr>
            <w:r>
              <w:rPr>
                <w:b w:val="0"/>
                <w:sz w:val="17"/>
              </w:rPr>
              <w:t>Identidad y acceso (Keycloak + ABAC)</w:t>
            </w:r>
          </w:p>
        </w:tc>
        <w:tc>
          <w:tcPr>
            <w:tcW w:type="dxa" w:w="1030"/>
          </w:tcPr>
          <w:p>
            <w:pPr>
              <w:spacing w:after="20"/>
              <w:jc w:val="center"/>
            </w:pPr>
            <w:r>
              <w:rPr>
                <w:b w:val="0"/>
                <w:sz w:val="17"/>
              </w:rPr>
              <w:t>1 + 1</w:t>
            </w:r>
          </w:p>
        </w:tc>
        <w:tc>
          <w:tcPr>
            <w:tcW w:type="dxa" w:w="1217"/>
          </w:tcPr>
          <w:p>
            <w:pPr>
              <w:spacing w:after="20"/>
              <w:jc w:val="center"/>
            </w:pPr>
            <w:r>
              <w:rPr>
                <w:b w:val="0"/>
                <w:sz w:val="17"/>
              </w:rPr>
              <w:t>4 + 4 GB</w:t>
            </w:r>
          </w:p>
        </w:tc>
        <w:tc>
          <w:tcPr>
            <w:tcW w:type="dxa" w:w="1685"/>
          </w:tcPr>
          <w:p>
            <w:pPr>
              <w:spacing w:after="20"/>
              <w:jc w:val="center"/>
            </w:pPr>
            <w:r>
              <w:rPr>
                <w:b w:val="0"/>
                <w:sz w:val="17"/>
              </w:rPr>
              <w:t>RE-08: sin punto único de falla</w:t>
            </w:r>
          </w:p>
        </w:tc>
      </w:tr>
      <w:tr>
        <w:tc>
          <w:tcPr>
            <w:tcW w:type="dxa" w:w="1310"/>
          </w:tcPr>
          <w:p>
            <w:pPr>
              <w:spacing w:after="20"/>
            </w:pPr>
            <w:r>
              <w:rPr>
                <w:b w:val="0"/>
                <w:sz w:val="17"/>
              </w:rPr>
              <w:t>VM-07, VM-08</w:t>
            </w:r>
          </w:p>
        </w:tc>
        <w:tc>
          <w:tcPr>
            <w:tcW w:type="dxa" w:w="4118"/>
          </w:tcPr>
          <w:p>
            <w:pPr>
              <w:spacing w:after="20"/>
            </w:pPr>
            <w:r>
              <w:rPr>
                <w:b w:val="0"/>
                <w:sz w:val="17"/>
              </w:rPr>
              <w:t>Integración y eventos: RabbitMQ, Integración, Notificaciones, Pipeline de telemetría</w:t>
            </w:r>
          </w:p>
        </w:tc>
        <w:tc>
          <w:tcPr>
            <w:tcW w:type="dxa" w:w="1030"/>
          </w:tcPr>
          <w:p>
            <w:pPr>
              <w:spacing w:after="20"/>
              <w:jc w:val="center"/>
            </w:pPr>
            <w:r>
              <w:rPr>
                <w:b w:val="0"/>
                <w:sz w:val="17"/>
              </w:rPr>
              <w:t>2 + 2</w:t>
            </w:r>
          </w:p>
        </w:tc>
        <w:tc>
          <w:tcPr>
            <w:tcW w:type="dxa" w:w="1217"/>
          </w:tcPr>
          <w:p>
            <w:pPr>
              <w:spacing w:after="20"/>
              <w:jc w:val="center"/>
            </w:pPr>
            <w:r>
              <w:rPr>
                <w:b w:val="0"/>
                <w:sz w:val="17"/>
              </w:rPr>
              <w:t>8 + 8 GB</w:t>
            </w:r>
          </w:p>
        </w:tc>
        <w:tc>
          <w:tcPr>
            <w:tcW w:type="dxa" w:w="1685"/>
          </w:tcPr>
          <w:p>
            <w:pPr>
              <w:spacing w:after="20"/>
              <w:jc w:val="center"/>
            </w:pPr>
            <w:r>
              <w:rPr>
                <w:b w:val="0"/>
                <w:sz w:val="17"/>
              </w:rPr>
              <w:t>AC-06 · AC-05</w:t>
            </w:r>
          </w:p>
        </w:tc>
      </w:tr>
      <w:tr>
        <w:tc>
          <w:tcPr>
            <w:tcW w:type="dxa" w:w="1310"/>
          </w:tcPr>
          <w:p>
            <w:pPr>
              <w:spacing w:after="20"/>
            </w:pPr>
            <w:r>
              <w:rPr>
                <w:b w:val="0"/>
                <w:sz w:val="17"/>
              </w:rPr>
              <w:t>VM-09</w:t>
            </w:r>
          </w:p>
        </w:tc>
        <w:tc>
          <w:tcPr>
            <w:tcW w:type="dxa" w:w="4118"/>
          </w:tcPr>
          <w:p>
            <w:pPr>
              <w:spacing w:after="20"/>
            </w:pPr>
            <w:r>
              <w:rPr>
                <w:b w:val="0"/>
                <w:sz w:val="17"/>
              </w:rPr>
              <w:t>Caché (Redis)</w:t>
            </w:r>
          </w:p>
        </w:tc>
        <w:tc>
          <w:tcPr>
            <w:tcW w:type="dxa" w:w="1030"/>
          </w:tcPr>
          <w:p>
            <w:pPr>
              <w:spacing w:after="20"/>
              <w:jc w:val="center"/>
            </w:pPr>
            <w:r>
              <w:rPr>
                <w:b w:val="0"/>
                <w:sz w:val="17"/>
              </w:rPr>
              <w:t>1</w:t>
            </w:r>
          </w:p>
        </w:tc>
        <w:tc>
          <w:tcPr>
            <w:tcW w:type="dxa" w:w="1217"/>
          </w:tcPr>
          <w:p>
            <w:pPr>
              <w:spacing w:after="20"/>
              <w:jc w:val="center"/>
            </w:pPr>
            <w:r>
              <w:rPr>
                <w:b w:val="0"/>
                <w:sz w:val="17"/>
              </w:rPr>
              <w:t>8 GB</w:t>
            </w:r>
          </w:p>
        </w:tc>
        <w:tc>
          <w:tcPr>
            <w:tcW w:type="dxa" w:w="1685"/>
          </w:tcPr>
          <w:p>
            <w:pPr>
              <w:spacing w:after="20"/>
              <w:jc w:val="center"/>
            </w:pPr>
            <w:r>
              <w:rPr>
                <w:b w:val="0"/>
                <w:sz w:val="17"/>
              </w:rPr>
              <w:t>AC-01 · AC-05</w:t>
            </w:r>
          </w:p>
        </w:tc>
      </w:tr>
      <w:tr>
        <w:tc>
          <w:tcPr>
            <w:tcW w:type="dxa" w:w="1310"/>
          </w:tcPr>
          <w:p>
            <w:pPr>
              <w:spacing w:after="20"/>
            </w:pPr>
            <w:r>
              <w:rPr>
                <w:b w:val="0"/>
                <w:sz w:val="17"/>
              </w:rPr>
              <w:t>VM-10</w:t>
            </w:r>
          </w:p>
        </w:tc>
        <w:tc>
          <w:tcPr>
            <w:tcW w:type="dxa" w:w="4118"/>
          </w:tcPr>
          <w:p>
            <w:pPr>
              <w:spacing w:after="20"/>
            </w:pPr>
            <w:r>
              <w:rPr>
                <w:b w:val="0"/>
                <w:sz w:val="17"/>
              </w:rPr>
              <w:t>PostgreSQL primaria + Bitácora inmutable</w:t>
            </w:r>
          </w:p>
        </w:tc>
        <w:tc>
          <w:tcPr>
            <w:tcW w:type="dxa" w:w="1030"/>
          </w:tcPr>
          <w:p>
            <w:pPr>
              <w:spacing w:after="20"/>
              <w:jc w:val="center"/>
            </w:pPr>
            <w:r>
              <w:rPr>
                <w:b w:val="0"/>
                <w:sz w:val="17"/>
              </w:rPr>
              <w:t>8</w:t>
            </w:r>
          </w:p>
        </w:tc>
        <w:tc>
          <w:tcPr>
            <w:tcW w:type="dxa" w:w="1217"/>
          </w:tcPr>
          <w:p>
            <w:pPr>
              <w:spacing w:after="20"/>
              <w:jc w:val="center"/>
            </w:pPr>
            <w:r>
              <w:rPr>
                <w:b w:val="0"/>
                <w:sz w:val="17"/>
              </w:rPr>
              <w:t>48 GB</w:t>
            </w:r>
          </w:p>
        </w:tc>
        <w:tc>
          <w:tcPr>
            <w:tcW w:type="dxa" w:w="1685"/>
          </w:tcPr>
          <w:p>
            <w:pPr>
              <w:spacing w:after="20"/>
              <w:jc w:val="center"/>
            </w:pPr>
            <w:r>
              <w:rPr>
                <w:b w:val="0"/>
                <w:sz w:val="17"/>
              </w:rPr>
              <w:t>RE-01 · AC-03</w:t>
            </w:r>
          </w:p>
        </w:tc>
      </w:tr>
      <w:tr>
        <w:tc>
          <w:tcPr>
            <w:tcW w:type="dxa" w:w="1310"/>
          </w:tcPr>
          <w:p>
            <w:pPr>
              <w:spacing w:after="20"/>
            </w:pPr>
            <w:r>
              <w:rPr>
                <w:b w:val="0"/>
                <w:sz w:val="17"/>
              </w:rPr>
              <w:t>VM-11</w:t>
            </w:r>
          </w:p>
        </w:tc>
        <w:tc>
          <w:tcPr>
            <w:tcW w:type="dxa" w:w="4118"/>
          </w:tcPr>
          <w:p>
            <w:pPr>
              <w:spacing w:after="20"/>
            </w:pPr>
            <w:r>
              <w:rPr>
                <w:b w:val="0"/>
                <w:sz w:val="17"/>
              </w:rPr>
              <w:t>Observabilidad (Prometheus + Grafana)</w:t>
            </w:r>
          </w:p>
        </w:tc>
        <w:tc>
          <w:tcPr>
            <w:tcW w:type="dxa" w:w="1030"/>
          </w:tcPr>
          <w:p>
            <w:pPr>
              <w:spacing w:after="20"/>
              <w:jc w:val="center"/>
            </w:pPr>
            <w:r>
              <w:rPr>
                <w:b w:val="0"/>
                <w:sz w:val="17"/>
              </w:rPr>
              <w:t>1</w:t>
            </w:r>
          </w:p>
        </w:tc>
        <w:tc>
          <w:tcPr>
            <w:tcW w:type="dxa" w:w="1217"/>
          </w:tcPr>
          <w:p>
            <w:pPr>
              <w:spacing w:after="20"/>
              <w:jc w:val="center"/>
            </w:pPr>
            <w:r>
              <w:rPr>
                <w:b w:val="0"/>
                <w:sz w:val="17"/>
              </w:rPr>
              <w:t>4 GB</w:t>
            </w:r>
          </w:p>
        </w:tc>
        <w:tc>
          <w:tcPr>
            <w:tcW w:type="dxa" w:w="1685"/>
          </w:tcPr>
          <w:p>
            <w:pPr>
              <w:spacing w:after="20"/>
              <w:jc w:val="center"/>
            </w:pPr>
            <w:r>
              <w:rPr>
                <w:b w:val="0"/>
                <w:sz w:val="17"/>
              </w:rPr>
              <w:t>STK-13</w:t>
            </w:r>
          </w:p>
        </w:tc>
      </w:tr>
      <w:tr>
        <w:tc>
          <w:tcPr>
            <w:tcW w:type="dxa" w:w="1310"/>
          </w:tcPr>
          <w:p>
            <w:pPr>
              <w:spacing w:after="20"/>
            </w:pPr>
            <w:r>
              <w:rPr>
                <w:b/>
                <w:sz w:val="17"/>
              </w:rPr>
              <w:t>Total</w:t>
            </w:r>
          </w:p>
        </w:tc>
        <w:tc>
          <w:tcPr>
            <w:tcW w:type="dxa" w:w="4118"/>
          </w:tcPr>
          <w:p>
            <w:pPr>
              <w:spacing w:after="20"/>
            </w:pPr>
          </w:p>
        </w:tc>
        <w:tc>
          <w:tcPr>
            <w:tcW w:type="dxa" w:w="1030"/>
          </w:tcPr>
          <w:p>
            <w:pPr>
              <w:spacing w:after="20"/>
              <w:jc w:val="center"/>
            </w:pPr>
            <w:r>
              <w:rPr>
                <w:b/>
                <w:sz w:val="17"/>
              </w:rPr>
              <w:t>28 de 32</w:t>
            </w:r>
          </w:p>
        </w:tc>
        <w:tc>
          <w:tcPr>
            <w:tcW w:type="dxa" w:w="1217"/>
          </w:tcPr>
          <w:p>
            <w:pPr>
              <w:spacing w:after="20"/>
              <w:jc w:val="center"/>
            </w:pPr>
            <w:r>
              <w:rPr>
                <w:b/>
                <w:sz w:val="17"/>
              </w:rPr>
              <w:t>116 de 128 GB</w:t>
            </w:r>
          </w:p>
        </w:tc>
        <w:tc>
          <w:tcPr>
            <w:tcW w:type="dxa" w:w="1685"/>
          </w:tcPr>
          <w:p>
            <w:pPr>
              <w:spacing w:after="20"/>
              <w:jc w:val="center"/>
            </w:pPr>
            <w:r>
              <w:rPr>
                <w:b w:val="0"/>
                <w:sz w:val="17"/>
              </w:rPr>
              <w:t>queda margen para el hipervisor</w:t>
            </w:r>
          </w:p>
        </w:tc>
      </w:tr>
    </w:tbl>
    <w:p>
      <w:pPr>
        <w:spacing w:after="40"/>
      </w:pPr>
    </w:p>
    <w:p>
      <w:pPr>
        <w:spacing w:after="60"/>
        <w:ind w:left="432"/>
      </w:pPr>
      <w:r>
        <w:rPr>
          <w:b/>
          <w:sz w:val="20"/>
        </w:rPr>
        <w:t>Por qué la réplica de lectura NO está en el data center principal</w:t>
      </w:r>
    </w:p>
    <w:p>
      <w:pPr>
        <w:spacing w:after="200"/>
        <w:ind w:left="432"/>
      </w:pPr>
      <w:r>
        <w:rPr>
          <w:b w:val="0"/>
          <w:sz w:val="19"/>
        </w:rPr>
        <w:t xml:space="preserve">La SAN tiene </w:t>
      </w:r>
      <w:r>
        <w:rPr>
          <w:b/>
          <w:sz w:val="19"/>
        </w:rPr>
        <w:t>10 TB</w:t>
      </w:r>
      <w:r>
        <w:rPr>
          <w:b w:val="0"/>
          <w:sz w:val="19"/>
        </w:rPr>
        <w:t xml:space="preserve"> y el enunciado estima </w:t>
      </w:r>
      <w:r>
        <w:rPr>
          <w:b/>
          <w:sz w:val="19"/>
        </w:rPr>
        <w:t>5 TB de datos + 2 TB de logs + 100 GB de imágenes</w:t>
      </w:r>
      <w:r>
        <w:rPr>
          <w:b w:val="0"/>
          <w:sz w:val="19"/>
        </w:rPr>
        <w:t xml:space="preserve"> el primer año: </w:t>
      </w:r>
      <w:r>
        <w:rPr>
          <w:b/>
          <w:sz w:val="19"/>
        </w:rPr>
        <w:t>7.1 TB</w:t>
      </w:r>
      <w:r>
        <w:rPr>
          <w:b w:val="0"/>
          <w:sz w:val="19"/>
        </w:rPr>
        <w:t xml:space="preserve">. Una réplica completa en la misma SAN sumaría otros 5 TB — </w:t>
      </w:r>
      <w:r>
        <w:rPr>
          <w:b/>
          <w:sz w:val="19"/>
        </w:rPr>
        <w:t>no cabe</w:t>
      </w:r>
      <w:r>
        <w:rPr>
          <w:b w:val="0"/>
          <w:sz w:val="19"/>
        </w:rPr>
        <w:t xml:space="preserve">. Por eso las lecturas pesadas (informe forense RF-33, tablero RF-34) van contra la </w:t>
      </w:r>
      <w:r>
        <w:rPr>
          <w:b/>
          <w:sz w:val="19"/>
        </w:rPr>
        <w:t>réplica del sitio alterno</w:t>
      </w:r>
      <w:r>
        <w:rPr>
          <w:b w:val="0"/>
          <w:sz w:val="19"/>
        </w:rPr>
        <w:t>, que el enunciado ya da por existente. El pico del lunes no depende de esa réplica: lo absorben la caché, el bus y las dos instancias.</w:t>
      </w:r>
    </w:p>
    <w:p>
      <w:pPr>
        <w:spacing w:after="60"/>
        <w:ind w:left="432"/>
      </w:pPr>
      <w:r>
        <w:rPr>
          <w:b/>
          <w:sz w:val="20"/>
        </w:rPr>
        <w:t>Supuestos declarados (el enunciado no los da)</w:t>
      </w:r>
    </w:p>
    <w:p>
      <w:pPr>
        <w:spacing w:after="60"/>
        <w:ind w:left="432"/>
      </w:pPr>
      <w:r>
        <w:rPr>
          <w:b w:val="0"/>
          <w:sz w:val="19"/>
        </w:rPr>
        <w:t>• Existe un enlace de red entre el data center principal y el sitio alterno.</w:t>
      </w:r>
    </w:p>
    <w:p>
      <w:pPr>
        <w:spacing w:after="60"/>
        <w:ind w:left="432"/>
      </w:pPr>
      <w:r>
        <w:rPr>
          <w:b w:val="0"/>
          <w:sz w:val="19"/>
        </w:rPr>
        <w:t>• Los PCs de la farmacia, del personal clínico y administrativo, y la impresora de etiquetas ya existen.</w:t>
      </w:r>
    </w:p>
    <w:p>
      <w:pPr>
        <w:spacing w:after="200"/>
        <w:ind w:left="432"/>
      </w:pPr>
      <w:r>
        <w:rPr>
          <w:b w:val="0"/>
          <w:sz w:val="19"/>
        </w:rPr>
        <w:t>• El gateway IoT es parte del equipamiento de las cámaras con sensores.</w:t>
      </w:r>
    </w:p>
    <w:p>
      <w:pPr>
        <w:sectPr>
          <w:footerReference w:type="default" r:id="rId22"/>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8503920" cy="5489872"/>
            <wp:docPr id="7" name="Picture 7"/>
            <wp:cNvGraphicFramePr>
              <a:graphicFrameLocks noChangeAspect="1"/>
            </wp:cNvGraphicFramePr>
            <a:graphic>
              <a:graphicData uri="http://schemas.openxmlformats.org/drawingml/2006/picture">
                <pic:pic>
                  <pic:nvPicPr>
                    <pic:cNvPr id="0" name="despliegue-farmahosp.png"/>
                    <pic:cNvPicPr/>
                  </pic:nvPicPr>
                  <pic:blipFill>
                    <a:blip r:embed="rId15"/>
                    <a:stretch>
                      <a:fillRect/>
                    </a:stretch>
                  </pic:blipFill>
                  <pic:spPr>
                    <a:xfrm>
                      <a:off x="0" y="0"/>
                      <a:ext cx="8503920" cy="5489872"/>
                    </a:xfrm>
                    <a:prstGeom prst="rect"/>
                  </pic:spPr>
                </pic:pic>
              </a:graphicData>
            </a:graphic>
          </wp:inline>
        </w:drawing>
      </w:r>
    </w:p>
    <w:p>
      <w:pPr>
        <w:jc w:val="center"/>
      </w:pPr>
      <w:r>
        <w:rPr>
          <w:b w:val="0"/>
          <w:i/>
          <w:color w:val="555555"/>
          <w:sz w:val="18"/>
        </w:rPr>
        <w:t>§6.3 Diagrama de despliegue — nodos como cubos, «device» y «executionEnvironment», componentes dentro del nodo, toda conexión con su protocolo como estereotipo y las zonas FrontEnd / BackEnd.</w:t>
      </w:r>
    </w:p>
    <w:p>
      <w:pPr>
        <w:sectPr>
          <w:footerReference w:type="default" r:id="rId23"/>
          <w:pgSz w:w="15840" w:h="12240" w:orient="landscape"/>
          <w:pgMar w:top="1008" w:right="1152" w:bottom="1008" w:left="1152" w:header="720" w:footer="720" w:gutter="0"/>
          <w:cols w:space="720"/>
          <w:docGrid w:linePitch="360"/>
        </w:sectPr>
      </w:pPr>
    </w:p>
    <w:p>
      <w:pPr>
        <w:pStyle w:val="Heading2"/>
      </w:pPr>
      <w:r>
        <w:rPr>
          <w:color w:val="000000"/>
        </w:rPr>
      </w:r>
      <w:r>
        <w:rPr>
          <w:b/>
          <w:color w:val="000000"/>
        </w:rPr>
        <w:t>6.4 Cómo se comporta en los escenarios críticos del enunciado</w:t>
      </w:r>
    </w:p>
    <w:p>
      <w:pPr>
        <w:spacing w:after="120"/>
      </w:pPr>
      <w:r>
        <w:rPr>
          <w:b w:val="0"/>
          <w:sz w:val="21"/>
        </w:rPr>
        <w:t xml:space="preserve">La prueba de que la arquitectura </w:t>
      </w:r>
      <w:r>
        <w:rPr>
          <w:b/>
          <w:sz w:val="21"/>
        </w:rPr>
        <w:t>no es decorativa</w:t>
      </w:r>
      <w:r>
        <w:rPr>
          <w:b w:val="0"/>
          <w:sz w:val="21"/>
        </w:rPr>
        <w:t>: cada escenario, recorrido sobre los nodos.</w:t>
      </w:r>
    </w:p>
    <w:tbl>
      <w:tblPr>
        <w:tblStyle w:val="TableGrid"/>
        <w:jc w:val="center"/>
        <w:tblLayout w:type="fixed"/>
        <w:tblLook w:firstColumn="1" w:firstRow="1" w:lastColumn="0" w:lastRow="0" w:noHBand="0" w:noVBand="1" w:val="04A0"/>
        <w:tblW w:type="dxa" w:w="9360"/>
      </w:tblPr>
      <w:tblGrid>
        <w:gridCol w:w="2808"/>
        <w:gridCol w:w="6552"/>
      </w:tblGrid>
      <w:tr>
        <w:trPr>
          <w:tblHeader w:val="true"/>
        </w:trPr>
        <w:tc>
          <w:tcPr>
            <w:tcW w:type="dxa" w:w="2808"/>
            <w:shd w:val="clear" w:color="auto" w:fill="EDEFF2"/>
          </w:tcPr>
          <w:p>
            <w:pPr>
              <w:keepNext w:val="0"/>
              <w:spacing w:after="20"/>
            </w:pPr>
            <w:r>
              <w:rPr>
                <w:b/>
                <w:sz w:val="18"/>
              </w:rPr>
              <w:t>Escenario del enunciado</w:t>
            </w:r>
          </w:p>
        </w:tc>
        <w:tc>
          <w:tcPr>
            <w:tcW w:type="dxa" w:w="6552"/>
            <w:shd w:val="clear" w:color="auto" w:fill="EDEFF2"/>
          </w:tcPr>
          <w:p>
            <w:pPr>
              <w:keepNext w:val="0"/>
              <w:spacing w:after="20"/>
            </w:pPr>
            <w:r>
              <w:rPr>
                <w:b/>
                <w:sz w:val="18"/>
              </w:rPr>
              <w:t>Qué pasa en la arquitectura</w:t>
            </w:r>
          </w:p>
        </w:tc>
      </w:tr>
      <w:tr>
        <w:tc>
          <w:tcPr>
            <w:tcW w:type="dxa" w:w="2808"/>
          </w:tcPr>
          <w:p>
            <w:pPr>
              <w:spacing w:after="20"/>
            </w:pPr>
            <w:r>
              <w:rPr>
                <w:b/>
                <w:sz w:val="18"/>
              </w:rPr>
              <w:t>La cadena de frío se rompe</w:t>
            </w:r>
            <w:r>
              <w:rPr>
                <w:b w:val="0"/>
                <w:sz w:val="18"/>
              </w:rPr>
              <w:t xml:space="preserve"> (3:00 AM)</w:t>
            </w:r>
          </w:p>
        </w:tc>
        <w:tc>
          <w:tcPr>
            <w:tcW w:type="dxa" w:w="6552"/>
          </w:tcPr>
          <w:p>
            <w:pPr>
              <w:spacing w:after="20"/>
            </w:pPr>
            <w:r>
              <w:rPr>
                <w:b w:val="0"/>
                <w:sz w:val="18"/>
              </w:rPr>
              <w:t>Sensores → Gateway IoT → Pipeline de telemetría: *sellar* guarda la lectura con hash, *detectar* ve la ruptura y *publica* el evento → Inventario bloquea los lotes, Notificaciones envía SMS y correo, Auditoría calcula la pérdida</w:t>
            </w:r>
          </w:p>
        </w:tc>
      </w:tr>
      <w:tr>
        <w:tc>
          <w:tcPr>
            <w:tcW w:type="dxa" w:w="2808"/>
          </w:tcPr>
          <w:p>
            <w:pPr>
              <w:spacing w:after="20"/>
            </w:pPr>
            <w:r>
              <w:rPr>
                <w:b/>
                <w:sz w:val="18"/>
              </w:rPr>
              <w:t>Urgencia oncológica</w:t>
            </w:r>
            <w:r>
              <w:rPr>
                <w:b w:val="0"/>
                <w:sz w:val="18"/>
              </w:rPr>
              <w:t xml:space="preserve"> (sábado 6:00 PM)</w:t>
            </w:r>
          </w:p>
        </w:tc>
        <w:tc>
          <w:tcPr>
            <w:tcW w:type="dxa" w:w="6552"/>
          </w:tcPr>
          <w:p>
            <w:pPr>
              <w:spacing w:after="20"/>
            </w:pPr>
            <w:r>
              <w:rPr>
                <w:b w:val="0"/>
                <w:sz w:val="18"/>
              </w:rPr>
              <w:t>Dispensación ofrece las opciones A/B/C; cada una se registra en la Bitácora inmutable con quién y por qué</w:t>
            </w:r>
          </w:p>
        </w:tc>
      </w:tr>
      <w:tr>
        <w:tc>
          <w:tcPr>
            <w:tcW w:type="dxa" w:w="2808"/>
          </w:tcPr>
          <w:p>
            <w:pPr>
              <w:spacing w:after="20"/>
            </w:pPr>
            <w:r>
              <w:rPr>
                <w:b/>
                <w:sz w:val="18"/>
              </w:rPr>
              <w:t>Error de medicación</w:t>
            </w:r>
            <w:r>
              <w:rPr>
                <w:b w:val="0"/>
                <w:sz w:val="18"/>
              </w:rPr>
              <w:t xml:space="preserve"> (cama 302/304)</w:t>
            </w:r>
          </w:p>
        </w:tc>
        <w:tc>
          <w:tcPr>
            <w:tcW w:type="dxa" w:w="6552"/>
          </w:tcPr>
          <w:p>
            <w:pPr>
              <w:spacing w:after="20"/>
            </w:pPr>
            <w:r>
              <w:rPr>
                <w:b w:val="0"/>
                <w:sz w:val="18"/>
              </w:rPr>
              <w:t xml:space="preserve">La validación ocurre </w:t>
            </w:r>
            <w:r>
              <w:rPr>
                <w:b/>
                <w:sz w:val="18"/>
              </w:rPr>
              <w:t>en la Toughpad</w:t>
            </w:r>
            <w:r>
              <w:rPr>
                <w:b w:val="0"/>
                <w:sz w:val="18"/>
              </w:rPr>
              <w:t xml:space="preserve"> contra las administraciones programadas del turno: &lt; 500 ms sin depender de la red</w:t>
            </w:r>
          </w:p>
        </w:tc>
      </w:tr>
      <w:tr>
        <w:tc>
          <w:tcPr>
            <w:tcW w:type="dxa" w:w="2808"/>
          </w:tcPr>
          <w:p>
            <w:pPr>
              <w:spacing w:after="20"/>
            </w:pPr>
            <w:r>
              <w:rPr>
                <w:b/>
                <w:sz w:val="18"/>
              </w:rPr>
              <w:t>Auditoría de la Contraloría</w:t>
            </w:r>
          </w:p>
        </w:tc>
        <w:tc>
          <w:tcPr>
            <w:tcW w:type="dxa" w:w="6552"/>
          </w:tcPr>
          <w:p>
            <w:pPr>
              <w:spacing w:after="20"/>
            </w:pPr>
            <w:r>
              <w:rPr>
                <w:b w:val="0"/>
                <w:sz w:val="18"/>
              </w:rPr>
              <w:t>Auditoría consulta la Bitácora inmutable sobre la réplica del sitio alterno: informe &lt; 10 min sin frenar la operación</w:t>
            </w:r>
          </w:p>
        </w:tc>
      </w:tr>
      <w:tr>
        <w:tc>
          <w:tcPr>
            <w:tcW w:type="dxa" w:w="2808"/>
          </w:tcPr>
          <w:p>
            <w:pPr>
              <w:spacing w:after="20"/>
            </w:pPr>
            <w:r>
              <w:rPr>
                <w:b/>
                <w:sz w:val="18"/>
              </w:rPr>
              <w:t>Caída del servidor central</w:t>
            </w:r>
            <w:r>
              <w:rPr>
                <w:b w:val="0"/>
                <w:sz w:val="18"/>
              </w:rPr>
              <w:t xml:space="preserve"> (lunes 8:30)</w:t>
            </w:r>
          </w:p>
        </w:tc>
        <w:tc>
          <w:tcPr>
            <w:tcW w:type="dxa" w:w="6552"/>
          </w:tcPr>
          <w:p>
            <w:pPr>
              <w:spacing w:after="20"/>
            </w:pPr>
            <w:r>
              <w:rPr>
                <w:b w:val="0"/>
                <w:sz w:val="18"/>
              </w:rPr>
              <w:t xml:space="preserve">Toughpads y farmacia </w:t>
            </w:r>
            <w:r>
              <w:rPr>
                <w:b/>
                <w:sz w:val="18"/>
              </w:rPr>
              <w:t>siguen operando offline</w:t>
            </w:r>
            <w:r>
              <w:rPr>
                <w:b w:val="0"/>
                <w:sz w:val="18"/>
              </w:rPr>
              <w:t>; el gateway guarda las lecturas; al volver, Sincronización concilia sin duplicar. El balanceador reparte entre VM-03 y VM-04</w:t>
            </w:r>
          </w:p>
        </w:tc>
      </w:tr>
      <w:tr>
        <w:tc>
          <w:tcPr>
            <w:tcW w:type="dxa" w:w="2808"/>
          </w:tcPr>
          <w:p>
            <w:pPr>
              <w:spacing w:after="20"/>
            </w:pPr>
            <w:r>
              <w:rPr>
                <w:b/>
                <w:sz w:val="18"/>
              </w:rPr>
              <w:t>Farmacovigilancia</w:t>
            </w:r>
            <w:r>
              <w:rPr>
                <w:b w:val="0"/>
                <w:sz w:val="18"/>
              </w:rPr>
              <w:t xml:space="preserve"> (19:30, MSPAS cerrado)</w:t>
            </w:r>
          </w:p>
        </w:tc>
        <w:tc>
          <w:tcPr>
            <w:tcW w:type="dxa" w:w="6552"/>
          </w:tcPr>
          <w:p>
            <w:pPr>
              <w:spacing w:after="20"/>
            </w:pPr>
            <w:r>
              <w:rPr>
                <w:b w:val="0"/>
                <w:sz w:val="18"/>
              </w:rPr>
              <w:t>El reporte se registra con fecha y hora y queda en la cola del bus; Integración lo entrega a las 8:00</w:t>
            </w:r>
          </w:p>
        </w:tc>
      </w:tr>
    </w:tbl>
    <w:p>
      <w:pPr>
        <w:spacing w:after="40"/>
      </w:pPr>
    </w:p>
    <w:sectPr w:rsidR="00FC693F" w:rsidRPr="0006063C" w:rsidSect="00034616">
      <w:footerReference w:type="default" r:id="rI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FarmaHosp — Tarea 2 · Santiago Barrera   ·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