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4" w:color="A6A6A6"/>
          <w:left w:val="nil" w:sz="4" w:color="A6A6A6"/>
          <w:bottom w:val="nil" w:sz="4" w:color="A6A6A6"/>
          <w:right w:val="nil" w:sz="4" w:color="A6A6A6"/>
          <w:insideH w:val="nil" w:sz="4" w:color="A6A6A6"/>
          <w:insideV w:val="nil" w:sz="4" w:color="A6A6A6"/>
        </w:tblBorders>
      </w:tblPr>
      <w:tblGrid>
        <w:gridCol w:w="7056"/>
        <w:gridCol w:w="2304"/>
      </w:tblGrid>
      <w:tr>
        <w:tc>
          <w:tcPr>
            <w:tcW w:type="dxa" w:w="7056"/>
          </w:tcPr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sz w:val="22"/>
              </w:rPr>
              <w:t>Guatemala 19 de octubre del 2026</w:t>
            </w:r>
          </w:p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sz w:val="22"/>
              </w:rPr>
              <w:t>Universidad San Carlos de Guatemala</w:t>
            </w:r>
          </w:p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sz w:val="22"/>
              </w:rPr>
              <w:t>Facultad de Ingeniería</w:t>
            </w:r>
          </w:p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sz w:val="22"/>
              </w:rPr>
              <w:t>Escuela de Ingeniería en Ciencias y Sistemas.</w:t>
            </w:r>
          </w:p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sz w:val="22"/>
              </w:rPr>
              <w:t>Segundo Semestre 2026</w:t>
            </w:r>
          </w:p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sz w:val="22"/>
              </w:rPr>
              <w:t>Magistral - Análisis y Diseño de Sistemas 2 - Sección A</w:t>
            </w:r>
          </w:p>
          <w:p>
            <w:pPr>
              <w:spacing w:after="20" w:line="240" w:lineRule="auto"/>
            </w:pPr>
            <w:r>
              <w:rPr>
                <w:rFonts w:ascii="Times New Roman" w:hAnsi="Times New Roman" w:eastAsia="Times New Roman"/>
                <w:sz w:val="22"/>
              </w:rPr>
              <w:t>Catedrática: MBA. MSc. Claudia Rojas de Morán</w:t>
            </w:r>
          </w:p>
        </w:tc>
        <w:tc>
          <w:tcPr>
            <w:tcW w:type="dxa" w:w="2304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371600" cy="14996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-ingenieria-usac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96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3000" w:after="80"/>
        <w:jc w:val="center"/>
      </w:pPr>
      <w:r>
        <w:rPr>
          <w:rFonts w:ascii="Arial" w:hAnsi="Arial"/>
          <w:b/>
          <w:color w:val="ECB727"/>
          <w:sz w:val="60"/>
        </w:rPr>
        <w:t>Repensando los Parquímetros</w:t>
      </w:r>
    </w:p>
    <w:p>
      <w:pPr>
        <w:jc w:val="center"/>
      </w:pPr>
      <w:r>
        <w:rPr>
          <w:rFonts w:ascii="Arial" w:hAnsi="Arial"/>
          <w:color w:val="595959"/>
          <w:sz w:val="30"/>
        </w:rPr>
        <w:t>Una solución desde la arquitectura del software</w:t>
      </w:r>
    </w:p>
    <w:p>
      <w:pPr>
        <w:jc w:val="center"/>
      </w:pPr>
      <w:r>
        <w:rPr>
          <w:rFonts w:ascii="Arial" w:hAnsi="Arial"/>
          <w:color w:val="595959"/>
          <w:sz w:val="24"/>
        </w:rPr>
        <w:t>Tarea 3 · Caso 4 · Grupo 2</w:t>
      </w:r>
    </w:p>
    <w:p>
      <w:pPr>
        <w:spacing w:before="3000" w:after="80"/>
      </w:pPr>
      <w:r>
        <w:rPr>
          <w:rFonts w:ascii="Times New Roman" w:hAnsi="Times New Roman" w:eastAsia="Times New Roman"/>
          <w:b/>
          <w:sz w:val="22"/>
        </w:rPr>
        <w:t>Grupo 2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176"/>
        <w:gridCol w:w="1584"/>
      </w:tblGrid>
      <w:tr>
        <w:tc>
          <w:tcPr>
            <w:tcW w:type="dxa" w:w="4176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sz w:val="20"/>
              </w:rPr>
              <w:t>Santiago Julián Barrera Reyes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sz w:val="20"/>
              </w:rPr>
              <w:t>201905884</w:t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sz w:val="20"/>
              </w:rPr>
              <w:t>Jemima Solmaira Chavajay Quiejú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sz w:val="20"/>
              </w:rPr>
              <w:t>201801521</w:t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sz w:val="20"/>
              </w:rPr>
              <w:t>Byron Josué Par Rancho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sz w:val="20"/>
              </w:rPr>
              <w:t>201701078</w:t>
            </w:r>
          </w:p>
        </w:tc>
      </w:tr>
    </w:tbl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1"/>
        <w:pBdr>
          <w:bottom w:val="single" w:sz="6" w:space="4" w:color="9AA0A6"/>
        </w:pBdr>
      </w:pPr>
      <w:r>
        <w:rPr>
          <w:color w:val="000000"/>
        </w:rPr>
      </w:r>
      <w:r>
        <w:rPr>
          <w:b/>
          <w:i w:val="0"/>
          <w:color w:val="000000"/>
        </w:rPr>
        <w:t>Índice</w:t>
      </w:r>
    </w:p>
    <w:p>
      <w:pPr>
        <w:tabs>
          <w:tab w:pos="9360" w:val="right" w:leader="dot"/>
        </w:tabs>
        <w:spacing w:before="140" w:after="40" w:line="240" w:lineRule="auto"/>
        <w:ind w:left="0"/>
      </w:pPr>
      <w:r>
        <w:rPr>
          <w:b/>
          <w:sz w:val="21"/>
        </w:rPr>
        <w:t>Resumen ejecutivo</w:t>
        <w:tab/>
        <w:t>3</w:t>
      </w:r>
    </w:p>
    <w:p>
      <w:pPr>
        <w:tabs>
          <w:tab w:pos="9360" w:val="right" w:leader="dot"/>
        </w:tabs>
        <w:spacing w:before="140" w:after="40" w:line="240" w:lineRule="auto"/>
        <w:ind w:left="0"/>
      </w:pPr>
      <w:r>
        <w:rPr>
          <w:b/>
          <w:sz w:val="21"/>
        </w:rPr>
        <w:t>Equipo y correspondencia con la consigna</w:t>
        <w:tab/>
        <w:t>4</w:t>
      </w:r>
    </w:p>
    <w:p>
      <w:pPr>
        <w:tabs>
          <w:tab w:pos="9360" w:val="right" w:leader="dot"/>
        </w:tabs>
        <w:spacing w:before="0" w:after="40" w:line="240" w:lineRule="auto"/>
        <w:ind w:left="432"/>
      </w:pPr>
      <w:r>
        <w:rPr>
          <w:b w:val="0"/>
          <w:sz w:val="20"/>
        </w:rPr>
        <w:t>Qué pide la consigna y dónde está</w:t>
        <w:tab/>
        <w:t>4</w:t>
      </w:r>
    </w:p>
    <w:p>
      <w:pPr>
        <w:tabs>
          <w:tab w:pos="9360" w:val="right" w:leader="dot"/>
        </w:tabs>
        <w:spacing w:before="0" w:after="40" w:line="240" w:lineRule="auto"/>
        <w:ind w:left="432"/>
      </w:pPr>
      <w:r>
        <w:rPr>
          <w:b w:val="0"/>
          <w:sz w:val="20"/>
        </w:rPr>
        <w:t>Declaraciones que condicionan todo el documento</w:t>
        <w:tab/>
        <w:t>4</w:t>
      </w:r>
    </w:p>
    <w:p>
      <w:pPr>
        <w:tabs>
          <w:tab w:pos="9360" w:val="right" w:leader="dot"/>
        </w:tabs>
        <w:spacing w:before="0" w:after="40" w:line="240" w:lineRule="auto"/>
        <w:ind w:left="432"/>
      </w:pPr>
      <w:r>
        <w:rPr>
          <w:b w:val="0"/>
          <w:sz w:val="20"/>
        </w:rPr>
        <w:t>Palabras que usamos</w:t>
        <w:tab/>
        <w:t>5</w:t>
      </w:r>
    </w:p>
    <w:p>
      <w:pPr>
        <w:tabs>
          <w:tab w:pos="9360" w:val="right" w:leader="dot"/>
        </w:tabs>
        <w:spacing w:before="140" w:after="40" w:line="240" w:lineRule="auto"/>
        <w:ind w:left="0"/>
      </w:pPr>
      <w:r>
        <w:rPr>
          <w:b/>
          <w:sz w:val="21"/>
        </w:rPr>
        <w:t>1. Análisis del caso</w:t>
        <w:tab/>
        <w:t>6</w:t>
      </w:r>
    </w:p>
    <w:p>
      <w:pPr>
        <w:tabs>
          <w:tab w:pos="9360" w:val="right" w:leader="dot"/>
        </w:tabs>
        <w:spacing w:before="0" w:after="40" w:line="240" w:lineRule="auto"/>
        <w:ind w:left="432"/>
      </w:pPr>
      <w:r>
        <w:rPr>
          <w:b w:val="0"/>
          <w:sz w:val="20"/>
        </w:rPr>
        <w:t>1.1 De qué trata</w:t>
        <w:tab/>
        <w:t>6</w:t>
      </w:r>
    </w:p>
    <w:p>
      <w:pPr>
        <w:tabs>
          <w:tab w:pos="9360" w:val="right" w:leader="dot"/>
        </w:tabs>
        <w:spacing w:before="0" w:after="40" w:line="240" w:lineRule="auto"/>
        <w:ind w:left="432"/>
      </w:pPr>
      <w:r>
        <w:rPr>
          <w:b w:val="0"/>
          <w:sz w:val="20"/>
        </w:rPr>
        <w:t>1.2 Involucrados (stakeholders)</w:t>
        <w:tab/>
        <w:t>7</w:t>
      </w:r>
    </w:p>
    <w:p>
      <w:pPr>
        <w:tabs>
          <w:tab w:pos="9360" w:val="right" w:leader="dot"/>
        </w:tabs>
        <w:spacing w:before="0" w:after="40" w:line="240" w:lineRule="auto"/>
        <w:ind w:left="432"/>
      </w:pPr>
      <w:r>
        <w:rPr>
          <w:b w:val="0"/>
          <w:sz w:val="20"/>
        </w:rPr>
        <w:t>1.3 Las seis problemáticas, con su causa y su perspectiva</w:t>
        <w:tab/>
        <w:t>8</w:t>
      </w:r>
    </w:p>
    <w:p>
      <w:pPr>
        <w:tabs>
          <w:tab w:pos="9360" w:val="right" w:leader="dot"/>
        </w:tabs>
        <w:spacing w:before="0" w:after="40" w:line="240" w:lineRule="auto"/>
        <w:ind w:left="432"/>
      </w:pPr>
      <w:r>
        <w:rPr>
          <w:b w:val="0"/>
          <w:sz w:val="20"/>
        </w:rPr>
        <w:t>1.4 Lo que el caso dejó pendiente</w:t>
        <w:tab/>
        <w:t>8</w:t>
      </w:r>
    </w:p>
    <w:p>
      <w:pPr>
        <w:tabs>
          <w:tab w:pos="9360" w:val="right" w:leader="dot"/>
        </w:tabs>
        <w:spacing w:before="140" w:after="40" w:line="240" w:lineRule="auto"/>
        <w:ind w:left="0"/>
      </w:pPr>
      <w:r>
        <w:rPr>
          <w:b/>
          <w:sz w:val="21"/>
        </w:rPr>
        <w:t>2. Investigación de los tópicos relacionados</w:t>
        <w:tab/>
        <w:t>9</w:t>
      </w:r>
    </w:p>
    <w:p>
      <w:pPr>
        <w:tabs>
          <w:tab w:pos="9360" w:val="right" w:leader="dot"/>
        </w:tabs>
        <w:spacing w:before="0" w:after="40" w:line="240" w:lineRule="auto"/>
        <w:ind w:left="432"/>
      </w:pPr>
      <w:r>
        <w:rPr>
          <w:b w:val="0"/>
          <w:sz w:val="20"/>
        </w:rPr>
        <w:t>2.1 Los tres sistemas que menciona el caso</w:t>
        <w:tab/>
        <w:t>9</w:t>
      </w:r>
    </w:p>
    <w:p>
      <w:pPr>
        <w:tabs>
          <w:tab w:pos="9360" w:val="right" w:leader="dot"/>
        </w:tabs>
        <w:spacing w:before="0" w:after="40" w:line="240" w:lineRule="auto"/>
        <w:ind w:left="432"/>
      </w:pPr>
      <w:r>
        <w:rPr>
          <w:b w:val="0"/>
          <w:sz w:val="20"/>
        </w:rPr>
        <w:t>2.2 El estacionamiento en la vía pública en Guatemala</w:t>
        <w:tab/>
        <w:t>9</w:t>
      </w:r>
    </w:p>
    <w:p>
      <w:pPr>
        <w:tabs>
          <w:tab w:pos="9360" w:val="right" w:leader="dot"/>
        </w:tabs>
        <w:spacing w:before="140" w:after="40" w:line="240" w:lineRule="auto"/>
        <w:ind w:left="0"/>
      </w:pPr>
      <w:r>
        <w:rPr>
          <w:b/>
          <w:sz w:val="21"/>
        </w:rPr>
        <w:t>3. Caso de negocio y drivers: los insumos de la arquitectura</w:t>
        <w:tab/>
        <w:t>10</w:t>
      </w:r>
    </w:p>
    <w:p>
      <w:pPr>
        <w:tabs>
          <w:tab w:pos="9360" w:val="right" w:leader="dot"/>
        </w:tabs>
        <w:spacing w:before="0" w:after="40" w:line="240" w:lineRule="auto"/>
        <w:ind w:left="432"/>
      </w:pPr>
      <w:r>
        <w:rPr>
          <w:b w:val="0"/>
          <w:sz w:val="20"/>
        </w:rPr>
        <w:t>3.1 Diagrama de contexto</w:t>
        <w:tab/>
        <w:t>11</w:t>
      </w:r>
    </w:p>
    <w:p>
      <w:pPr>
        <w:tabs>
          <w:tab w:pos="9360" w:val="right" w:leader="dot"/>
        </w:tabs>
        <w:spacing w:before="0" w:after="40" w:line="240" w:lineRule="auto"/>
        <w:ind w:left="432"/>
      </w:pPr>
      <w:r>
        <w:rPr>
          <w:b w:val="0"/>
          <w:sz w:val="20"/>
        </w:rPr>
        <w:t>3.2 CDU de alto nivel (core) y primera descomposición</w:t>
        <w:tab/>
        <w:t>13</w:t>
      </w:r>
    </w:p>
    <w:p>
      <w:pPr>
        <w:tabs>
          <w:tab w:pos="9360" w:val="right" w:leader="dot"/>
        </w:tabs>
        <w:spacing w:before="0" w:after="40" w:line="240" w:lineRule="auto"/>
        <w:ind w:left="432"/>
      </w:pPr>
      <w:r>
        <w:rPr>
          <w:b w:val="0"/>
          <w:sz w:val="20"/>
        </w:rPr>
        <w:t>3.3 Drivers funcionales (casos de uso del sistema)</w:t>
        <w:tab/>
        <w:t>14</w:t>
      </w:r>
    </w:p>
    <w:p>
      <w:pPr>
        <w:tabs>
          <w:tab w:pos="9360" w:val="right" w:leader="dot"/>
        </w:tabs>
        <w:spacing w:before="0" w:after="40" w:line="240" w:lineRule="auto"/>
        <w:ind w:left="432"/>
      </w:pPr>
      <w:r>
        <w:rPr>
          <w:b w:val="0"/>
          <w:sz w:val="20"/>
        </w:rPr>
        <w:t>3.4 Drivers de calidad: escenarios de atributos de calidad (EAC)</w:t>
        <w:tab/>
        <w:t>22</w:t>
      </w:r>
    </w:p>
    <w:p>
      <w:pPr>
        <w:tabs>
          <w:tab w:pos="9360" w:val="right" w:leader="dot"/>
        </w:tabs>
        <w:spacing w:before="0" w:after="40" w:line="240" w:lineRule="auto"/>
        <w:ind w:left="432"/>
      </w:pPr>
      <w:r>
        <w:rPr>
          <w:b w:val="0"/>
          <w:sz w:val="20"/>
        </w:rPr>
        <w:t>3.5 Drivers de restricción</w:t>
        <w:tab/>
        <w:t>25</w:t>
      </w:r>
    </w:p>
    <w:p>
      <w:pPr>
        <w:tabs>
          <w:tab w:pos="9360" w:val="right" w:leader="dot"/>
        </w:tabs>
        <w:spacing w:before="0" w:after="40" w:line="240" w:lineRule="auto"/>
        <w:ind w:left="432"/>
      </w:pPr>
      <w:r>
        <w:rPr>
          <w:b w:val="0"/>
          <w:sz w:val="20"/>
        </w:rPr>
        <w:t>3.6 Priorización: los cinco drivers que más pesan</w:t>
        <w:tab/>
        <w:t>26</w:t>
      </w:r>
    </w:p>
    <w:p>
      <w:pPr>
        <w:tabs>
          <w:tab w:pos="9360" w:val="right" w:leader="dot"/>
        </w:tabs>
        <w:spacing w:before="140" w:after="40" w:line="240" w:lineRule="auto"/>
        <w:ind w:left="0"/>
      </w:pPr>
      <w:r>
        <w:rPr>
          <w:b/>
          <w:sz w:val="21"/>
        </w:rPr>
        <w:t>4. Posibles soluciones</w:t>
        <w:tab/>
        <w:t>26</w:t>
      </w:r>
    </w:p>
    <w:p>
      <w:pPr>
        <w:tabs>
          <w:tab w:pos="9360" w:val="right" w:leader="dot"/>
        </w:tabs>
        <w:spacing w:before="0" w:after="40" w:line="240" w:lineRule="auto"/>
        <w:ind w:left="432"/>
      </w:pPr>
      <w:r>
        <w:rPr>
          <w:b w:val="0"/>
          <w:sz w:val="20"/>
        </w:rPr>
        <w:t>4.1 Evaluación contra las problemáticas y los drivers</w:t>
        <w:tab/>
        <w:t>27</w:t>
      </w:r>
    </w:p>
    <w:p>
      <w:pPr>
        <w:tabs>
          <w:tab w:pos="9360" w:val="right" w:leader="dot"/>
        </w:tabs>
        <w:spacing w:before="0" w:after="40" w:line="240" w:lineRule="auto"/>
        <w:ind w:left="432"/>
      </w:pPr>
      <w:r>
        <w:rPr>
          <w:b w:val="0"/>
          <w:sz w:val="20"/>
        </w:rPr>
        <w:t>4.2 La decisión</w:t>
        <w:tab/>
        <w:t>27</w:t>
      </w:r>
    </w:p>
    <w:p>
      <w:pPr>
        <w:tabs>
          <w:tab w:pos="9360" w:val="right" w:leader="dot"/>
        </w:tabs>
        <w:spacing w:before="140" w:after="40" w:line="240" w:lineRule="auto"/>
        <w:ind w:left="0"/>
      </w:pPr>
      <w:r>
        <w:rPr>
          <w:b/>
          <w:sz w:val="21"/>
        </w:rPr>
        <w:t>5. Solución seleccionada: SIEP</w:t>
        <w:tab/>
        <w:t>28</w:t>
      </w:r>
    </w:p>
    <w:p>
      <w:pPr>
        <w:tabs>
          <w:tab w:pos="9360" w:val="right" w:leader="dot"/>
        </w:tabs>
        <w:spacing w:before="0" w:after="40" w:line="240" w:lineRule="auto"/>
        <w:ind w:left="432"/>
      </w:pPr>
      <w:r>
        <w:rPr>
          <w:b w:val="0"/>
          <w:sz w:val="20"/>
        </w:rPr>
        <w:t>5.1 Arquitectura del software</w:t>
        <w:tab/>
        <w:t>28</w:t>
      </w:r>
    </w:p>
    <w:p>
      <w:pPr>
        <w:tabs>
          <w:tab w:pos="9360" w:val="right" w:leader="dot"/>
        </w:tabs>
        <w:spacing w:before="0" w:after="40" w:line="240" w:lineRule="auto"/>
        <w:ind w:left="432"/>
      </w:pPr>
      <w:r>
        <w:rPr>
          <w:b w:val="0"/>
          <w:sz w:val="20"/>
        </w:rPr>
        <w:t>5.2 Calidad del software</w:t>
        <w:tab/>
        <w:t>34</w:t>
      </w:r>
    </w:p>
    <w:p>
      <w:pPr>
        <w:tabs>
          <w:tab w:pos="9360" w:val="right" w:leader="dot"/>
        </w:tabs>
        <w:spacing w:before="0" w:after="40" w:line="240" w:lineRule="auto"/>
        <w:ind w:left="432"/>
      </w:pPr>
      <w:r>
        <w:rPr>
          <w:b w:val="0"/>
          <w:sz w:val="20"/>
        </w:rPr>
        <w:t>5.3 Arquitectura en el ciclo de vida</w:t>
        <w:tab/>
        <w:t>35</w:t>
      </w:r>
    </w:p>
    <w:p>
      <w:pPr>
        <w:tabs>
          <w:tab w:pos="9360" w:val="right" w:leader="dot"/>
        </w:tabs>
        <w:spacing w:before="0" w:after="40" w:line="240" w:lineRule="auto"/>
        <w:ind w:left="432"/>
      </w:pPr>
      <w:r>
        <w:rPr>
          <w:b w:val="0"/>
          <w:sz w:val="20"/>
        </w:rPr>
        <w:t>5.4 Arquitectura de la información</w:t>
        <w:tab/>
        <w:t>36</w:t>
      </w:r>
    </w:p>
    <w:p>
      <w:pPr>
        <w:tabs>
          <w:tab w:pos="9360" w:val="right" w:leader="dot"/>
        </w:tabs>
        <w:spacing w:before="0" w:after="40" w:line="240" w:lineRule="auto"/>
        <w:ind w:left="432"/>
      </w:pPr>
      <w:r>
        <w:rPr>
          <w:b w:val="0"/>
          <w:sz w:val="20"/>
        </w:rPr>
        <w:t>5.5 Factores externos: los cobros de personas ajenas a la municipalidad</w:t>
        <w:tab/>
        <w:t>38</w:t>
      </w:r>
    </w:p>
    <w:p>
      <w:pPr>
        <w:tabs>
          <w:tab w:pos="9360" w:val="right" w:leader="dot"/>
        </w:tabs>
        <w:spacing w:before="140" w:after="40" w:line="240" w:lineRule="auto"/>
        <w:ind w:left="0"/>
      </w:pPr>
      <w:r>
        <w:rPr>
          <w:b/>
          <w:sz w:val="21"/>
        </w:rPr>
        <w:t>6. Respuestas a las cuestiones del caso</w:t>
        <w:tab/>
        <w:t>38</w:t>
      </w:r>
    </w:p>
    <w:p>
      <w:pPr>
        <w:tabs>
          <w:tab w:pos="9360" w:val="right" w:leader="dot"/>
        </w:tabs>
        <w:spacing w:before="140" w:after="40" w:line="240" w:lineRule="auto"/>
        <w:ind w:left="0"/>
      </w:pPr>
      <w:r>
        <w:rPr>
          <w:b/>
          <w:sz w:val="21"/>
        </w:rPr>
        <w:t>7. Parte desarrollada: prototipo del parquímetro con pago por placa</w:t>
        <w:tab/>
        <w:t>42</w:t>
      </w:r>
    </w:p>
    <w:p>
      <w:pPr>
        <w:tabs>
          <w:tab w:pos="9360" w:val="right" w:leader="dot"/>
        </w:tabs>
        <w:spacing w:before="140" w:after="40" w:line="240" w:lineRule="auto"/>
        <w:ind w:left="0"/>
      </w:pPr>
      <w:r>
        <w:rPr>
          <w:b/>
          <w:sz w:val="21"/>
        </w:rPr>
        <w:t>8. Conclusiones y recomendaciones</w:t>
        <w:tab/>
        <w:t>43</w:t>
      </w:r>
    </w:p>
    <w:p>
      <w:pPr>
        <w:tabs>
          <w:tab w:pos="9360" w:val="right" w:leader="dot"/>
        </w:tabs>
        <w:spacing w:before="0" w:after="40" w:line="240" w:lineRule="auto"/>
        <w:ind w:left="432"/>
      </w:pPr>
      <w:r>
        <w:rPr>
          <w:b w:val="0"/>
          <w:sz w:val="20"/>
        </w:rPr>
        <w:t>8.1 Conclusiones</w:t>
        <w:tab/>
        <w:t>43</w:t>
      </w:r>
    </w:p>
    <w:p>
      <w:pPr>
        <w:tabs>
          <w:tab w:pos="9360" w:val="right" w:leader="dot"/>
        </w:tabs>
        <w:spacing w:before="0" w:after="40" w:line="240" w:lineRule="auto"/>
        <w:ind w:left="432"/>
      </w:pPr>
      <w:r>
        <w:rPr>
          <w:b w:val="0"/>
          <w:sz w:val="20"/>
        </w:rPr>
        <w:t>8.2 Recomendaciones</w:t>
        <w:tab/>
        <w:t>43</w:t>
      </w:r>
    </w:p>
    <w:p>
      <w:pPr>
        <w:tabs>
          <w:tab w:pos="9360" w:val="right" w:leader="dot"/>
        </w:tabs>
        <w:spacing w:before="140" w:after="40" w:line="240" w:lineRule="auto"/>
        <w:ind w:left="0"/>
      </w:pPr>
      <w:r>
        <w:rPr>
          <w:b/>
          <w:sz w:val="21"/>
        </w:rPr>
        <w:t>9. Supuestos y límites</w:t>
        <w:tab/>
        <w:t>43</w:t>
      </w:r>
    </w:p>
    <w:p>
      <w:pPr>
        <w:tabs>
          <w:tab w:pos="9360" w:val="right" w:leader="dot"/>
        </w:tabs>
        <w:spacing w:before="140" w:after="40" w:line="240" w:lineRule="auto"/>
        <w:ind w:left="0"/>
      </w:pPr>
      <w:r>
        <w:rPr>
          <w:b/>
          <w:sz w:val="21"/>
        </w:rPr>
        <w:t>10. Referencias</w:t>
        <w:tab/>
        <w:t>44</w:t>
      </w:r>
    </w:p>
    <w:p>
      <w:pPr>
        <w:pStyle w:val="Heading1"/>
        <w:pageBreakBefore/>
        <w:pBdr>
          <w:bottom w:val="single" w:sz="6" w:space="4" w:color="9AA0A6"/>
        </w:pBdr>
      </w:pPr>
      <w:r>
        <w:rPr>
          <w:color w:val="000000"/>
        </w:rPr>
      </w:r>
      <w:r>
        <w:rPr>
          <w:b/>
          <w:i w:val="0"/>
          <w:color w:val="000000"/>
        </w:rPr>
        <w:t>Resumen ejecutivo</w:t>
      </w:r>
    </w:p>
    <w:p>
      <w:pPr>
        <w:keepNext w:val="0"/>
      </w:pPr>
      <w:r>
        <w:rPr>
          <w:b/>
          <w:i w:val="0"/>
          <w:sz w:val="22"/>
        </w:rPr>
        <w:t>El caso.</w:t>
      </w:r>
      <w:r>
        <w:rPr>
          <w:b w:val="0"/>
          <w:i w:val="0"/>
          <w:sz w:val="22"/>
        </w:rPr>
        <w:t xml:space="preserve"> SERVIparq, el programa de parquímetros de la Ciudad de México, enfrenta seis problemas: vecinos que no fueron consultados, cuidacarros que siguen cobrando, instrucciones de pago confusas, conductores que no saben cómo reclamar una multa, falta de personal y la sospecha de que el dinero se pierde. Una consultora de diseño, Smartmedia, mejoró la información del parquímetro con pruebas hechas con personas y fijó un nivel de desempeño del 72 %.</w:t>
      </w:r>
    </w:p>
    <w:p>
      <w:pPr>
        <w:keepNext w:val="0"/>
      </w:pPr>
      <w:r>
        <w:rPr>
          <w:b/>
          <w:i w:val="0"/>
          <w:sz w:val="22"/>
        </w:rPr>
        <w:t>Lo que encontramos.</w:t>
      </w:r>
      <w:r>
        <w:rPr>
          <w:b w:val="0"/>
          <w:i w:val="0"/>
          <w:sz w:val="22"/>
        </w:rPr>
        <w:t xml:space="preserve"> Tres de los seis problemas no se arreglan con una pantalla mejor: son de gobierno del programa, de funciones del equipo que estaban apagadas y de un cobro informal que compite por el mismo espacio. En Guatemala pasa lo mismo: la capital cobra Q3 por media hora, pero en un solo operativo se retiraron 2,500 objetos con los que se apartaban lugares, y en Antigua la Corte de Constitucionalidad suspendió la base de datos de placas del cobro digital.</w:t>
      </w:r>
    </w:p>
    <w:p>
      <w:pPr>
        <w:keepNext w:val="0"/>
      </w:pPr>
      <w:r>
        <w:rPr>
          <w:b/>
          <w:i w:val="0"/>
          <w:sz w:val="22"/>
        </w:rPr>
        <w:t>Lo que proponemos.</w:t>
      </w:r>
      <w:r>
        <w:rPr>
          <w:b w:val="0"/>
          <w:i w:val="0"/>
          <w:sz w:val="22"/>
        </w:rPr>
        <w:t xml:space="preserve"> SIEP, un sistema en el que el pago queda ligado a la placa y no a un boleto. Cada uno de los cinco procesos del negocio es un servicio (arquitectura orientada a servicios) y los servicios se avisan entre sí con eventos. Se reutiliza el parquímetro ya comprado, se encienden el pago con tarjeta y la alarma de vandalismo, la multa solo nace cuando un oficial confirma la evidencia, y todo lo cobrado se publica en un tablero.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4680"/>
        <w:gridCol w:w="1310"/>
        <w:gridCol w:w="3370"/>
      </w:tblGrid>
      <w:tr>
        <w:trPr>
          <w:tblHeader w:val="true"/>
        </w:trPr>
        <w:tc>
          <w:tcPr>
            <w:tcW w:type="dxa" w:w="468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20"/>
              </w:rPr>
              <w:t>Qué se compromete</w:t>
            </w:r>
          </w:p>
        </w:tc>
        <w:tc>
          <w:tcPr>
            <w:tcW w:type="dxa" w:w="1310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20"/>
              </w:rPr>
              <w:t>Número</w:t>
            </w:r>
          </w:p>
        </w:tc>
        <w:tc>
          <w:tcPr>
            <w:tcW w:type="dxa" w:w="3370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20"/>
              </w:rPr>
              <w:t>Cómo se comprueba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20"/>
              </w:rPr>
              <w:t>Conductores que pagan sin ayuda la primera vez</w:t>
            </w:r>
          </w:p>
        </w:tc>
        <w:tc>
          <w:tcPr>
            <w:tcW w:type="dxa" w:w="1310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≥ 72 %</w:t>
            </w:r>
          </w:p>
        </w:tc>
        <w:tc>
          <w:tcPr>
            <w:tcW w:type="dxa" w:w="3370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Prueba de desempeño con 12 personas, en la calle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20"/>
              </w:rPr>
              <w:t>Tiempo para saber si una placa pagó</w:t>
            </w:r>
          </w:p>
        </w:tc>
        <w:tc>
          <w:tcPr>
            <w:tcW w:type="dxa" w:w="1310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≤ 2 s</w:t>
            </w:r>
          </w:p>
        </w:tc>
        <w:tc>
          <w:tcPr>
            <w:tcW w:type="dxa" w:w="3370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Prueba de carga con 500 verificadores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20"/>
              </w:rPr>
              <w:t>Pagos perdidos si se cae la señal</w:t>
            </w:r>
          </w:p>
        </w:tc>
        <w:tc>
          <w:tcPr>
            <w:tcW w:type="dxa" w:w="131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0</w:t>
            </w:r>
          </w:p>
        </w:tc>
        <w:tc>
          <w:tcPr>
            <w:tcW w:type="dxa" w:w="337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Corte de red simulado en el piloto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20"/>
              </w:rPr>
              <w:t>Multas con foto, hora, ubicación y confirmación del oficial</w:t>
            </w:r>
          </w:p>
        </w:tc>
        <w:tc>
          <w:tcPr>
            <w:tcW w:type="dxa" w:w="131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100 %</w:t>
            </w:r>
          </w:p>
        </w:tc>
        <w:tc>
          <w:tcPr>
            <w:tcW w:type="dxa" w:w="337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Revisión de la bitácora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20"/>
              </w:rPr>
              <w:t>Diferencia entre lo publicado y lo depositado en el banco</w:t>
            </w:r>
          </w:p>
        </w:tc>
        <w:tc>
          <w:tcPr>
            <w:tcW w:type="dxa" w:w="131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Q0</w:t>
            </w:r>
          </w:p>
        </w:tc>
        <w:tc>
          <w:tcPr>
            <w:tcW w:type="dxa" w:w="337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20"/>
              </w:rPr>
              <w:t>Conciliación diaria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b/>
          <w:i w:val="0"/>
          <w:sz w:val="22"/>
        </w:rPr>
        <w:t>Cómo se construye.</w:t>
      </w:r>
      <w:r>
        <w:rPr>
          <w:b w:val="0"/>
          <w:i w:val="0"/>
          <w:sz w:val="22"/>
        </w:rPr>
        <w:t xml:space="preserve"> Con un ciclo en espiral, que revisa los riesgos en cada vuelta, y Scrum por dentro, en cuatro fases que empiezan por una colonia piloto. Desarrollamos además un prototipo de la pantalla del parquímetro que mide el 72 % mientras se prueba.</w:t>
      </w:r>
    </w:p>
    <w:p>
      <w:pPr>
        <w:pStyle w:val="Heading1"/>
        <w:pageBreakBefore/>
        <w:pBdr>
          <w:bottom w:val="single" w:sz="6" w:space="4" w:color="9AA0A6"/>
        </w:pBdr>
      </w:pPr>
      <w:r>
        <w:rPr>
          <w:color w:val="000000"/>
        </w:rPr>
      </w:r>
      <w:r>
        <w:rPr>
          <w:b/>
          <w:i w:val="0"/>
          <w:color w:val="000000"/>
        </w:rPr>
        <w:t>Equipo y correspondencia con la consigna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2527"/>
        <w:gridCol w:w="1217"/>
        <w:gridCol w:w="1872"/>
        <w:gridCol w:w="3744"/>
      </w:tblGrid>
      <w:tr>
        <w:trPr>
          <w:tblHeader w:val="true"/>
        </w:trPr>
        <w:tc>
          <w:tcPr>
            <w:tcW w:type="dxa" w:w="252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9"/>
              </w:rPr>
              <w:t>Integrante</w:t>
            </w:r>
          </w:p>
        </w:tc>
        <w:tc>
          <w:tcPr>
            <w:tcW w:type="dxa" w:w="121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9"/>
              </w:rPr>
              <w:t>Carné</w:t>
            </w:r>
          </w:p>
        </w:tc>
        <w:tc>
          <w:tcPr>
            <w:tcW w:type="dxa" w:w="187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9"/>
              </w:rPr>
              <w:t>Rol en el equipo</w:t>
            </w:r>
          </w:p>
        </w:tc>
        <w:tc>
          <w:tcPr>
            <w:tcW w:type="dxa" w:w="374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9"/>
              </w:rPr>
              <w:t>Responsabilidad en este caso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Santiago Julián Barrera Reyes</w:t>
            </w:r>
          </w:p>
        </w:tc>
        <w:tc>
          <w:tcPr>
            <w:tcW w:type="dxa" w:w="121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201905884</w:t>
            </w:r>
          </w:p>
        </w:tc>
        <w:tc>
          <w:tcPr>
            <w:tcW w:type="dxa" w:w="18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Scrum Master / coordinador</w:t>
            </w:r>
          </w:p>
        </w:tc>
        <w:tc>
          <w:tcPr>
            <w:tcW w:type="dxa" w:w="37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Análisis del caso, investigación del contexto guatemalteco, arquitectura en el ciclo de vida, integración del documento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Jemima Solmaira Chavajay Quiejú</w:t>
            </w:r>
          </w:p>
        </w:tc>
        <w:tc>
          <w:tcPr>
            <w:tcW w:type="dxa" w:w="121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201801521</w:t>
            </w:r>
          </w:p>
        </w:tc>
        <w:tc>
          <w:tcPr>
            <w:tcW w:type="dxa" w:w="18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Product Owner</w:t>
            </w:r>
          </w:p>
        </w:tc>
        <w:tc>
          <w:tcPr>
            <w:tcW w:type="dxa" w:w="37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Problemáticas y requisitos de desempeño, calidad del software, arquitectura de la información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Byron Josué Par Rancho</w:t>
            </w:r>
          </w:p>
        </w:tc>
        <w:tc>
          <w:tcPr>
            <w:tcW w:type="dxa" w:w="121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201701078</w:t>
            </w:r>
          </w:p>
        </w:tc>
        <w:tc>
          <w:tcPr>
            <w:tcW w:type="dxa" w:w="18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Equipo de desarrollo</w:t>
            </w:r>
          </w:p>
        </w:tc>
        <w:tc>
          <w:tcPr>
            <w:tcW w:type="dxa" w:w="37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Alternativas de solución, arquitectura de software (estilos, bloques, despliegue) y prototipo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b w:val="0"/>
          <w:i w:val="0"/>
          <w:sz w:val="22"/>
        </w:rPr>
        <w:t xml:space="preserve">El trabajo se versionó con </w:t>
      </w:r>
      <w:r>
        <w:rPr>
          <w:b/>
          <w:i w:val="0"/>
          <w:sz w:val="22"/>
        </w:rPr>
        <w:t>GitFlow</w:t>
      </w:r>
      <w:r>
        <w:rPr>
          <w:b w:val="0"/>
          <w:i w:val="0"/>
          <w:sz w:val="22"/>
        </w:rPr>
        <w:t xml:space="preserve"> en el repositorio github.com/Santiago78op/Dise-o-Arquitectonico-los-Parqu-metros: una rama por entregable (documento, presentación y sitio), integradas en develop y publicadas en main con una versión etiquetada.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Qué pide la consigna y dónde está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5148"/>
        <w:gridCol w:w="4212"/>
      </w:tblGrid>
      <w:tr>
        <w:trPr>
          <w:tblHeader w:val="true"/>
        </w:trPr>
        <w:tc>
          <w:tcPr>
            <w:tcW w:type="dxa" w:w="514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9"/>
              </w:rPr>
              <w:t>Lo que pide la consigna</w:t>
            </w:r>
          </w:p>
        </w:tc>
        <w:tc>
          <w:tcPr>
            <w:tcW w:type="dxa" w:w="421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9"/>
              </w:rPr>
              <w:t>Dónde está</w:t>
            </w:r>
          </w:p>
        </w:tc>
      </w:tr>
      <w:tr>
        <w:trPr>
          <w:cantSplit/>
        </w:trPr>
        <w:tc>
          <w:tcPr>
            <w:tcW w:type="dxa" w:w="514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9"/>
              </w:rPr>
              <w:t>Estudio y análisis del caso</w:t>
            </w:r>
          </w:p>
        </w:tc>
        <w:tc>
          <w:tcPr>
            <w:tcW w:type="dxa" w:w="421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9"/>
              </w:rPr>
              <w:t>§1 Análisis del caso</w:t>
            </w:r>
          </w:p>
        </w:tc>
      </w:tr>
      <w:tr>
        <w:trPr>
          <w:cantSplit/>
        </w:trPr>
        <w:tc>
          <w:tcPr>
            <w:tcW w:type="dxa" w:w="514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9"/>
              </w:rPr>
              <w:t>Investigación de los tópicos relacionados</w:t>
            </w:r>
          </w:p>
        </w:tc>
        <w:tc>
          <w:tcPr>
            <w:tcW w:type="dxa" w:w="421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9"/>
              </w:rPr>
              <w:t>§2 Investigación: sistemas de referencia y el estacionamiento en Guatemala</w:t>
            </w:r>
          </w:p>
        </w:tc>
      </w:tr>
      <w:tr>
        <w:trPr>
          <w:cantSplit/>
        </w:trPr>
        <w:tc>
          <w:tcPr>
            <w:tcW w:type="dxa" w:w="51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Posibles soluciones desde la arquitectura del software, la calidad, la arquitectura en el ciclo de vida y la arquitectura de la información</w:t>
            </w:r>
          </w:p>
        </w:tc>
        <w:tc>
          <w:tcPr>
            <w:tcW w:type="dxa" w:w="42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§3 Caso de negocio y drivers (los insumos) · §4 Posibles soluciones, evaluadas en las cuatro perspectivas</w:t>
            </w:r>
          </w:p>
        </w:tc>
      </w:tr>
      <w:tr>
        <w:trPr>
          <w:cantSplit/>
        </w:trPr>
        <w:tc>
          <w:tcPr>
            <w:tcW w:type="dxa" w:w="51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Solución seleccionada, debidamente justificada</w:t>
            </w:r>
          </w:p>
        </w:tc>
        <w:tc>
          <w:tcPr>
            <w:tcW w:type="dxa" w:w="42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§5 (5.1 arquitectura del software · 5.2 calidad · 5.3 ciclo de vida · 5.4 arquitectura de la información · 5.5 factores externos: los cobros informales)</w:t>
            </w:r>
          </w:p>
        </w:tc>
      </w:tr>
      <w:tr>
        <w:trPr>
          <w:cantSplit/>
        </w:trPr>
        <w:tc>
          <w:tcPr>
            <w:tcW w:type="dxa" w:w="51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Respuestas a las cuestiones que presenta el caso</w:t>
            </w:r>
          </w:p>
        </w:tc>
        <w:tc>
          <w:tcPr>
            <w:tcW w:type="dxa" w:w="42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§6 Las 14 preguntas del caso</w:t>
            </w:r>
          </w:p>
        </w:tc>
      </w:tr>
      <w:tr>
        <w:trPr>
          <w:cantSplit/>
        </w:trPr>
        <w:tc>
          <w:tcPr>
            <w:tcW w:type="dxa" w:w="51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Desarrollo de una parte del sistema, según la arquitectura elegida</w:t>
            </w:r>
          </w:p>
        </w:tc>
        <w:tc>
          <w:tcPr>
            <w:tcW w:type="dxa" w:w="42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§7 Prototipo del parquímetro con pago por placa</w:t>
            </w:r>
          </w:p>
        </w:tc>
      </w:tr>
      <w:tr>
        <w:trPr>
          <w:cantSplit/>
        </w:trPr>
        <w:tc>
          <w:tcPr>
            <w:tcW w:type="dxa" w:w="51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Supuestos, límites y fuentes</w:t>
            </w:r>
          </w:p>
        </w:tc>
        <w:tc>
          <w:tcPr>
            <w:tcW w:type="dxa" w:w="42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§8 y §9 · al inicio, «Palabras que usamos»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Declaraciones que condicionan todo el documento</w:t>
      </w:r>
    </w:p>
    <w:p>
      <w:pPr>
        <w:spacing w:after="60"/>
        <w:ind w:left="432"/>
      </w:pPr>
      <w:r>
        <w:rPr>
          <w:b/>
          <w:i w:val="0"/>
          <w:sz w:val="20"/>
        </w:rPr>
        <w:t>Frontera del negocio</w:t>
      </w:r>
    </w:p>
    <w:p>
      <w:pPr>
        <w:spacing w:after="60"/>
        <w:ind w:left="432"/>
      </w:pPr>
      <w:r>
        <w:rPr>
          <w:b/>
          <w:i w:val="0"/>
          <w:sz w:val="19"/>
        </w:rPr>
        <w:t>El negocio</w:t>
      </w:r>
      <w:r>
        <w:rPr>
          <w:b w:val="0"/>
          <w:i w:val="0"/>
          <w:sz w:val="19"/>
        </w:rPr>
        <w:t xml:space="preserve"> es la </w:t>
      </w:r>
      <w:r>
        <w:rPr>
          <w:b/>
          <w:i w:val="0"/>
          <w:sz w:val="19"/>
        </w:rPr>
        <w:t>gestión del estacionamiento en la vía pública</w:t>
      </w:r>
      <w:r>
        <w:rPr>
          <w:b w:val="0"/>
          <w:i w:val="0"/>
          <w:sz w:val="19"/>
        </w:rPr>
        <w:t xml:space="preserve"> en zonas tarifadas: concertar la zona con la comunidad, cobrar, verificar, rendir cuentas y mantener la red. No es la movilidad de la ciudad ni el gobierno completo, y no es el proyecto de diseño de Smartmedia: ese relato es la fuente de los problemas y los requisitos.</w:t>
      </w:r>
    </w:p>
    <w:p>
      <w:pPr>
        <w:spacing w:after="60"/>
        <w:ind w:left="432"/>
      </w:pPr>
      <w:r>
        <w:rPr>
          <w:b/>
          <w:i w:val="0"/>
          <w:sz w:val="19"/>
        </w:rPr>
        <w:t>Consecuencia:</w:t>
      </w:r>
      <w:r>
        <w:rPr>
          <w:b w:val="0"/>
          <w:i w:val="0"/>
          <w:sz w:val="19"/>
        </w:rPr>
        <w:t xml:space="preserve"> el personal de SERVIparq (verificadores, técnicos, operadores de monitoreo, analistas) son </w:t>
      </w:r>
      <w:r>
        <w:rPr>
          <w:b/>
          <w:i w:val="0"/>
          <w:sz w:val="19"/>
        </w:rPr>
        <w:t>trabajadores del negocio</w:t>
      </w:r>
      <w:r>
        <w:rPr>
          <w:b w:val="0"/>
          <w:i w:val="0"/>
          <w:sz w:val="19"/>
        </w:rPr>
        <w:t xml:space="preserve">. Son </w:t>
      </w:r>
      <w:r>
        <w:rPr>
          <w:b/>
          <w:i w:val="0"/>
          <w:sz w:val="19"/>
        </w:rPr>
        <w:t>actores</w:t>
      </w:r>
      <w:r>
        <w:rPr>
          <w:b w:val="0"/>
          <w:i w:val="0"/>
          <w:sz w:val="19"/>
        </w:rPr>
        <w:t xml:space="preserve"> las entidades de afuera: el conductor, el comité vecinal, la Delegación, el área de tránsito, el banco y el proveedor de los parquímetros.</w:t>
      </w:r>
    </w:p>
    <w:p>
      <w:pPr>
        <w:spacing w:after="60"/>
        <w:ind w:left="432"/>
      </w:pPr>
      <w:r>
        <w:rPr>
          <w:b/>
          <w:i w:val="0"/>
          <w:sz w:val="19"/>
        </w:rPr>
        <w:t>Cambio de lente:</w:t>
      </w:r>
      <w:r>
        <w:rPr>
          <w:b w:val="0"/>
          <w:i w:val="0"/>
          <w:sz w:val="19"/>
        </w:rPr>
        <w:t xml:space="preserve"> frente al </w:t>
      </w:r>
      <w:r>
        <w:rPr>
          <w:b/>
          <w:i w:val="0"/>
          <w:sz w:val="19"/>
        </w:rPr>
        <w:t>software</w:t>
      </w:r>
      <w:r>
        <w:rPr>
          <w:b w:val="0"/>
          <w:i w:val="0"/>
          <w:sz w:val="19"/>
        </w:rPr>
        <w:t>, el verificador deja de ser trabajador y pasa a ser una entidad que usa el sistema. Por eso no está en el core (§3.2) y sí en el contexto (§3.1) y en los CDU expandidos (§3.3).</w:t>
      </w:r>
    </w:p>
    <w:p>
      <w:pPr>
        <w:spacing w:after="200"/>
        <w:ind w:left="432"/>
      </w:pPr>
      <w:r>
        <w:rPr>
          <w:b/>
          <w:i w:val="0"/>
          <w:sz w:val="19"/>
        </w:rPr>
        <w:t>Los cuidacarros no son actores:</w:t>
      </w:r>
      <w:r>
        <w:rPr>
          <w:b w:val="0"/>
          <w:i w:val="0"/>
          <w:sz w:val="19"/>
        </w:rPr>
        <w:t xml:space="preserve"> no interactúan con el negocio de forma legítima. Son un </w:t>
      </w:r>
      <w:r>
        <w:rPr>
          <w:b/>
          <w:i w:val="0"/>
          <w:sz w:val="19"/>
        </w:rPr>
        <w:t>factor externo</w:t>
      </w:r>
      <w:r>
        <w:rPr>
          <w:b w:val="0"/>
          <w:i w:val="0"/>
          <w:sz w:val="19"/>
        </w:rPr>
        <w:t xml:space="preserve"> que genera restricciones y escenarios de calidad (§3.5, §5.5).</w:t>
      </w:r>
    </w:p>
    <w:p>
      <w:pPr>
        <w:spacing w:after="60"/>
        <w:ind w:left="432"/>
      </w:pPr>
      <w:r>
        <w:rPr>
          <w:b/>
          <w:i w:val="0"/>
          <w:sz w:val="20"/>
        </w:rPr>
        <w:t>Cómo se leyó la consigna</w:t>
      </w:r>
    </w:p>
    <w:p>
      <w:pPr>
        <w:spacing w:after="60"/>
        <w:ind w:left="432"/>
      </w:pPr>
      <w:r>
        <w:rPr>
          <w:b/>
          <w:i w:val="0"/>
          <w:sz w:val="19"/>
        </w:rPr>
        <w:t>Las cuatro perspectivas</w:t>
      </w:r>
      <w:r>
        <w:rPr>
          <w:b w:val="0"/>
          <w:i w:val="0"/>
          <w:sz w:val="19"/>
        </w:rPr>
        <w:t xml:space="preserve"> se aplican a cada alternativa (§4) y organizan la solución elegida (§5): arquitectura del software, calidad del software, arquitectura en el ciclo de vida y arquitectura de la información.</w:t>
      </w:r>
    </w:p>
    <w:p>
      <w:pPr>
        <w:spacing w:after="60"/>
        <w:ind w:left="432"/>
      </w:pPr>
      <w:r>
        <w:rPr>
          <w:b/>
          <w:i w:val="0"/>
          <w:sz w:val="19"/>
        </w:rPr>
        <w:t>El caso ocurre en la Ciudad de México en 2012.</w:t>
      </w:r>
      <w:r>
        <w:rPr>
          <w:b w:val="0"/>
          <w:i w:val="0"/>
          <w:sz w:val="19"/>
        </w:rPr>
        <w:t xml:space="preserve"> La solución se diseña para SERVIparq, y en cada decisión se indica cómo se trasladaría a una municipalidad guatemalteca, con los hechos del §2.2.</w:t>
      </w:r>
    </w:p>
    <w:p>
      <w:pPr>
        <w:spacing w:after="60"/>
        <w:ind w:left="432"/>
      </w:pPr>
      <w:r>
        <w:rPr>
          <w:b/>
          <w:i w:val="0"/>
          <w:sz w:val="19"/>
        </w:rPr>
        <w:t>Identificadores:</w:t>
      </w:r>
      <w:r>
        <w:rPr>
          <w:b w:val="0"/>
          <w:i w:val="0"/>
          <w:sz w:val="19"/>
        </w:rPr>
        <w:t xml:space="preserve"> STK-nn stakeholder · P-nn problemática del diagnóstico · CDU-nn proceso de negocio · CU-nn caso de uso del sistema · EAC-nn escenario de atributo de calidad · RE-nn restricción · S-n alternativa de solución.</w:t>
      </w:r>
    </w:p>
    <w:p>
      <w:pPr>
        <w:spacing w:after="200"/>
        <w:ind w:left="432"/>
      </w:pPr>
      <w:r>
        <w:rPr>
          <w:b/>
          <w:i w:val="0"/>
          <w:sz w:val="19"/>
        </w:rPr>
        <w:t>Nombre de la solución:</w:t>
      </w:r>
      <w:r>
        <w:rPr>
          <w:b w:val="0"/>
          <w:i w:val="0"/>
          <w:sz w:val="19"/>
        </w:rPr>
        <w:t xml:space="preserve"> SIEP, Sistema Integrado de Estacionamiento en la vía Pública.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Palabras que usamos</w:t>
      </w:r>
    </w:p>
    <w:p>
      <w:pPr>
        <w:keepNext/>
      </w:pPr>
      <w:r>
        <w:rPr>
          <w:b w:val="0"/>
          <w:i w:val="0"/>
          <w:sz w:val="22"/>
        </w:rPr>
        <w:t>Los términos del caso y del curso que aparecen en el documento, en lenguaje sencillo.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2059"/>
        <w:gridCol w:w="7301"/>
      </w:tblGrid>
      <w:tr>
        <w:trPr>
          <w:tblHeader w:val="true"/>
        </w:trPr>
        <w:tc>
          <w:tcPr>
            <w:tcW w:type="dxa" w:w="205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Palabra</w:t>
            </w:r>
          </w:p>
        </w:tc>
        <w:tc>
          <w:tcPr>
            <w:tcW w:type="dxa" w:w="730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Qué quiere decir aquí</w:t>
            </w:r>
          </w:p>
        </w:tc>
      </w:tr>
      <w:tr>
        <w:trPr>
          <w:cantSplit/>
        </w:trPr>
        <w:tc>
          <w:tcPr>
            <w:tcW w:type="dxa" w:w="2059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Franelero / cuidacarros</w:t>
            </w:r>
          </w:p>
        </w:tc>
        <w:tc>
          <w:tcPr>
            <w:tcW w:type="dxa" w:w="730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Persona que, sin ser de la municipalidad, aparta lugares en la calle (con botes, sillas o llantas) y cobra por dejarlos usar. «Franelero» es la palabra mexicana del caso; en Guatemala decimos cuidacarros</w:t>
            </w:r>
          </w:p>
        </w:tc>
      </w:tr>
      <w:tr>
        <w:trPr>
          <w:cantSplit/>
        </w:trPr>
        <w:tc>
          <w:tcPr>
            <w:tcW w:type="dxa" w:w="2059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Pay and Display</w:t>
            </w:r>
          </w:p>
        </w:tc>
        <w:tc>
          <w:tcPr>
            <w:tcW w:type="dxa" w:w="730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«Pague y muestre»: el parquímetro cobra con monedas, imprime un boleto y el conductor lo deja visible en el tablero del carro</w:t>
            </w:r>
          </w:p>
        </w:tc>
      </w:tr>
      <w:tr>
        <w:trPr>
          <w:cantSplit/>
        </w:trPr>
        <w:tc>
          <w:tcPr>
            <w:tcW w:type="dxa" w:w="2059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Pago por placa</w:t>
            </w:r>
          </w:p>
        </w:tc>
        <w:tc>
          <w:tcPr>
            <w:tcW w:type="dxa" w:w="7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El pago queda registrado al número de placa: no hay boleto y el verificador consulta la placa en su teléfono</w:t>
            </w:r>
          </w:p>
        </w:tc>
      </w:tr>
      <w:tr>
        <w:trPr>
          <w:cantSplit/>
        </w:trPr>
        <w:tc>
          <w:tcPr>
            <w:tcW w:type="dxa" w:w="2059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Verificador</w:t>
            </w:r>
          </w:p>
        </w:tc>
        <w:tc>
          <w:tcPr>
            <w:tcW w:type="dxa" w:w="7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Empleado de SERVIparq que revisa en la calle quién pagó. No puede multar: solo un oficial de tránsito puede</w:t>
            </w:r>
          </w:p>
        </w:tc>
      </w:tr>
      <w:tr>
        <w:trPr>
          <w:cantSplit/>
        </w:trPr>
        <w:tc>
          <w:tcPr>
            <w:tcW w:type="dxa" w:w="2059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Prueba de desempeño</w:t>
            </w:r>
          </w:p>
        </w:tc>
        <w:tc>
          <w:tcPr>
            <w:tcW w:type="dxa" w:w="7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 le pide a una persona que haga una tarea con el parquímetro (por ejemplo, pagar una hora) y se mide si la logra, cuánto tarda y dónde se confunde</w:t>
            </w:r>
          </w:p>
        </w:tc>
      </w:tr>
      <w:tr>
        <w:trPr>
          <w:cantSplit/>
        </w:trPr>
        <w:tc>
          <w:tcPr>
            <w:tcW w:type="dxa" w:w="2059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Bodystorming</w:t>
            </w:r>
          </w:p>
        </w:tc>
        <w:tc>
          <w:tcPr>
            <w:tcW w:type="dxa" w:w="7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Técnica de diseño: se recrea la calle en una sala y los participantes actúan la situación para descubrir fallas</w:t>
            </w:r>
          </w:p>
        </w:tc>
      </w:tr>
      <w:tr>
        <w:trPr>
          <w:cantSplit/>
        </w:trPr>
        <w:tc>
          <w:tcPr>
            <w:tcW w:type="dxa" w:w="2059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Driver</w:t>
            </w:r>
          </w:p>
        </w:tc>
        <w:tc>
          <w:tcPr>
            <w:tcW w:type="dxa" w:w="7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Factor que obliga a diseñar el sistema de cierta forma: una función, una cualidad medible o una restricción</w:t>
            </w:r>
          </w:p>
        </w:tc>
      </w:tr>
      <w:tr>
        <w:trPr>
          <w:cantSplit/>
        </w:trPr>
        <w:tc>
          <w:tcPr>
            <w:tcW w:type="dxa" w:w="2059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Escenario de calidad (EAC)</w:t>
            </w:r>
          </w:p>
        </w:tc>
        <w:tc>
          <w:tcPr>
            <w:tcW w:type="dxa" w:w="7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Una cualidad del sistema escrita en seis partes y con un número para comprobarla, por ejemplo «responde en 2 s»</w:t>
            </w:r>
          </w:p>
        </w:tc>
      </w:tr>
      <w:tr>
        <w:trPr>
          <w:cantSplit/>
        </w:trPr>
        <w:tc>
          <w:tcPr>
            <w:tcW w:type="dxa" w:w="2059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SOA</w:t>
            </w:r>
          </w:p>
        </w:tc>
        <w:tc>
          <w:tcPr>
            <w:tcW w:type="dxa" w:w="7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Arquitectura orientada a servicios: cada proceso del negocio es un programa independiente que los demás usan por medio de su interfaz</w:t>
            </w:r>
          </w:p>
        </w:tc>
      </w:tr>
      <w:tr>
        <w:trPr>
          <w:cantSplit/>
        </w:trPr>
        <w:tc>
          <w:tcPr>
            <w:tcW w:type="dxa" w:w="2059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Evento</w:t>
            </w:r>
          </w:p>
        </w:tc>
        <w:tc>
          <w:tcPr>
            <w:tcW w:type="dxa" w:w="7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Aviso que un componente publica cuando algo pasa («pago registrado») para que otros reaccionen sin conocerse entre sí</w:t>
            </w:r>
          </w:p>
        </w:tc>
      </w:tr>
      <w:tr>
        <w:trPr>
          <w:cantSplit/>
        </w:trPr>
        <w:tc>
          <w:tcPr>
            <w:tcW w:type="dxa" w:w="2059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Guardar y reenviar</w:t>
            </w:r>
          </w:p>
        </w:tc>
        <w:tc>
          <w:tcPr>
            <w:tcW w:type="dxa" w:w="7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Si se cae la red, el equipo guarda la operación y la manda cuando vuelve la conexión: no se pierde ningún pago</w:t>
            </w:r>
          </w:p>
        </w:tc>
      </w:tr>
      <w:tr>
        <w:trPr>
          <w:cantSplit/>
        </w:trPr>
        <w:tc>
          <w:tcPr>
            <w:tcW w:type="dxa" w:w="2059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Arquitectura de la información</w:t>
            </w:r>
          </w:p>
        </w:tc>
        <w:tc>
          <w:tcPr>
            <w:tcW w:type="dxa" w:w="7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Cómo se ordenan y se nombran los contenidos para que la persona encuentre lo que busca. No es la arquitectura del software</w:t>
            </w:r>
          </w:p>
        </w:tc>
      </w:tr>
      <w:tr>
        <w:trPr>
          <w:cantSplit/>
        </w:trPr>
        <w:tc>
          <w:tcPr>
            <w:tcW w:type="dxa" w:w="2059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Calidad en uso</w:t>
            </w:r>
          </w:p>
        </w:tc>
        <w:tc>
          <w:tcPr>
            <w:tcW w:type="dxa" w:w="7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La calidad que percibe el usuario real haciendo su tarea: si la logra (eficacia), con cuánto esfuerzo (productividad), sin riesgo (seguridad) y con gusto (satisfacción)</w:t>
            </w:r>
          </w:p>
        </w:tc>
      </w:tr>
      <w:tr>
        <w:trPr>
          <w:cantSplit/>
        </w:trPr>
        <w:tc>
          <w:tcPr>
            <w:tcW w:type="dxa" w:w="2059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EMETRA · PMT · PDH</w:t>
            </w:r>
          </w:p>
        </w:tc>
        <w:tc>
          <w:tcPr>
            <w:tcW w:type="dxa" w:w="7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Empresa Municipal de Tránsito de la capital · Policía Municipal de Tránsito · Procuraduría de los Derechos Humanos</w:t>
            </w:r>
          </w:p>
        </w:tc>
      </w:tr>
      <w:tr>
        <w:trPr>
          <w:cantSplit/>
        </w:trPr>
        <w:tc>
          <w:tcPr>
            <w:tcW w:type="dxa" w:w="2059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MarbEx</w:t>
            </w:r>
          </w:p>
        </w:tc>
        <w:tc>
          <w:tcPr>
            <w:tcW w:type="dxa" w:w="7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Marbete digital con el que la Municipalidad de Antigua Guatemala cobra el estacionamiento, por número de placa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6" w:space="4" w:color="9AA0A6"/>
        </w:pBdr>
      </w:pPr>
      <w:r>
        <w:rPr>
          <w:color w:val="000000"/>
        </w:rPr>
      </w:r>
      <w:r>
        <w:rPr>
          <w:b/>
          <w:i w:val="0"/>
          <w:color w:val="000000"/>
        </w:rPr>
        <w:t>1. Análisis del caso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1.1 De qué trata</w:t>
      </w:r>
    </w:p>
    <w:p>
      <w:pPr>
        <w:keepNext w:val="0"/>
      </w:pPr>
      <w:r>
        <w:rPr>
          <w:b w:val="0"/>
          <w:i w:val="0"/>
          <w:sz w:val="22"/>
        </w:rPr>
        <w:t>SERVIparq, el programa del gobierno de la Ciudad de México que instala y opera las redes de parquímetros, recibe en octubre de 2012 a una nueva directora, Margarita Patiño. El programa tiene una meta urbana clara: convertir el cajón de estacionamiento, un bien escaso y costoso (hasta 200 mil pesos por cajón en ciertas zonas), en un espacio público ordenado que reduzca la presencia del automóvil. Lo recaudado se reparte en 70 % para inversión, operación y mantenimiento y 30 % para reinversión en la comunidad.</w:t>
      </w:r>
    </w:p>
    <w:p>
      <w:pPr>
        <w:keepNext w:val="0"/>
      </w:pPr>
      <w:r>
        <w:rPr>
          <w:b w:val="0"/>
          <w:i w:val="0"/>
          <w:sz w:val="22"/>
        </w:rPr>
        <w:t xml:space="preserve">El diagnóstico de Margarita, hecho con investigación secundaria y entrevistas a expertos, encuentra seis problemas. Para resolver los de uso contrata a Smartmedia, una empresa de diseño de interacción que aplica el método de pruebas de desempeño de David Sless: observación participativa, análisis funcional de las 13 partes de información del dispositivo, una sesión con SERVIparq para acordar los requisitos de desempeño (antes, durante y después del uso), un criterio cuantitativo del 72 % y dos rondas de pruebas, la segunda con prototipos en una calle simulada mediante </w:t>
      </w:r>
      <w:r>
        <w:rPr>
          <w:b w:val="0"/>
          <w:i/>
          <w:sz w:val="22"/>
        </w:rPr>
        <w:t>bodystorming</w:t>
      </w:r>
      <w:r>
        <w:rPr>
          <w:b w:val="0"/>
          <w:i w:val="0"/>
          <w:sz w:val="22"/>
        </w:rPr>
        <w:t xml:space="preserve"> (recrear la calle en una sala y que los participantes actúen la situación). El caso cierra con la mejora medida y una junta para el plan del año siguiente.</w:t>
      </w:r>
    </w:p>
    <w:p>
      <w:pPr>
        <w:keepNext w:val="0"/>
      </w:pPr>
      <w:r>
        <w:rPr>
          <w:b/>
          <w:i w:val="0"/>
          <w:sz w:val="22"/>
        </w:rPr>
        <w:t>La lectura que guía este documento:</w:t>
      </w:r>
      <w:r>
        <w:rPr>
          <w:b w:val="0"/>
          <w:i w:val="0"/>
          <w:sz w:val="22"/>
        </w:rPr>
        <w:t xml:space="preserve"> Smartmedia resolvió bien la capa de información del dispositivo, pero tres de los seis problemas no son de interfaz. Son de </w:t>
      </w:r>
      <w:r>
        <w:rPr>
          <w:b/>
          <w:i w:val="0"/>
          <w:sz w:val="22"/>
        </w:rPr>
        <w:t>gobierno del programa</w:t>
      </w:r>
      <w:r>
        <w:rPr>
          <w:b w:val="0"/>
          <w:i w:val="0"/>
          <w:sz w:val="22"/>
        </w:rPr>
        <w:t xml:space="preserve"> (consulta y rendición de cuentas), de </w:t>
      </w:r>
      <w:r>
        <w:rPr>
          <w:b/>
          <w:i w:val="0"/>
          <w:sz w:val="22"/>
        </w:rPr>
        <w:t>capacidades del sistema que se apagaron</w:t>
      </w:r>
      <w:r>
        <w:rPr>
          <w:b w:val="0"/>
          <w:i w:val="0"/>
          <w:sz w:val="22"/>
        </w:rPr>
        <w:t xml:space="preserve"> (pago electrónico y alarma, restringidos a «Pay and Display» por falta de personal) y de </w:t>
      </w:r>
      <w:r>
        <w:rPr>
          <w:b/>
          <w:i w:val="0"/>
          <w:sz w:val="22"/>
        </w:rPr>
        <w:t>un actor informal que compite por el espacio</w:t>
      </w:r>
      <w:r>
        <w:rPr>
          <w:b w:val="0"/>
          <w:i w:val="0"/>
          <w:sz w:val="22"/>
        </w:rPr>
        <w:t xml:space="preserve"> (los </w:t>
      </w:r>
      <w:r>
        <w:rPr>
          <w:b/>
          <w:i w:val="0"/>
          <w:sz w:val="22"/>
        </w:rPr>
        <w:t>franeleros</w:t>
      </w:r>
      <w:r>
        <w:rPr>
          <w:b w:val="0"/>
          <w:i w:val="0"/>
          <w:sz w:val="22"/>
        </w:rPr>
        <w:t xml:space="preserve">: así se les dice en México a las personas que apartan lugares en la calle y cobran por dejarlos usar; en Guatemala les decimos </w:t>
      </w:r>
      <w:r>
        <w:rPr>
          <w:b/>
          <w:i w:val="0"/>
          <w:sz w:val="22"/>
        </w:rPr>
        <w:t>cuidacarros</w:t>
      </w:r>
      <w:r>
        <w:rPr>
          <w:b w:val="0"/>
          <w:i w:val="0"/>
          <w:sz w:val="22"/>
        </w:rPr>
        <w:t>, y así los llamamos en el resto del documento). Una solución completa necesita las cuatro perspectivas que pide la consigna.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1.2 Involucrados (stakeholders)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59"/>
      </w:tblPr>
      <w:tblGrid>
        <w:gridCol w:w="1037"/>
        <w:gridCol w:w="2237"/>
        <w:gridCol w:w="2953"/>
        <w:gridCol w:w="1969"/>
        <w:gridCol w:w="1163"/>
      </w:tblGrid>
      <w:tr>
        <w:trPr>
          <w:tblHeader w:val="true"/>
        </w:trPr>
        <w:tc>
          <w:tcPr>
            <w:tcW w:type="dxa" w:w="103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ID</w:t>
            </w:r>
          </w:p>
        </w:tc>
        <w:tc>
          <w:tcPr>
            <w:tcW w:type="dxa" w:w="223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Stakeholder</w:t>
            </w:r>
          </w:p>
        </w:tc>
        <w:tc>
          <w:tcPr>
            <w:tcW w:type="dxa" w:w="2953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Interés en el sistema</w:t>
            </w:r>
          </w:p>
        </w:tc>
        <w:tc>
          <w:tcPr>
            <w:tcW w:type="dxa" w:w="196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Papel en el modelo</w:t>
            </w:r>
          </w:p>
        </w:tc>
        <w:tc>
          <w:tcPr>
            <w:tcW w:type="dxa" w:w="1163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Influencia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STK-01</w:t>
            </w:r>
          </w:p>
        </w:tc>
        <w:tc>
          <w:tcPr>
            <w:tcW w:type="dxa" w:w="223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SERVIparq: dirección (Margarita Patiño)</w:t>
            </w:r>
          </w:p>
        </w:tc>
        <w:tc>
          <w:tcPr>
            <w:tcW w:type="dxa" w:w="295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Que el programa funcione, se acepte y no requiera más personal</w:t>
            </w:r>
          </w:p>
        </w:tc>
        <w:tc>
          <w:tcPr>
            <w:tcW w:type="dxa" w:w="196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Dueño del negocio</w:t>
            </w:r>
          </w:p>
        </w:tc>
        <w:tc>
          <w:tcPr>
            <w:tcW w:type="dxa" w:w="116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STK-02</w:t>
            </w:r>
          </w:p>
        </w:tc>
        <w:tc>
          <w:tcPr>
            <w:tcW w:type="dxa" w:w="223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Delegaciones (alcaldías; en Guatemala, la municipalidad)</w:t>
            </w:r>
          </w:p>
        </w:tc>
        <w:tc>
          <w:tcPr>
            <w:tcW w:type="dxa" w:w="295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Ordenar el estacionamiento y recibir el 30 % para su comunidad</w:t>
            </w:r>
          </w:p>
        </w:tc>
        <w:tc>
          <w:tcPr>
            <w:tcW w:type="dxa" w:w="196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Actor de negocio</w:t>
            </w:r>
          </w:p>
        </w:tc>
        <w:tc>
          <w:tcPr>
            <w:tcW w:type="dxa" w:w="116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STK-03</w:t>
            </w:r>
          </w:p>
        </w:tc>
        <w:tc>
          <w:tcPr>
            <w:tcW w:type="dxa" w:w="22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Vecinos y comités de transparencia</w:t>
            </w:r>
          </w:p>
        </w:tc>
        <w:tc>
          <w:tcPr>
            <w:tcW w:type="dxa" w:w="29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Ser consultados antes y saber a dónde va el dinero</w:t>
            </w:r>
          </w:p>
        </w:tc>
        <w:tc>
          <w:tcPr>
            <w:tcW w:type="dxa" w:w="196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Actor de negocio</w:t>
            </w:r>
          </w:p>
        </w:tc>
        <w:tc>
          <w:tcPr>
            <w:tcW w:type="dxa" w:w="116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STK-04</w:t>
            </w:r>
          </w:p>
        </w:tc>
        <w:tc>
          <w:tcPr>
            <w:tcW w:type="dxa" w:w="22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Conductor (usuario primario)</w:t>
            </w:r>
          </w:p>
        </w:tc>
        <w:tc>
          <w:tcPr>
            <w:tcW w:type="dxa" w:w="29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Pagar rápido, sin cambio exacto, sin multas injustas</w:t>
            </w:r>
          </w:p>
        </w:tc>
        <w:tc>
          <w:tcPr>
            <w:tcW w:type="dxa" w:w="196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Actor de negocio</w:t>
            </w:r>
          </w:p>
        </w:tc>
        <w:tc>
          <w:tcPr>
            <w:tcW w:type="dxa" w:w="116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Media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STK-05</w:t>
            </w:r>
          </w:p>
        </w:tc>
        <w:tc>
          <w:tcPr>
            <w:tcW w:type="dxa" w:w="22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Verificador de SERVIparq (usuario secundario)</w:t>
            </w:r>
          </w:p>
        </w:tc>
        <w:tc>
          <w:tcPr>
            <w:tcW w:type="dxa" w:w="29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Saber qué vehículo pagó sin discutir con el conductor</w:t>
            </w:r>
          </w:p>
        </w:tc>
        <w:tc>
          <w:tcPr>
            <w:tcW w:type="dxa" w:w="196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Trabajador del negocio</w:t>
            </w:r>
          </w:p>
        </w:tc>
        <w:tc>
          <w:tcPr>
            <w:tcW w:type="dxa" w:w="116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Media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STK-06</w:t>
            </w:r>
          </w:p>
        </w:tc>
        <w:tc>
          <w:tcPr>
            <w:tcW w:type="dxa" w:w="22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Oficiales de tránsito</w:t>
            </w:r>
          </w:p>
        </w:tc>
        <w:tc>
          <w:tcPr>
            <w:tcW w:type="dxa" w:w="29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Levantar multas con evidencia: por norma, solo ellos pueden</w:t>
            </w:r>
          </w:p>
        </w:tc>
        <w:tc>
          <w:tcPr>
            <w:tcW w:type="dxa" w:w="196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Actor de negocio (área de tránsito)</w:t>
            </w:r>
          </w:p>
        </w:tc>
        <w:tc>
          <w:tcPr>
            <w:tcW w:type="dxa" w:w="116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STK-07</w:t>
            </w:r>
          </w:p>
        </w:tc>
        <w:tc>
          <w:tcPr>
            <w:tcW w:type="dxa" w:w="22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Proveedor del parquímetro (fabricante francés)</w:t>
            </w:r>
          </w:p>
        </w:tc>
        <w:tc>
          <w:tcPr>
            <w:tcW w:type="dxa" w:w="29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Que su equipo se use y se mantenga dentro del contrato</w:t>
            </w:r>
          </w:p>
        </w:tc>
        <w:tc>
          <w:tcPr>
            <w:tcW w:type="dxa" w:w="196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Actor de negocio</w:t>
            </w:r>
          </w:p>
        </w:tc>
        <w:tc>
          <w:tcPr>
            <w:tcW w:type="dxa" w:w="116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Media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STK-08</w:t>
            </w:r>
          </w:p>
        </w:tc>
        <w:tc>
          <w:tcPr>
            <w:tcW w:type="dxa" w:w="22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Bancos e iniciativa privada</w:t>
            </w:r>
          </w:p>
        </w:tc>
        <w:tc>
          <w:tcPr>
            <w:tcW w:type="dxa" w:w="29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Procesar pagos electrónicos con comisión</w:t>
            </w:r>
          </w:p>
        </w:tc>
        <w:tc>
          <w:tcPr>
            <w:tcW w:type="dxa" w:w="196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Actor de negocio</w:t>
            </w:r>
          </w:p>
        </w:tc>
        <w:tc>
          <w:tcPr>
            <w:tcW w:type="dxa" w:w="116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Media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STK-09</w:t>
            </w:r>
          </w:p>
        </w:tc>
        <w:tc>
          <w:tcPr>
            <w:tcW w:type="dxa" w:w="22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Smartmedia (consultora de diseño)</w:t>
            </w:r>
          </w:p>
        </w:tc>
        <w:tc>
          <w:tcPr>
            <w:tcW w:type="dxa" w:w="29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Demostrar que su método alcanza los niveles acordados</w:t>
            </w:r>
          </w:p>
        </w:tc>
        <w:tc>
          <w:tcPr>
            <w:tcW w:type="dxa" w:w="196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Stakeholder, no actor</w:t>
            </w:r>
          </w:p>
        </w:tc>
        <w:tc>
          <w:tcPr>
            <w:tcW w:type="dxa" w:w="116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Media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STK-10</w:t>
            </w:r>
          </w:p>
        </w:tc>
        <w:tc>
          <w:tcPr>
            <w:tcW w:type="dxa" w:w="22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Cuidacarros (en el caso, «franeleros»)</w:t>
            </w:r>
          </w:p>
        </w:tc>
        <w:tc>
          <w:tcPr>
            <w:tcW w:type="dxa" w:w="29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Seguir lucrando con el apartado de lugares</w:t>
            </w:r>
          </w:p>
        </w:tc>
        <w:tc>
          <w:tcPr>
            <w:tcW w:type="dxa" w:w="196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Factor externo con interés opuesto</w:t>
            </w:r>
          </w:p>
        </w:tc>
        <w:tc>
          <w:tcPr>
            <w:tcW w:type="dxa" w:w="116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Media en la calle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STK-11</w:t>
            </w:r>
          </w:p>
        </w:tc>
        <w:tc>
          <w:tcPr>
            <w:tcW w:type="dxa" w:w="22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Peatones y personas con discapacidad</w:t>
            </w:r>
          </w:p>
        </w:tc>
        <w:tc>
          <w:tcPr>
            <w:tcW w:type="dxa" w:w="29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Que no se obstruyan accesos, pasos ni rampas</w:t>
            </w:r>
          </w:p>
        </w:tc>
        <w:tc>
          <w:tcPr>
            <w:tcW w:type="dxa" w:w="196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Stakeholder, no actor</w:t>
            </w:r>
          </w:p>
        </w:tc>
        <w:tc>
          <w:tcPr>
            <w:tcW w:type="dxa" w:w="116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Baja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1.3 Las seis problemáticas, con su causa y su perspectiva</w:t>
      </w:r>
    </w:p>
    <w:p>
      <w:pPr>
        <w:keepNext/>
      </w:pPr>
      <w:r>
        <w:rPr>
          <w:b w:val="0"/>
          <w:i w:val="0"/>
          <w:sz w:val="22"/>
        </w:rPr>
        <w:t xml:space="preserve">El caso agrupa las problemáticas según las preguntas de Margarita (1-2 comunidad, 3-5 uso y desempeño, 6 retroalimentación). Aquí se agregan la </w:t>
      </w:r>
      <w:r>
        <w:rPr>
          <w:b/>
          <w:i w:val="0"/>
          <w:sz w:val="22"/>
        </w:rPr>
        <w:t>causa raíz</w:t>
      </w:r>
      <w:r>
        <w:rPr>
          <w:b w:val="0"/>
          <w:i w:val="0"/>
          <w:sz w:val="22"/>
        </w:rPr>
        <w:t xml:space="preserve"> y la </w:t>
      </w:r>
      <w:r>
        <w:rPr>
          <w:b/>
          <w:i w:val="0"/>
          <w:sz w:val="22"/>
        </w:rPr>
        <w:t>perspectiva</w:t>
      </w:r>
      <w:r>
        <w:rPr>
          <w:b w:val="0"/>
          <w:i w:val="0"/>
          <w:sz w:val="22"/>
        </w:rPr>
        <w:t xml:space="preserve"> que la resuelve, porque de eso depende qué tipo de driver genera.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59"/>
      </w:tblPr>
      <w:tblGrid>
        <w:gridCol w:w="1037"/>
        <w:gridCol w:w="2214"/>
        <w:gridCol w:w="2391"/>
        <w:gridCol w:w="1771"/>
        <w:gridCol w:w="1948"/>
      </w:tblGrid>
      <w:tr>
        <w:trPr>
          <w:tblHeader w:val="true"/>
        </w:trPr>
        <w:tc>
          <w:tcPr>
            <w:tcW w:type="dxa" w:w="103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ID</w:t>
            </w:r>
          </w:p>
        </w:tc>
        <w:tc>
          <w:tcPr>
            <w:tcW w:type="dxa" w:w="221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Problemática del diagnóstico</w:t>
            </w:r>
          </w:p>
        </w:tc>
        <w:tc>
          <w:tcPr>
            <w:tcW w:type="dxa" w:w="239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Causa raíz</w:t>
            </w:r>
          </w:p>
        </w:tc>
        <w:tc>
          <w:tcPr>
            <w:tcW w:type="dxa" w:w="177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Perspectiva que la resuelve</w:t>
            </w:r>
          </w:p>
        </w:tc>
        <w:tc>
          <w:tcPr>
            <w:tcW w:type="dxa" w:w="194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Driver que genera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P-01</w:t>
            </w:r>
          </w:p>
        </w:tc>
        <w:tc>
          <w:tcPr>
            <w:tcW w:type="dxa" w:w="221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Inconformidad de vecinos no consultados antes de instalar</w:t>
            </w:r>
          </w:p>
        </w:tc>
        <w:tc>
          <w:tcPr>
            <w:tcW w:type="dxa" w:w="239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El proceso de implementación no tiene un paso de concertación</w:t>
            </w:r>
          </w:p>
        </w:tc>
        <w:tc>
          <w:tcPr>
            <w:tcW w:type="dxa" w:w="177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Ciclo de vida (fase previa) · negocio</w:t>
            </w:r>
          </w:p>
        </w:tc>
        <w:tc>
          <w:tcPr>
            <w:tcW w:type="dxa" w:w="194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CDU-01 · RE-09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P-02</w:t>
            </w:r>
          </w:p>
        </w:tc>
        <w:tc>
          <w:tcPr>
            <w:tcW w:type="dxa" w:w="221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Cuidacarros que siguen cobrando y alteran la tarifa</w:t>
            </w:r>
          </w:p>
        </w:tc>
        <w:tc>
          <w:tcPr>
            <w:tcW w:type="dxa" w:w="239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El pago legítimo es menos visible y menos cómodo que el informal</w:t>
            </w:r>
          </w:p>
        </w:tc>
        <w:tc>
          <w:tcPr>
            <w:tcW w:type="dxa" w:w="177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Información · arquitectura · gobierno</w:t>
            </w:r>
          </w:p>
        </w:tc>
        <w:tc>
          <w:tcPr>
            <w:tcW w:type="dxa" w:w="194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CU-12 · EAC-11 · RE-12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P-03</w:t>
            </w:r>
          </w:p>
        </w:tc>
        <w:tc>
          <w:tcPr>
            <w:tcW w:type="dxa" w:w="22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Quejas por las instrucciones de pago y por pagar solo con monedas</w:t>
            </w:r>
          </w:p>
        </w:tc>
        <w:tc>
          <w:tcPr>
            <w:tcW w:type="dxa" w:w="23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Panel con secuencia ilógica; pago electrónico deshabilitado</w:t>
            </w:r>
          </w:p>
        </w:tc>
        <w:tc>
          <w:tcPr>
            <w:tcW w:type="dxa" w:w="177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Información · arquitectura</w:t>
            </w:r>
          </w:p>
        </w:tc>
        <w:tc>
          <w:tcPr>
            <w:tcW w:type="dxa" w:w="1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CU-04 · CU-06 · EAC-01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P-04</w:t>
            </w:r>
          </w:p>
        </w:tc>
        <w:tc>
          <w:tcPr>
            <w:tcW w:type="dxa" w:w="22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Frustración en el primer uso; no se sabe cómo reclamar una infracción</w:t>
            </w:r>
          </w:p>
        </w:tc>
        <w:tc>
          <w:tcPr>
            <w:tcW w:type="dxa" w:w="23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Falta la etapa «después del uso» en la información</w:t>
            </w:r>
          </w:p>
        </w:tc>
        <w:tc>
          <w:tcPr>
            <w:tcW w:type="dxa" w:w="177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Información · calidad</w:t>
            </w:r>
          </w:p>
        </w:tc>
        <w:tc>
          <w:tcPr>
            <w:tcW w:type="dxa" w:w="1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CU-11 · EAC-02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P-05</w:t>
            </w:r>
          </w:p>
        </w:tc>
        <w:tc>
          <w:tcPr>
            <w:tcW w:type="dxa" w:w="22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Falta personal para supervisar, mantener y multar</w:t>
            </w:r>
          </w:p>
        </w:tc>
        <w:tc>
          <w:tcPr>
            <w:tcW w:type="dxa" w:w="23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Funciones automáticas apagadas; verificación manual por boleto</w:t>
            </w:r>
          </w:p>
        </w:tc>
        <w:tc>
          <w:tcPr>
            <w:tcW w:type="dxa" w:w="177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Arquitectura · calidad</w:t>
            </w:r>
          </w:p>
        </w:tc>
        <w:tc>
          <w:tcPr>
            <w:tcW w:type="dxa" w:w="1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CU-08 · CU-16 · EAC-04 · EAC-07 · RE-08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P-06</w:t>
            </w:r>
          </w:p>
        </w:tc>
        <w:tc>
          <w:tcPr>
            <w:tcW w:type="dxa" w:w="22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El sistema se percibe autoritario y corrupto</w:t>
            </w:r>
          </w:p>
        </w:tc>
        <w:tc>
          <w:tcPr>
            <w:tcW w:type="dxa" w:w="23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Nadie ve a dónde va el dinero</w:t>
            </w:r>
          </w:p>
        </w:tc>
        <w:tc>
          <w:tcPr>
            <w:tcW w:type="dxa" w:w="177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Arquitectura · información</w:t>
            </w:r>
          </w:p>
        </w:tc>
        <w:tc>
          <w:tcPr>
            <w:tcW w:type="dxa" w:w="1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CDU-04 · CU-13 · EAC-09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1.4 Lo que el caso dejó pendiente</w:t>
      </w:r>
    </w:p>
    <w:p>
      <w:pPr>
        <w:pStyle w:val="ListBullet"/>
        <w:spacing w:after="40"/>
      </w:pPr>
      <w:r>
        <w:rPr>
          <w:b/>
          <w:i w:val="0"/>
          <w:sz w:val="20"/>
        </w:rPr>
        <w:t>El diagnóstico fue secundario.</w:t>
      </w:r>
      <w:r>
        <w:rPr>
          <w:b w:val="0"/>
          <w:i w:val="0"/>
          <w:sz w:val="20"/>
        </w:rPr>
        <w:t xml:space="preserve"> Se basó en literatura y expertos; el usuario apareció recién en la etapa de Smartmedia.</w:t>
      </w:r>
    </w:p>
    <w:p>
      <w:pPr>
        <w:pStyle w:val="ListBullet"/>
        <w:spacing w:after="40"/>
      </w:pPr>
      <w:r>
        <w:rPr>
          <w:b/>
          <w:i w:val="0"/>
          <w:sz w:val="20"/>
        </w:rPr>
        <w:t>Las pruebas no fueron en contexto real.</w:t>
      </w:r>
      <w:r>
        <w:rPr>
          <w:b w:val="0"/>
          <w:i w:val="0"/>
          <w:sz w:val="20"/>
        </w:rPr>
        <w:t xml:space="preserve"> El permiso para encuestar en la vía pública no se tramitó, y la primera ronda se grabó solo en audio. Seis participantes por ronda sirven para encontrar fallas, no para medir un porcentaje.</w:t>
      </w:r>
    </w:p>
    <w:p>
      <w:pPr>
        <w:pStyle w:val="ListBullet"/>
        <w:spacing w:after="40"/>
      </w:pPr>
      <w:r>
        <w:rPr>
          <w:b/>
          <w:i w:val="0"/>
          <w:sz w:val="20"/>
        </w:rPr>
        <w:t>Se rediseñó la información de una máquina que sigue siendo «Pay and Display».</w:t>
      </w:r>
      <w:r>
        <w:rPr>
          <w:b w:val="0"/>
          <w:i w:val="0"/>
          <w:sz w:val="20"/>
        </w:rPr>
        <w:t xml:space="preserve"> El boleto en el tablero, origen de la multa injusta citada por un usuario, sigue existiendo.</w:t>
      </w:r>
    </w:p>
    <w:p>
      <w:pPr>
        <w:pStyle w:val="ListBullet"/>
        <w:spacing w:after="40"/>
      </w:pPr>
      <w:r>
        <w:rPr>
          <w:b/>
          <w:i w:val="0"/>
          <w:sz w:val="20"/>
        </w:rPr>
        <w:t>Los problemas 1, 2 y 6 quedaron fuera del alcance de Smartmedia.</w:t>
      </w:r>
      <w:r>
        <w:rPr>
          <w:b w:val="0"/>
          <w:i w:val="0"/>
          <w:sz w:val="20"/>
        </w:rPr>
        <w:t xml:space="preserve"> El cierre convoca a las Delegaciones a un plan de acción, pero el caso no dice cuál.</w:t>
      </w:r>
    </w:p>
    <w:p>
      <w:pPr>
        <w:pStyle w:val="Heading1"/>
        <w:pBdr>
          <w:bottom w:val="single" w:sz="6" w:space="4" w:color="9AA0A6"/>
        </w:pBdr>
      </w:pPr>
      <w:r>
        <w:rPr>
          <w:color w:val="000000"/>
        </w:rPr>
      </w:r>
      <w:r>
        <w:rPr>
          <w:b/>
          <w:i w:val="0"/>
          <w:color w:val="000000"/>
        </w:rPr>
        <w:t>2. Investigación de los tópicos relacionados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2.1 Los tres sistemas que menciona el caso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1872"/>
        <w:gridCol w:w="3370"/>
        <w:gridCol w:w="2246"/>
        <w:gridCol w:w="1872"/>
      </w:tblGrid>
      <w:tr>
        <w:trPr>
          <w:tblHeader w:val="true"/>
        </w:trPr>
        <w:tc>
          <w:tcPr>
            <w:tcW w:type="dxa" w:w="187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Sistema</w:t>
            </w:r>
          </w:p>
        </w:tc>
        <w:tc>
          <w:tcPr>
            <w:tcW w:type="dxa" w:w="337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Cómo funciona</w:t>
            </w:r>
          </w:p>
        </w:tc>
        <w:tc>
          <w:tcPr>
            <w:tcW w:type="dxa" w:w="2246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Qué problemas atacaría</w:t>
            </w:r>
          </w:p>
        </w:tc>
        <w:tc>
          <w:tcPr>
            <w:tcW w:type="dxa" w:w="187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Lo que exige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Pay and Display</w:t>
            </w:r>
            <w:r>
              <w:rPr>
                <w:b w:val="0"/>
                <w:i w:val="0"/>
                <w:sz w:val="18"/>
              </w:rPr>
              <w:t xml:space="preserve"> (el instalado, de origen francés)</w:t>
            </w:r>
          </w:p>
        </w:tc>
        <w:tc>
          <w:tcPr>
            <w:tcW w:type="dxa" w:w="337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 paga con monedas, sale un boleto y se coloca visible en el vehículo. El equipo puede pagar con tarjeta por red inalámbrica, cobrar otros servicios y avisar vandalismo, pero esas funciones se restringieron</w:t>
            </w:r>
          </w:p>
        </w:tc>
        <w:tc>
          <w:tcPr>
            <w:tcW w:type="dxa" w:w="224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Ninguno por sí solo; es el punto de partida</w:t>
            </w:r>
          </w:p>
        </w:tc>
        <w:tc>
          <w:tcPr>
            <w:tcW w:type="dxa" w:w="18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Verificadores que lean boletos uno por uno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San Francisco</w:t>
            </w:r>
            <w:r>
              <w:rPr>
                <w:b w:val="0"/>
                <w:i w:val="0"/>
                <w:sz w:val="18"/>
              </w:rPr>
              <w:t>: sensores por cajón</w:t>
            </w:r>
          </w:p>
        </w:tc>
        <w:tc>
          <w:tcPr>
            <w:tcW w:type="dxa" w:w="337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Sensores avisan si el lugar está ocupado; la tarifa se ajusta a la demanda por hora o por evento</w:t>
            </w:r>
          </w:p>
        </w:tc>
        <w:tc>
          <w:tcPr>
            <w:tcW w:type="dxa" w:w="224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P-05 (supervisión automática) y la meta urbana de rotación</w:t>
            </w:r>
          </w:p>
        </w:tc>
        <w:tc>
          <w:tcPr>
            <w:tcW w:type="dxa" w:w="18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Sensores en cada cajón, datos confiables y una regla de tarifa pública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Seattle</w:t>
            </w:r>
            <w:r>
              <w:rPr>
                <w:b w:val="0"/>
                <w:i w:val="0"/>
                <w:sz w:val="18"/>
              </w:rPr>
              <w:t>: información en web y app</w:t>
            </w:r>
          </w:p>
        </w:tc>
        <w:tc>
          <w:tcPr>
            <w:tcW w:type="dxa" w:w="337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Muestra en tiempo real cajones libres y tiempo de búsqueda por cuadra</w:t>
            </w:r>
          </w:p>
        </w:tc>
        <w:tc>
          <w:tcPr>
            <w:tcW w:type="dxa" w:w="224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P-03 y P-04 (planear antes del uso), parte de P-06</w:t>
            </w:r>
          </w:p>
        </w:tc>
        <w:tc>
          <w:tcPr>
            <w:tcW w:type="dxa" w:w="18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Datos de ocupación y una app que la gente use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2.2 El estacionamiento en la vía pública en Guatemala</w:t>
      </w:r>
    </w:p>
    <w:p>
      <w:pPr>
        <w:keepNext w:val="0"/>
      </w:pPr>
      <w:r>
        <w:rPr>
          <w:b/>
          <w:i w:val="0"/>
          <w:sz w:val="22"/>
        </w:rPr>
        <w:t>Cómo funciona hoy en la capital.</w:t>
      </w:r>
      <w:r>
        <w:rPr>
          <w:b w:val="0"/>
          <w:i w:val="0"/>
          <w:sz w:val="22"/>
        </w:rPr>
        <w:t xml:space="preserve"> La Municipalidad de Guatemala regula el estacionamiento con el </w:t>
      </w:r>
      <w:r>
        <w:rPr>
          <w:b/>
          <w:i w:val="0"/>
          <w:sz w:val="22"/>
        </w:rPr>
        <w:t>Acuerdo COM-40-2022</w:t>
      </w:r>
      <w:r>
        <w:rPr>
          <w:b w:val="0"/>
          <w:i w:val="0"/>
          <w:sz w:val="22"/>
        </w:rPr>
        <w:t xml:space="preserve">, vigente desde el 12 de febrero de 2024. Fija tarifas por vehículo de </w:t>
      </w:r>
      <w:r>
        <w:rPr>
          <w:b/>
          <w:i w:val="0"/>
          <w:sz w:val="22"/>
        </w:rPr>
        <w:t>Q3 por cada 30 minutos o fracción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Q3.50 desde la segunda hora</w:t>
      </w:r>
      <w:r>
        <w:rPr>
          <w:b w:val="0"/>
          <w:i w:val="0"/>
          <w:sz w:val="22"/>
        </w:rPr>
        <w:t xml:space="preserve"> y </w:t>
      </w:r>
      <w:r>
        <w:rPr>
          <w:b/>
          <w:i w:val="0"/>
          <w:sz w:val="22"/>
        </w:rPr>
        <w:t>Q4 desde la cuarta hora</w:t>
      </w:r>
      <w:r>
        <w:rPr>
          <w:b w:val="0"/>
          <w:i w:val="0"/>
          <w:sz w:val="22"/>
        </w:rPr>
        <w:t xml:space="preserve">; motocicletas Q2.50 por hora; carga y descarga Q20 por hora. El cobro rige de 7:00 a 20:00 y la banqueta se pinta por color: blanco para estacionar con o sin parquímetro inteligente, rojo para restricción, amarillo para carga y descarga, azul para taxis y fletes autorizados, y verde para horas valle (La Hora, 20/02/2024). EMETRA anunció en marzo de 2024 parquímetros inteligentes con </w:t>
      </w:r>
      <w:r>
        <w:rPr>
          <w:b/>
          <w:i w:val="0"/>
          <w:sz w:val="22"/>
        </w:rPr>
        <w:t>pago desde una aplicación móvil</w:t>
      </w:r>
      <w:r>
        <w:rPr>
          <w:b w:val="0"/>
          <w:i w:val="0"/>
          <w:sz w:val="22"/>
        </w:rPr>
        <w:t xml:space="preserve"> y </w:t>
      </w:r>
      <w:r>
        <w:rPr>
          <w:b/>
          <w:i w:val="0"/>
          <w:sz w:val="22"/>
        </w:rPr>
        <w:t>estaciones de pago</w:t>
      </w:r>
      <w:r>
        <w:rPr>
          <w:b w:val="0"/>
          <w:i w:val="0"/>
          <w:sz w:val="22"/>
        </w:rPr>
        <w:t xml:space="preserve"> para quien no la tenga, después de pintar las banquetas y retirar los obstáculos (Soy502, 07/03/2024).</w:t>
      </w:r>
    </w:p>
    <w:p>
      <w:pPr>
        <w:keepNext w:val="0"/>
      </w:pPr>
      <w:r>
        <w:rPr>
          <w:b/>
          <w:i w:val="0"/>
          <w:sz w:val="22"/>
        </w:rPr>
        <w:t>Los cobradores ajenos a la municipalidad.</w:t>
      </w:r>
      <w:r>
        <w:rPr>
          <w:b w:val="0"/>
          <w:i w:val="0"/>
          <w:sz w:val="22"/>
        </w:rPr>
        <w:t xml:space="preserve"> En la capital, los llamados «cuidadores de carros» ocupan el espacio público con botes, llantas o sillas y cobran por dejar estacionar. En un solo operativo la Policía Municipal de Tránsito retiró </w:t>
      </w:r>
      <w:r>
        <w:rPr>
          <w:b/>
          <w:i w:val="0"/>
          <w:sz w:val="22"/>
        </w:rPr>
        <w:t>2,500 objetos</w:t>
      </w:r>
      <w:r>
        <w:rPr>
          <w:b w:val="0"/>
          <w:i w:val="0"/>
          <w:sz w:val="22"/>
        </w:rPr>
        <w:t xml:space="preserve">; la municipalidad recordó que una persona ajena no puede cobrar por estacionar en la vía pública, que esa conducta podría considerarse </w:t>
      </w:r>
      <w:r>
        <w:rPr>
          <w:b/>
          <w:i w:val="0"/>
          <w:sz w:val="22"/>
        </w:rPr>
        <w:t>extorsión</w:t>
      </w:r>
      <w:r>
        <w:rPr>
          <w:b w:val="0"/>
          <w:i w:val="0"/>
          <w:sz w:val="22"/>
        </w:rPr>
        <w:t xml:space="preserve">, y habilitó la </w:t>
      </w:r>
      <w:r>
        <w:rPr>
          <w:b/>
          <w:i w:val="0"/>
          <w:sz w:val="22"/>
        </w:rPr>
        <w:t>línea 1551</w:t>
      </w:r>
      <w:r>
        <w:rPr>
          <w:b w:val="0"/>
          <w:i w:val="0"/>
          <w:sz w:val="22"/>
        </w:rPr>
        <w:t xml:space="preserve"> para denunciar (Emisoras Unidas, 27/02/2023). Los relatos incluyen agresiones a quien no paga (La Hora, 20/02/2024). El 27 de abril de 2026, alrededor del zoológico La Aurora (zona 13), el Ministerio Público identificó a </w:t>
      </w:r>
      <w:r>
        <w:rPr>
          <w:b/>
          <w:i w:val="0"/>
          <w:sz w:val="22"/>
        </w:rPr>
        <w:t>33 personas</w:t>
      </w:r>
      <w:r>
        <w:rPr>
          <w:b w:val="0"/>
          <w:i w:val="0"/>
          <w:sz w:val="22"/>
        </w:rPr>
        <w:t xml:space="preserve"> que cobraban entre </w:t>
      </w:r>
      <w:r>
        <w:rPr>
          <w:b/>
          <w:i w:val="0"/>
          <w:sz w:val="22"/>
        </w:rPr>
        <w:t>Q35 y US$50</w:t>
      </w:r>
      <w:r>
        <w:rPr>
          <w:b w:val="0"/>
          <w:i w:val="0"/>
          <w:sz w:val="22"/>
        </w:rPr>
        <w:t xml:space="preserve"> a turistas, algunas haciéndose pasar por empleados (Emisoras Unidas, 27/04/2026).</w:t>
      </w:r>
    </w:p>
    <w:p>
      <w:pPr>
        <w:keepNext w:val="0"/>
      </w:pPr>
      <w:r>
        <w:rPr>
          <w:b/>
          <w:i w:val="0"/>
          <w:sz w:val="22"/>
        </w:rPr>
        <w:t>El caso de Antigua Guatemala.</w:t>
      </w:r>
      <w:r>
        <w:rPr>
          <w:b w:val="0"/>
          <w:i w:val="0"/>
          <w:sz w:val="22"/>
        </w:rPr>
        <w:t xml:space="preserve"> La municipalidad cobra el estacionamiento con un marbete digital, </w:t>
      </w:r>
      <w:r>
        <w:rPr>
          <w:b/>
          <w:i w:val="0"/>
          <w:sz w:val="22"/>
        </w:rPr>
        <w:t>MarbEx</w:t>
      </w:r>
      <w:r>
        <w:rPr>
          <w:b w:val="0"/>
          <w:i w:val="0"/>
          <w:sz w:val="22"/>
        </w:rPr>
        <w:t xml:space="preserve">, apoyado en una base de datos de placas. Sus ingresos por estacionamiento pasaron de </w:t>
      </w:r>
      <w:r>
        <w:rPr>
          <w:b/>
          <w:i w:val="0"/>
          <w:sz w:val="22"/>
        </w:rPr>
        <w:t>Q7.07 millones en 2024 a Q12.31 millones en 2025</w:t>
      </w:r>
      <w:r>
        <w:rPr>
          <w:b w:val="0"/>
          <w:i w:val="0"/>
          <w:sz w:val="22"/>
        </w:rPr>
        <w:t xml:space="preserve"> (La Hora, 21/05/2026). La Corte de Constitucionalidad suspendió provisionalmente el 19 de mayo de 2026 los artículos que definían quién cobra y </w:t>
      </w:r>
      <w:r>
        <w:rPr>
          <w:b/>
          <w:i w:val="0"/>
          <w:sz w:val="22"/>
        </w:rPr>
        <w:t>la base de datos de placas</w:t>
      </w:r>
      <w:r>
        <w:rPr>
          <w:b w:val="0"/>
          <w:i w:val="0"/>
          <w:sz w:val="22"/>
        </w:rPr>
        <w:t xml:space="preserve"> (expediente 3595-2026). La municipalidad publicó un reglamento nuevo el 9 de junio de 2026, y en julio la Corte suspendió también su artículo 11, que imponía una </w:t>
      </w:r>
      <w:r>
        <w:rPr>
          <w:b/>
          <w:i w:val="0"/>
          <w:sz w:val="22"/>
        </w:rPr>
        <w:t>multa de Q500</w:t>
      </w:r>
      <w:r>
        <w:rPr>
          <w:b w:val="0"/>
          <w:i w:val="0"/>
          <w:sz w:val="22"/>
        </w:rPr>
        <w:t xml:space="preserve"> por no pagar el marbete (expediente 5643-2026; La Hora, 23/07/2026). La gobernación departamental y la municipalidad firmaron además una carta de entendimiento para recuperar el espacio ocupado por cuidadores (entre 30 y 100 según el día), con un protocolo que incluye a la Procuraduría de los Derechos Humanos (Prensa Libre, 12/10/2017).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2.3 Lo que estos hechos le enseñan a la solución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59"/>
      </w:tblPr>
      <w:tblGrid>
        <w:gridCol w:w="3089"/>
        <w:gridCol w:w="4399"/>
        <w:gridCol w:w="1872"/>
      </w:tblGrid>
      <w:tr>
        <w:trPr>
          <w:tblHeader w:val="true"/>
        </w:trPr>
        <w:tc>
          <w:tcPr>
            <w:tcW w:type="dxa" w:w="308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Hecho</w:t>
            </w:r>
          </w:p>
        </w:tc>
        <w:tc>
          <w:tcPr>
            <w:tcW w:type="dxa" w:w="439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Lección para la arquitectura</w:t>
            </w:r>
          </w:p>
        </w:tc>
        <w:tc>
          <w:tcPr>
            <w:tcW w:type="dxa" w:w="187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Dónde se aplica</w:t>
            </w:r>
          </w:p>
        </w:tc>
      </w:tr>
      <w:tr>
        <w:trPr>
          <w:cantSplit/>
        </w:trPr>
        <w:tc>
          <w:tcPr>
            <w:tcW w:type="dxa" w:w="30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Los cuidadores cobran porque el pago legítimo es invisible o incómodo</w:t>
            </w:r>
          </w:p>
        </w:tc>
        <w:tc>
          <w:tcPr>
            <w:tcW w:type="dxa" w:w="439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El sistema tiene que ganarle al cobro informal en visibilidad y facilidad, no solo prohibirlo</w:t>
            </w:r>
          </w:p>
        </w:tc>
        <w:tc>
          <w:tcPr>
            <w:tcW w:type="dxa" w:w="187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§5.4 · §5.5 · CU-12</w:t>
            </w:r>
          </w:p>
        </w:tc>
      </w:tr>
      <w:tr>
        <w:trPr>
          <w:cantSplit/>
        </w:trPr>
        <w:tc>
          <w:tcPr>
            <w:tcW w:type="dxa" w:w="30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La Corte suspendió justamente la base de datos de placas de MarbEx</w:t>
            </w:r>
          </w:p>
        </w:tc>
        <w:tc>
          <w:tcPr>
            <w:tcW w:type="dxa" w:w="439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Una base de placas necesita fundamento legal explícito y protección de datos desde el diseño</w:t>
            </w:r>
          </w:p>
        </w:tc>
        <w:tc>
          <w:tcPr>
            <w:tcW w:type="dxa" w:w="187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RE-04 · EAC-06</w:t>
            </w:r>
          </w:p>
        </w:tc>
      </w:tr>
      <w:tr>
        <w:trPr>
          <w:cantSplit/>
        </w:trPr>
        <w:tc>
          <w:tcPr>
            <w:tcW w:type="dxa" w:w="30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La Corte suspendió la multa de Q500</w:t>
            </w:r>
          </w:p>
        </w:tc>
        <w:tc>
          <w:tcPr>
            <w:tcW w:type="dxa" w:w="439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La sanción tiene que salir de quien la norma faculta y con evidencia verificable</w:t>
            </w:r>
          </w:p>
        </w:tc>
        <w:tc>
          <w:tcPr>
            <w:tcW w:type="dxa" w:w="18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RE-03 · EAC-05 · CU-10</w:t>
            </w:r>
          </w:p>
        </w:tc>
      </w:tr>
      <w:tr>
        <w:trPr>
          <w:cantSplit/>
        </w:trPr>
        <w:tc>
          <w:tcPr>
            <w:tcW w:type="dxa" w:w="30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La recaudación de Antigua casi se duplicó en un año</w:t>
            </w:r>
          </w:p>
        </w:tc>
        <w:tc>
          <w:tcPr>
            <w:tcW w:type="dxa" w:w="439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Lo que se cobra se puede medir y publicar: es la respuesta a P-06</w:t>
            </w:r>
          </w:p>
        </w:tc>
        <w:tc>
          <w:tcPr>
            <w:tcW w:type="dxa" w:w="18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CDU-04 · EAC-09</w:t>
            </w:r>
          </w:p>
        </w:tc>
      </w:tr>
      <w:tr>
        <w:trPr>
          <w:cantSplit/>
        </w:trPr>
        <w:tc>
          <w:tcPr>
            <w:tcW w:type="dxa" w:w="30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EMETRA planea app más estaciones de pago</w:t>
            </w:r>
          </w:p>
        </w:tc>
        <w:tc>
          <w:tcPr>
            <w:tcW w:type="dxa" w:w="439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La misma combinación que propone este documento: canal digital sin dejar fuera a quien no tiene teléfono</w:t>
            </w:r>
          </w:p>
        </w:tc>
        <w:tc>
          <w:tcPr>
            <w:tcW w:type="dxa" w:w="18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S-2 · §5.1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6" w:space="4" w:color="9AA0A6"/>
        </w:pBdr>
      </w:pPr>
      <w:r>
        <w:rPr>
          <w:color w:val="000000"/>
        </w:rPr>
      </w:r>
      <w:r>
        <w:rPr>
          <w:b/>
          <w:i w:val="0"/>
          <w:color w:val="000000"/>
        </w:rPr>
        <w:t>3. Caso de negocio y drivers: los insumos de la arquitectura</w:t>
      </w:r>
    </w:p>
    <w:p>
      <w:pPr>
        <w:keepNext w:val="0"/>
      </w:pPr>
      <w:r>
        <w:rPr>
          <w:b w:val="0"/>
          <w:i w:val="0"/>
          <w:sz w:val="22"/>
        </w:rPr>
        <w:t xml:space="preserve">Antes de proponer una solución se delimita el negocio (el </w:t>
      </w:r>
      <w:r>
        <w:rPr>
          <w:b/>
          <w:i w:val="0"/>
          <w:sz w:val="22"/>
        </w:rPr>
        <w:t>paso 0</w:t>
      </w:r>
      <w:r>
        <w:rPr>
          <w:b w:val="0"/>
          <w:i w:val="0"/>
          <w:sz w:val="22"/>
        </w:rPr>
        <w:t xml:space="preserve"> del método de clase) y se identifican los </w:t>
      </w:r>
      <w:r>
        <w:rPr>
          <w:b/>
          <w:i w:val="0"/>
          <w:sz w:val="22"/>
        </w:rPr>
        <w:t>drivers arquitectónicos</w:t>
      </w:r>
      <w:r>
        <w:rPr>
          <w:b w:val="0"/>
          <w:i w:val="0"/>
          <w:sz w:val="22"/>
        </w:rPr>
        <w:t>: los factores críticos que guían el diseño, en sus tres tipos de clase: funcionales (casos de uso), de calidad (escenarios con medida) y de restricción (condiciones impuestas desde afuera).</w:t>
      </w:r>
    </w:p>
    <w:p>
      <w:pPr>
        <w:sectPr>
          <w:foot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3.1 Diagrama de contexto</w:t>
      </w:r>
    </w:p>
    <w:p>
      <w:pPr>
        <w:keepNext w:val="0"/>
      </w:pPr>
      <w:r>
        <w:rPr>
          <w:b/>
          <w:i w:val="0"/>
          <w:sz w:val="22"/>
        </w:rPr>
        <w:t>El Producto</w:t>
      </w:r>
      <w:r>
        <w:rPr>
          <w:b w:val="0"/>
          <w:i w:val="0"/>
          <w:sz w:val="22"/>
        </w:rPr>
        <w:t xml:space="preserve"> es el software SIEP. Notación de clase: la </w:t>
      </w:r>
      <w:r>
        <w:rPr>
          <w:b/>
          <w:i w:val="0"/>
          <w:sz w:val="22"/>
        </w:rPr>
        <w:t>elipse</w:t>
      </w:r>
      <w:r>
        <w:rPr>
          <w:b w:val="0"/>
          <w:i w:val="0"/>
          <w:sz w:val="22"/>
        </w:rPr>
        <w:t xml:space="preserve"> es El Producto, cada </w:t>
      </w:r>
      <w:r>
        <w:rPr>
          <w:b/>
          <w:i w:val="0"/>
          <w:sz w:val="22"/>
        </w:rPr>
        <w:t>rectángulo</w:t>
      </w:r>
      <w:r>
        <w:rPr>
          <w:b w:val="0"/>
          <w:i w:val="0"/>
          <w:sz w:val="22"/>
        </w:rPr>
        <w:t xml:space="preserve"> una entidad o agente externo y cada </w:t>
      </w:r>
      <w:r>
        <w:rPr>
          <w:b/>
          <w:i w:val="0"/>
          <w:sz w:val="22"/>
        </w:rPr>
        <w:t>flecha</w:t>
      </w:r>
      <w:r>
        <w:rPr>
          <w:b w:val="0"/>
          <w:i w:val="0"/>
          <w:sz w:val="22"/>
        </w:rPr>
        <w:t xml:space="preserve"> un flujo con nombre, en sustantivo. Son diez entidades y diecinueve flujos.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675120" cy="44574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o-parq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4457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1. Diagrama de contexto de SIEP: diez entidades y diecinueve flujos.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13535"/>
      </w:tblPr>
      <w:tblGrid>
        <w:gridCol w:w="4873"/>
        <w:gridCol w:w="4332"/>
        <w:gridCol w:w="4332"/>
      </w:tblGrid>
      <w:tr>
        <w:trPr>
          <w:tblHeader w:val="true"/>
        </w:trPr>
        <w:tc>
          <w:tcPr>
            <w:tcW w:type="dxa" w:w="4873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Entidad</w:t>
            </w:r>
          </w:p>
        </w:tc>
        <w:tc>
          <w:tcPr>
            <w:tcW w:type="dxa" w:w="433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Entrega a SIEP</w:t>
            </w:r>
          </w:p>
        </w:tc>
        <w:tc>
          <w:tcPr>
            <w:tcW w:type="dxa" w:w="433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Recibe de SIEP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Conductor (usuario primario)</w:t>
            </w:r>
          </w:p>
        </w:tc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Placa, pago y reclamos</w:t>
            </w:r>
          </w:p>
        </w:tc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Comprobante y aviso de tiempo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Comité vecinal de transparencia</w:t>
            </w:r>
          </w:p>
        </w:tc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Opinión y reportes</w:t>
            </w:r>
          </w:p>
        </w:tc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Informe de recursos 70/30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Delegación (municipalidad)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Reglamento, zonas y tarifas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Recaudación e indicadores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Verificador de SERVIparq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Evidencia de infracción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Placas sin pago vigente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Oficial de tránsito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Multa confirmada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Infracción por confirmar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Banco y pasarela de pagos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Autorización del cobro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Solicitud de cobro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Proveedor de parquímetros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Reparación realizada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Orden de mantenimiento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Parquímetro (equipo en la calle)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Pagos y telemetría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Tarifas y configuración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Registro vehicular (padrón de placas)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Datos del vehículo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Ninguno: solo se consulta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Sistema de multas de tránsito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Estado de la multa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Multa registrada</w:t>
            </w:r>
          </w:p>
        </w:tc>
      </w:tr>
    </w:tbl>
    <w:p>
      <w:pPr>
        <w:spacing w:after="40"/>
      </w:pPr>
    </w:p>
    <w:p>
      <w:pPr>
        <w:sectPr>
          <w:footerReference w:type="default" r:id="rId11"/>
          <w:pgSz w:w="15840" w:h="12240" w:orient="landscape"/>
          <w:pgMar w:top="1008" w:right="1152" w:bottom="1008" w:left="1152" w:header="720" w:footer="720" w:gutter="0"/>
          <w:cols w:space="720"/>
          <w:docGrid w:linePitch="360"/>
        </w:sectPr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3.2 CDU de alto nivel (core) y primera descomposición</w:t>
      </w:r>
    </w:p>
    <w:p>
      <w:pPr>
        <w:keepNext w:val="0"/>
      </w:pPr>
      <w:r>
        <w:rPr>
          <w:b w:val="0"/>
          <w:i w:val="0"/>
          <w:sz w:val="22"/>
        </w:rPr>
        <w:t xml:space="preserve">El core lleva </w:t>
      </w:r>
      <w:r>
        <w:rPr>
          <w:b/>
          <w:i w:val="0"/>
          <w:sz w:val="22"/>
        </w:rPr>
        <w:t>una sola elipse</w:t>
      </w:r>
      <w:r>
        <w:rPr>
          <w:b w:val="0"/>
          <w:i w:val="0"/>
          <w:sz w:val="22"/>
        </w:rPr>
        <w:t xml:space="preserve"> con el nombre del negocio y todos sus actores alrededor; la descomposición, </w:t>
      </w:r>
      <w:r>
        <w:rPr>
          <w:b/>
          <w:i w:val="0"/>
          <w:sz w:val="22"/>
        </w:rPr>
        <w:t>un solo diagrama</w:t>
      </w:r>
      <w:r>
        <w:rPr>
          <w:b w:val="0"/>
          <w:i w:val="0"/>
          <w:sz w:val="22"/>
        </w:rPr>
        <w:t xml:space="preserve"> con cinco procesos y </w:t>
      </w:r>
      <w:r>
        <w:rPr>
          <w:b/>
          <w:i w:val="0"/>
          <w:sz w:val="22"/>
        </w:rPr>
        <w:t>el mismo juego de actores</w:t>
      </w:r>
      <w:r>
        <w:rPr>
          <w:b w:val="0"/>
          <w:i w:val="0"/>
          <w:sz w:val="22"/>
        </w:rPr>
        <w:t>. Notación de negocio: actor y caso de uso con su barra diagonal. Las asociaciones van sin punta porque la comunicación se inicia en los dos sentidos.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2808"/>
        <w:gridCol w:w="1498"/>
        <w:gridCol w:w="1872"/>
        <w:gridCol w:w="3182"/>
      </w:tblGrid>
      <w:tr>
        <w:trPr>
          <w:tblHeader w:val="true"/>
        </w:trPr>
        <w:tc>
          <w:tcPr>
            <w:tcW w:type="dxa" w:w="280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Proceso de negocio</w:t>
            </w:r>
          </w:p>
        </w:tc>
        <w:tc>
          <w:tcPr>
            <w:tcW w:type="dxa" w:w="149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Problemáticas que atiende</w:t>
            </w:r>
          </w:p>
        </w:tc>
        <w:tc>
          <w:tcPr>
            <w:tcW w:type="dxa" w:w="187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Actores</w:t>
            </w:r>
          </w:p>
        </w:tc>
        <w:tc>
          <w:tcPr>
            <w:tcW w:type="dxa" w:w="318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Resultado de valor</w:t>
            </w:r>
          </w:p>
        </w:tc>
      </w:tr>
      <w:tr>
        <w:trPr>
          <w:cantSplit/>
        </w:trPr>
        <w:tc>
          <w:tcPr>
            <w:tcW w:type="dxa" w:w="2808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CDU-01</w:t>
            </w:r>
            <w:r>
              <w:rPr>
                <w:b w:val="0"/>
                <w:i w:val="0"/>
                <w:sz w:val="18"/>
              </w:rPr>
              <w:t xml:space="preserve"> Concertar e implementar la zona con la comunidad</w:t>
            </w:r>
          </w:p>
        </w:tc>
        <w:tc>
          <w:tcPr>
            <w:tcW w:type="dxa" w:w="149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P-01 · P-02</w:t>
            </w:r>
          </w:p>
        </w:tc>
        <w:tc>
          <w:tcPr>
            <w:tcW w:type="dxa" w:w="187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Delegación · Comité vecinal</w:t>
            </w:r>
          </w:p>
        </w:tc>
        <w:tc>
          <w:tcPr>
            <w:tcW w:type="dxa" w:w="318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Una zona instalada con acuerdo vecinal, señalizada y con tarifa publicada</w:t>
            </w:r>
          </w:p>
        </w:tc>
      </w:tr>
      <w:tr>
        <w:trPr>
          <w:cantSplit/>
        </w:trPr>
        <w:tc>
          <w:tcPr>
            <w:tcW w:type="dxa" w:w="2808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CDU-02</w:t>
            </w:r>
            <w:r>
              <w:rPr>
                <w:b w:val="0"/>
                <w:i w:val="0"/>
                <w:sz w:val="18"/>
              </w:rPr>
              <w:t xml:space="preserve"> Cobrar el estacionamiento por placa</w:t>
            </w:r>
          </w:p>
        </w:tc>
        <w:tc>
          <w:tcPr>
            <w:tcW w:type="dxa" w:w="149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P-03 · P-04</w:t>
            </w:r>
          </w:p>
        </w:tc>
        <w:tc>
          <w:tcPr>
            <w:tcW w:type="dxa" w:w="187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Conductor · Banco</w:t>
            </w:r>
          </w:p>
        </w:tc>
        <w:tc>
          <w:tcPr>
            <w:tcW w:type="dxa" w:w="318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Un pago registrado a la placa, por el medio que el conductor tenga</w:t>
            </w:r>
          </w:p>
        </w:tc>
      </w:tr>
      <w:tr>
        <w:trPr>
          <w:cantSplit/>
        </w:trPr>
        <w:tc>
          <w:tcPr>
            <w:tcW w:type="dxa" w:w="280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CDU-03</w:t>
            </w:r>
            <w:r>
              <w:rPr>
                <w:b w:val="0"/>
                <w:i w:val="0"/>
                <w:sz w:val="18"/>
              </w:rPr>
              <w:t xml:space="preserve"> Verificar el pago y sancionar</w:t>
            </w:r>
          </w:p>
        </w:tc>
        <w:tc>
          <w:tcPr>
            <w:tcW w:type="dxa" w:w="149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P-04 · P-05 · P-02</w:t>
            </w:r>
          </w:p>
        </w:tc>
        <w:tc>
          <w:tcPr>
            <w:tcW w:type="dxa" w:w="18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Oficial de tránsito · Conductor</w:t>
            </w:r>
          </w:p>
        </w:tc>
        <w:tc>
          <w:tcPr>
            <w:tcW w:type="dxa" w:w="318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Una infracción justa, con evidencia, y un reclamo que se puede seguir</w:t>
            </w:r>
          </w:p>
        </w:tc>
      </w:tr>
      <w:tr>
        <w:trPr>
          <w:cantSplit/>
        </w:trPr>
        <w:tc>
          <w:tcPr>
            <w:tcW w:type="dxa" w:w="280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CDU-04</w:t>
            </w:r>
            <w:r>
              <w:rPr>
                <w:b w:val="0"/>
                <w:i w:val="0"/>
                <w:sz w:val="18"/>
              </w:rPr>
              <w:t xml:space="preserve"> Rendir cuentas de los recursos a la comunidad</w:t>
            </w:r>
          </w:p>
        </w:tc>
        <w:tc>
          <w:tcPr>
            <w:tcW w:type="dxa" w:w="149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P-06</w:t>
            </w:r>
          </w:p>
        </w:tc>
        <w:tc>
          <w:tcPr>
            <w:tcW w:type="dxa" w:w="18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Comité vecinal</w:t>
            </w:r>
          </w:p>
        </w:tc>
        <w:tc>
          <w:tcPr>
            <w:tcW w:type="dxa" w:w="318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La comunidad sabe cuánto se recaudó y en qué se invirtió el 30 %</w:t>
            </w:r>
          </w:p>
        </w:tc>
      </w:tr>
      <w:tr>
        <w:trPr>
          <w:cantSplit/>
        </w:trPr>
        <w:tc>
          <w:tcPr>
            <w:tcW w:type="dxa" w:w="280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CDU-05</w:t>
            </w:r>
            <w:r>
              <w:rPr>
                <w:b w:val="0"/>
                <w:i w:val="0"/>
                <w:sz w:val="18"/>
              </w:rPr>
              <w:t xml:space="preserve"> Mantener y monitorear la red de parquímetros</w:t>
            </w:r>
          </w:p>
        </w:tc>
        <w:tc>
          <w:tcPr>
            <w:tcW w:type="dxa" w:w="149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P-05</w:t>
            </w:r>
          </w:p>
        </w:tc>
        <w:tc>
          <w:tcPr>
            <w:tcW w:type="dxa" w:w="18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Proveedor de parquímetros</w:t>
            </w:r>
          </w:p>
        </w:tc>
        <w:tc>
          <w:tcPr>
            <w:tcW w:type="dxa" w:w="318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Equipos funcionando y vandalismo atendido sin más personal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5745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u-core-parq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74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2. CDU core: el negocio y sus seis actores.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41843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u-descomposicion-parq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18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3. Primera descomposición: cinco procesos de negocio.</w:t>
      </w:r>
    </w:p>
    <w:p>
      <w:pPr>
        <w:keepNext w:val="0"/>
      </w:pPr>
      <w:r>
        <w:rPr>
          <w:b/>
          <w:i w:val="0"/>
          <w:sz w:val="22"/>
        </w:rPr>
        <w:t>Trabajadores del negocio</w:t>
      </w:r>
      <w:r>
        <w:rPr>
          <w:b w:val="0"/>
          <w:i w:val="0"/>
          <w:sz w:val="22"/>
        </w:rPr>
        <w:t xml:space="preserve"> (dentro de la frontera): verificador, técnico de campo, operador de la central de monitoreo, gestor comunitario y analista de transparencia. Siguiendo la regla de clase, </w:t>
      </w:r>
      <w:r>
        <w:rPr>
          <w:b/>
          <w:i w:val="0"/>
          <w:sz w:val="22"/>
        </w:rPr>
        <w:t>las áreas son actores y las personas son trabajadores</w:t>
      </w:r>
      <w:r>
        <w:rPr>
          <w:b w:val="0"/>
          <w:i w:val="0"/>
          <w:sz w:val="22"/>
        </w:rPr>
        <w:t>: el oficial de tránsito entra como el área que la norma faculta para multar.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3.3 Drivers funcionales (casos de uso del sistema)</w:t>
      </w:r>
    </w:p>
    <w:p>
      <w:pPr>
        <w:keepNext/>
      </w:pPr>
      <w:r>
        <w:rPr>
          <w:b w:val="0"/>
          <w:i w:val="0"/>
          <w:sz w:val="22"/>
        </w:rPr>
        <w:t>Diecinueve casos de uso. Ninguno se llama crear, editar, eliminar o consultar: cada uno deja al actor con un resultado completo. Los de apoyo son los incluidos por particionamiento, que por convenio de clase no llevan actor.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59"/>
      </w:tblPr>
      <w:tblGrid>
        <w:gridCol w:w="1037"/>
        <w:gridCol w:w="3580"/>
        <w:gridCol w:w="805"/>
        <w:gridCol w:w="2685"/>
        <w:gridCol w:w="1253"/>
      </w:tblGrid>
      <w:tr>
        <w:trPr>
          <w:tblHeader w:val="true"/>
        </w:trPr>
        <w:tc>
          <w:tcPr>
            <w:tcW w:type="dxa" w:w="103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ID</w:t>
            </w:r>
          </w:p>
        </w:tc>
        <w:tc>
          <w:tcPr>
            <w:tcW w:type="dxa" w:w="358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Caso de uso</w:t>
            </w:r>
          </w:p>
        </w:tc>
        <w:tc>
          <w:tcPr>
            <w:tcW w:type="dxa" w:w="80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Proceso</w:t>
            </w:r>
          </w:p>
        </w:tc>
        <w:tc>
          <w:tcPr>
            <w:tcW w:type="dxa" w:w="268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Actor que lo inicia</w:t>
            </w:r>
          </w:p>
        </w:tc>
        <w:tc>
          <w:tcPr>
            <w:tcW w:type="dxa" w:w="1253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Problemática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CU-01</w:t>
            </w:r>
          </w:p>
        </w:tc>
        <w:tc>
          <w:tcPr>
            <w:tcW w:type="dxa" w:w="358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Registrar la consulta vecinal de una zona</w:t>
            </w:r>
          </w:p>
        </w:tc>
        <w:tc>
          <w:tcPr>
            <w:tcW w:type="dxa" w:w="80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CDU-01</w:t>
            </w:r>
          </w:p>
        </w:tc>
        <w:tc>
          <w:tcPr>
            <w:tcW w:type="dxa" w:w="268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Gestor comunitario</w:t>
            </w:r>
          </w:p>
        </w:tc>
        <w:tc>
          <w:tcPr>
            <w:tcW w:type="dxa" w:w="125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P-01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CU-02</w:t>
            </w:r>
          </w:p>
        </w:tc>
        <w:tc>
          <w:tcPr>
            <w:tcW w:type="dxa" w:w="358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Configurar zona, cajones, horario y tarifa</w:t>
            </w:r>
          </w:p>
        </w:tc>
        <w:tc>
          <w:tcPr>
            <w:tcW w:type="dxa" w:w="80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CDU-01</w:t>
            </w:r>
          </w:p>
        </w:tc>
        <w:tc>
          <w:tcPr>
            <w:tcW w:type="dxa" w:w="268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Delegación</w:t>
            </w:r>
          </w:p>
        </w:tc>
        <w:tc>
          <w:tcPr>
            <w:tcW w:type="dxa" w:w="125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P-01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CU-03</w:t>
            </w:r>
          </w:p>
        </w:tc>
        <w:tc>
          <w:tcPr>
            <w:tcW w:type="dxa" w:w="35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Publicar el mapa y las reglas de la zona</w:t>
            </w:r>
          </w:p>
        </w:tc>
        <w:tc>
          <w:tcPr>
            <w:tcW w:type="dxa" w:w="80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CDU-01</w:t>
            </w:r>
          </w:p>
        </w:tc>
        <w:tc>
          <w:tcPr>
            <w:tcW w:type="dxa" w:w="268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Conductor (consulta) · Comité vecinal</w:t>
            </w:r>
          </w:p>
        </w:tc>
        <w:tc>
          <w:tcPr>
            <w:tcW w:type="dxa" w:w="12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P-03 · P-04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CU-04</w:t>
            </w:r>
          </w:p>
        </w:tc>
        <w:tc>
          <w:tcPr>
            <w:tcW w:type="dxa" w:w="35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Pagar el estacionamiento por placa</w:t>
            </w:r>
          </w:p>
        </w:tc>
        <w:tc>
          <w:tcPr>
            <w:tcW w:type="dxa" w:w="80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CDU-02</w:t>
            </w:r>
          </w:p>
        </w:tc>
        <w:tc>
          <w:tcPr>
            <w:tcW w:type="dxa" w:w="268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Conductor</w:t>
            </w:r>
          </w:p>
        </w:tc>
        <w:tc>
          <w:tcPr>
            <w:tcW w:type="dxa" w:w="12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P-03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CU-05</w:t>
            </w:r>
          </w:p>
        </w:tc>
        <w:tc>
          <w:tcPr>
            <w:tcW w:type="dxa" w:w="35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Calcular tarifa y tiempo máximo de la zona</w:t>
            </w:r>
          </w:p>
        </w:tc>
        <w:tc>
          <w:tcPr>
            <w:tcW w:type="dxa" w:w="80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CDU-02</w:t>
            </w:r>
          </w:p>
        </w:tc>
        <w:tc>
          <w:tcPr>
            <w:tcW w:type="dxa" w:w="268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 apoyo («include»)</w:t>
            </w:r>
          </w:p>
        </w:tc>
        <w:tc>
          <w:tcPr>
            <w:tcW w:type="dxa" w:w="12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P-03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CU-06</w:t>
            </w:r>
          </w:p>
        </w:tc>
        <w:tc>
          <w:tcPr>
            <w:tcW w:type="dxa" w:w="35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Autorizar el pago con tarjeta o billetera</w:t>
            </w:r>
          </w:p>
        </w:tc>
        <w:tc>
          <w:tcPr>
            <w:tcW w:type="dxa" w:w="80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CDU-02</w:t>
            </w:r>
          </w:p>
        </w:tc>
        <w:tc>
          <w:tcPr>
            <w:tcW w:type="dxa" w:w="268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Banco y pasarela</w:t>
            </w:r>
          </w:p>
        </w:tc>
        <w:tc>
          <w:tcPr>
            <w:tcW w:type="dxa" w:w="12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P-03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CU-07</w:t>
            </w:r>
          </w:p>
        </w:tc>
        <w:tc>
          <w:tcPr>
            <w:tcW w:type="dxa" w:w="35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Avisar el vencimiento y extender el tiempo</w:t>
            </w:r>
          </w:p>
        </w:tc>
        <w:tc>
          <w:tcPr>
            <w:tcW w:type="dxa" w:w="80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CDU-02</w:t>
            </w:r>
          </w:p>
        </w:tc>
        <w:tc>
          <w:tcPr>
            <w:tcW w:type="dxa" w:w="268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Conductor</w:t>
            </w:r>
          </w:p>
        </w:tc>
        <w:tc>
          <w:tcPr>
            <w:tcW w:type="dxa" w:w="12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P-04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CU-19</w:t>
            </w:r>
          </w:p>
        </w:tc>
        <w:tc>
          <w:tcPr>
            <w:tcW w:type="dxa" w:w="35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Registrar la sesión de estacionamiento</w:t>
            </w:r>
          </w:p>
        </w:tc>
        <w:tc>
          <w:tcPr>
            <w:tcW w:type="dxa" w:w="80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CDU-02</w:t>
            </w:r>
          </w:p>
        </w:tc>
        <w:tc>
          <w:tcPr>
            <w:tcW w:type="dxa" w:w="268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 apoyo («include»)</w:t>
            </w:r>
          </w:p>
        </w:tc>
        <w:tc>
          <w:tcPr>
            <w:tcW w:type="dxa" w:w="12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P-05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CU-08</w:t>
            </w:r>
          </w:p>
        </w:tc>
        <w:tc>
          <w:tcPr>
            <w:tcW w:type="dxa" w:w="35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Verificar el pago por placa en la cuadra</w:t>
            </w:r>
          </w:p>
        </w:tc>
        <w:tc>
          <w:tcPr>
            <w:tcW w:type="dxa" w:w="80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CDU-03</w:t>
            </w:r>
          </w:p>
        </w:tc>
        <w:tc>
          <w:tcPr>
            <w:tcW w:type="dxa" w:w="268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Verificador</w:t>
            </w:r>
          </w:p>
        </w:tc>
        <w:tc>
          <w:tcPr>
            <w:tcW w:type="dxa" w:w="12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P-05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CU-09</w:t>
            </w:r>
          </w:p>
        </w:tc>
        <w:tc>
          <w:tcPr>
            <w:tcW w:type="dxa" w:w="35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Registrar presunta infracción con evidencia</w:t>
            </w:r>
          </w:p>
        </w:tc>
        <w:tc>
          <w:tcPr>
            <w:tcW w:type="dxa" w:w="80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CDU-03</w:t>
            </w:r>
          </w:p>
        </w:tc>
        <w:tc>
          <w:tcPr>
            <w:tcW w:type="dxa" w:w="268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Verificador</w:t>
            </w:r>
          </w:p>
        </w:tc>
        <w:tc>
          <w:tcPr>
            <w:tcW w:type="dxa" w:w="12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P-05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CU-10</w:t>
            </w:r>
          </w:p>
        </w:tc>
        <w:tc>
          <w:tcPr>
            <w:tcW w:type="dxa" w:w="35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Confirmar y emitir la multa</w:t>
            </w:r>
          </w:p>
        </w:tc>
        <w:tc>
          <w:tcPr>
            <w:tcW w:type="dxa" w:w="80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CDU-03</w:t>
            </w:r>
          </w:p>
        </w:tc>
        <w:tc>
          <w:tcPr>
            <w:tcW w:type="dxa" w:w="268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Oficial de tránsito · Sistema de multas</w:t>
            </w:r>
          </w:p>
        </w:tc>
        <w:tc>
          <w:tcPr>
            <w:tcW w:type="dxa" w:w="12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P-05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CU-11</w:t>
            </w:r>
          </w:p>
        </w:tc>
        <w:tc>
          <w:tcPr>
            <w:tcW w:type="dxa" w:w="35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Presentar reclamo de infracción</w:t>
            </w:r>
          </w:p>
        </w:tc>
        <w:tc>
          <w:tcPr>
            <w:tcW w:type="dxa" w:w="80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CDU-03</w:t>
            </w:r>
          </w:p>
        </w:tc>
        <w:tc>
          <w:tcPr>
            <w:tcW w:type="dxa" w:w="268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Conductor</w:t>
            </w:r>
          </w:p>
        </w:tc>
        <w:tc>
          <w:tcPr>
            <w:tcW w:type="dxa" w:w="12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P-04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CU-12</w:t>
            </w:r>
          </w:p>
        </w:tc>
        <w:tc>
          <w:tcPr>
            <w:tcW w:type="dxa" w:w="35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Reportar un cobro informal (cuidacarros)</w:t>
            </w:r>
          </w:p>
        </w:tc>
        <w:tc>
          <w:tcPr>
            <w:tcW w:type="dxa" w:w="80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CDU-03</w:t>
            </w:r>
          </w:p>
        </w:tc>
        <w:tc>
          <w:tcPr>
            <w:tcW w:type="dxa" w:w="268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Conductor</w:t>
            </w:r>
          </w:p>
        </w:tc>
        <w:tc>
          <w:tcPr>
            <w:tcW w:type="dxa" w:w="12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P-02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CU-13</w:t>
            </w:r>
          </w:p>
        </w:tc>
        <w:tc>
          <w:tcPr>
            <w:tcW w:type="dxa" w:w="35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Publicar el tablero de recaudación 70/30</w:t>
            </w:r>
          </w:p>
        </w:tc>
        <w:tc>
          <w:tcPr>
            <w:tcW w:type="dxa" w:w="80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CDU-04</w:t>
            </w:r>
          </w:p>
        </w:tc>
        <w:tc>
          <w:tcPr>
            <w:tcW w:type="dxa" w:w="268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Analista de transparencia</w:t>
            </w:r>
          </w:p>
        </w:tc>
        <w:tc>
          <w:tcPr>
            <w:tcW w:type="dxa" w:w="12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P-06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CU-14</w:t>
            </w:r>
          </w:p>
        </w:tc>
        <w:tc>
          <w:tcPr>
            <w:tcW w:type="dxa" w:w="35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Seguir los proyectos de reinversión</w:t>
            </w:r>
          </w:p>
        </w:tc>
        <w:tc>
          <w:tcPr>
            <w:tcW w:type="dxa" w:w="80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CDU-04</w:t>
            </w:r>
          </w:p>
        </w:tc>
        <w:tc>
          <w:tcPr>
            <w:tcW w:type="dxa" w:w="268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Comité vecinal</w:t>
            </w:r>
          </w:p>
        </w:tc>
        <w:tc>
          <w:tcPr>
            <w:tcW w:type="dxa" w:w="12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P-06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CU-15</w:t>
            </w:r>
          </w:p>
        </w:tc>
        <w:tc>
          <w:tcPr>
            <w:tcW w:type="dxa" w:w="35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Recibir y responder la retroalimentación vecinal</w:t>
            </w:r>
          </w:p>
        </w:tc>
        <w:tc>
          <w:tcPr>
            <w:tcW w:type="dxa" w:w="80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CDU-04</w:t>
            </w:r>
          </w:p>
        </w:tc>
        <w:tc>
          <w:tcPr>
            <w:tcW w:type="dxa" w:w="268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Comité vecinal</w:t>
            </w:r>
          </w:p>
        </w:tc>
        <w:tc>
          <w:tcPr>
            <w:tcW w:type="dxa" w:w="12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P-06 · P-01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CU-16</w:t>
            </w:r>
          </w:p>
        </w:tc>
        <w:tc>
          <w:tcPr>
            <w:tcW w:type="dxa" w:w="35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Monitorear estado y vandalismo de los parquímetros</w:t>
            </w:r>
          </w:p>
        </w:tc>
        <w:tc>
          <w:tcPr>
            <w:tcW w:type="dxa" w:w="80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CDU-05</w:t>
            </w:r>
          </w:p>
        </w:tc>
        <w:tc>
          <w:tcPr>
            <w:tcW w:type="dxa" w:w="268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Operador de monitoreo · Parquímetro</w:t>
            </w:r>
          </w:p>
        </w:tc>
        <w:tc>
          <w:tcPr>
            <w:tcW w:type="dxa" w:w="12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P-05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CU-17</w:t>
            </w:r>
          </w:p>
        </w:tc>
        <w:tc>
          <w:tcPr>
            <w:tcW w:type="dxa" w:w="35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Atender una orden de mantenimiento</w:t>
            </w:r>
          </w:p>
        </w:tc>
        <w:tc>
          <w:tcPr>
            <w:tcW w:type="dxa" w:w="80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CDU-05</w:t>
            </w:r>
          </w:p>
        </w:tc>
        <w:tc>
          <w:tcPr>
            <w:tcW w:type="dxa" w:w="268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Técnico del proveedor</w:t>
            </w:r>
          </w:p>
        </w:tc>
        <w:tc>
          <w:tcPr>
            <w:tcW w:type="dxa" w:w="12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P-05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CU-18</w:t>
            </w:r>
          </w:p>
        </w:tc>
        <w:tc>
          <w:tcPr>
            <w:tcW w:type="dxa" w:w="35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Medir el desempeño de la información</w:t>
            </w:r>
          </w:p>
        </w:tc>
        <w:tc>
          <w:tcPr>
            <w:tcW w:type="dxa" w:w="80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CDU-05</w:t>
            </w:r>
          </w:p>
        </w:tc>
        <w:tc>
          <w:tcPr>
            <w:tcW w:type="dxa" w:w="268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Analista de experiencia de uso</w:t>
            </w:r>
          </w:p>
        </w:tc>
        <w:tc>
          <w:tcPr>
            <w:tcW w:type="dxa" w:w="12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P-03 · P-04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b/>
          <w:i w:val="0"/>
          <w:sz w:val="22"/>
        </w:rPr>
        <w:t>CDU expandidos y descripciones textuales.</w:t>
      </w:r>
      <w:r>
        <w:rPr>
          <w:b w:val="0"/>
          <w:i w:val="0"/>
          <w:sz w:val="22"/>
        </w:rPr>
        <w:t xml:space="preserve"> Se expanden los dos procesos que concentran los problemas de uso y de personal: CDU-02 y CDU-03. Plantilla de clase: curso normal en dos columnas con una sola numeración y cursos alternos anclados a la línea donde ocurren.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CDU-02 Cobrar el estacionamiento por placa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3590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u-expandido-parq-02-cobr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59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4. CDU-02 expandido.</w:t>
      </w:r>
    </w:p>
    <w:p>
      <w:pPr>
        <w:pStyle w:val="Heading4"/>
      </w:pPr>
      <w:r>
        <w:rPr>
          <w:color w:val="000000"/>
        </w:rPr>
      </w:r>
      <w:r>
        <w:rPr>
          <w:b/>
          <w:i w:val="0"/>
          <w:color w:val="000000"/>
        </w:rPr>
        <w:t>CU-04 Pagar el estacionamiento por placa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1310"/>
        <w:gridCol w:w="8050"/>
      </w:tblGrid>
      <w:tr>
        <w:trPr>
          <w:tblHeader w:val="true"/>
        </w:trPr>
        <w:tc>
          <w:tcPr>
            <w:tcW w:type="dxa" w:w="131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Campo</w:t>
            </w:r>
          </w:p>
        </w:tc>
        <w:tc>
          <w:tcPr>
            <w:tcW w:type="dxa" w:w="805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Contenido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Actores</w:t>
            </w:r>
          </w:p>
        </w:tc>
        <w:tc>
          <w:tcPr>
            <w:tcW w:type="dxa" w:w="805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Conductor (inicia)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Propósito</w:t>
            </w:r>
          </w:p>
        </w:tc>
        <w:tc>
          <w:tcPr>
            <w:tcW w:type="dxa" w:w="805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Pagar el tiempo de estacionamiento sin boleto, con el medio de pago que tenga a mano.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Resumen</w:t>
            </w:r>
          </w:p>
        </w:tc>
        <w:tc>
          <w:tcPr>
            <w:tcW w:type="dxa" w:w="805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 inicia cuando el Conductor llega al parquímetro o abre la app. El sistema calcula la tarifa de la zona, cobra y liga el pago a la placa. Finaliza cuando el Conductor recibe el comprobante.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Prioridad</w:t>
            </w:r>
          </w:p>
        </w:tc>
        <w:tc>
          <w:tcPr>
            <w:tcW w:type="dxa" w:w="805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Alta</w:t>
            </w:r>
          </w:p>
        </w:tc>
      </w:tr>
    </w:tbl>
    <w:p>
      <w:pPr>
        <w:spacing w:after="40"/>
      </w:pP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4212"/>
        <w:gridCol w:w="5148"/>
      </w:tblGrid>
      <w:tr>
        <w:trPr>
          <w:tblHeader w:val="true"/>
        </w:trPr>
        <w:tc>
          <w:tcPr>
            <w:tcW w:type="dxa" w:w="421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Acción del actor</w:t>
            </w:r>
          </w:p>
        </w:tc>
        <w:tc>
          <w:tcPr>
            <w:tcW w:type="dxa" w:w="514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Respuesta del sistema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1.</w:t>
            </w:r>
            <w:r>
              <w:rPr>
                <w:b w:val="0"/>
                <w:i w:val="0"/>
                <w:sz w:val="18"/>
              </w:rPr>
              <w:t xml:space="preserve"> El Conductor escribe la placa de su vehículo.</w:t>
            </w:r>
          </w:p>
        </w:tc>
        <w:tc>
          <w:tcPr>
            <w:tcW w:type="dxa" w:w="5148"/>
          </w:tcPr>
          <w:p>
            <w:pPr>
              <w:keepNext/>
              <w:spacing w:after="20"/>
            </w:pP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/>
              <w:spacing w:after="20"/>
            </w:pPr>
          </w:p>
        </w:tc>
        <w:tc>
          <w:tcPr>
            <w:tcW w:type="dxa" w:w="5148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2.</w:t>
            </w:r>
            <w:r>
              <w:rPr>
                <w:b w:val="0"/>
                <w:i w:val="0"/>
                <w:sz w:val="18"/>
              </w:rPr>
              <w:t xml:space="preserve"> El sistema muestra la tarifa de la zona, el tiempo máximo y el horario de cobro (incluye CU-05).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3.</w:t>
            </w:r>
            <w:r>
              <w:rPr>
                <w:b w:val="0"/>
                <w:i w:val="0"/>
                <w:sz w:val="18"/>
              </w:rPr>
              <w:t xml:space="preserve"> El Conductor elige el tiempo en bloques de 30 minutos.</w:t>
            </w:r>
          </w:p>
        </w:tc>
        <w:tc>
          <w:tcPr>
            <w:tcW w:type="dxa" w:w="5148"/>
          </w:tcPr>
          <w:p>
            <w:pPr>
              <w:keepNext w:val="0"/>
              <w:spacing w:after="20"/>
            </w:pP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 w:val="0"/>
              <w:spacing w:after="20"/>
            </w:pPr>
          </w:p>
        </w:tc>
        <w:tc>
          <w:tcPr>
            <w:tcW w:type="dxa" w:w="514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4.</w:t>
            </w:r>
            <w:r>
              <w:rPr>
                <w:b w:val="0"/>
                <w:i w:val="0"/>
                <w:sz w:val="18"/>
              </w:rPr>
              <w:t xml:space="preserve"> El sistema muestra el total y la hora de vencimiento.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5.</w:t>
            </w:r>
            <w:r>
              <w:rPr>
                <w:b w:val="0"/>
                <w:i w:val="0"/>
                <w:sz w:val="18"/>
              </w:rPr>
              <w:t xml:space="preserve"> El Conductor paga con monedas.</w:t>
            </w:r>
          </w:p>
        </w:tc>
        <w:tc>
          <w:tcPr>
            <w:tcW w:type="dxa" w:w="5148"/>
          </w:tcPr>
          <w:p>
            <w:pPr>
              <w:keepNext w:val="0"/>
              <w:spacing w:after="20"/>
            </w:pP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 w:val="0"/>
              <w:spacing w:after="20"/>
            </w:pPr>
          </w:p>
        </w:tc>
        <w:tc>
          <w:tcPr>
            <w:tcW w:type="dxa" w:w="514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6.</w:t>
            </w:r>
            <w:r>
              <w:rPr>
                <w:b w:val="0"/>
                <w:i w:val="0"/>
                <w:sz w:val="18"/>
              </w:rPr>
              <w:t xml:space="preserve"> El sistema registra la sesión de estacionamiento a la placa (incluye CU-19) y entrega el comprobante con folio, vencimiento y línea de reclamo.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  <w:i w:val="0"/>
          <w:sz w:val="19"/>
        </w:rPr>
        <w:t>En la línea 1:</w:t>
      </w:r>
      <w:r>
        <w:rPr>
          <w:b w:val="0"/>
          <w:i w:val="0"/>
          <w:sz w:val="19"/>
        </w:rPr>
        <w:t xml:space="preserve"> la placa tiene un formato inválido. El sistema lo señala con un ejemplo y se vuelve a la línea 1.</w:t>
      </w:r>
    </w:p>
    <w:p>
      <w:pPr>
        <w:pStyle w:val="ListBullet"/>
        <w:spacing w:after="40"/>
      </w:pPr>
      <w:r>
        <w:rPr>
          <w:b/>
          <w:i w:val="0"/>
          <w:sz w:val="19"/>
        </w:rPr>
        <w:t>En la línea 3:</w:t>
      </w:r>
      <w:r>
        <w:rPr>
          <w:b w:val="0"/>
          <w:i w:val="0"/>
          <w:sz w:val="19"/>
        </w:rPr>
        <w:t xml:space="preserve"> el tiempo excede el máximo de la zona. El sistema lo limita y lo informa; se continúa en la línea 4.</w:t>
      </w:r>
    </w:p>
    <w:p>
      <w:pPr>
        <w:pStyle w:val="ListBullet"/>
        <w:spacing w:after="40"/>
      </w:pPr>
      <w:r>
        <w:rPr>
          <w:b/>
          <w:i w:val="0"/>
          <w:sz w:val="19"/>
        </w:rPr>
        <w:t>En la línea 5:</w:t>
      </w:r>
      <w:r>
        <w:rPr>
          <w:b w:val="0"/>
          <w:i w:val="0"/>
          <w:sz w:val="19"/>
        </w:rPr>
        <w:t xml:space="preserve"> el Conductor paga con tarjeta o con el QR de la app. Se extiende con CU-06 y, autorizado el pago, se continúa en la línea 6.</w:t>
      </w:r>
    </w:p>
    <w:p>
      <w:pPr>
        <w:pStyle w:val="ListBullet"/>
        <w:spacing w:after="40"/>
      </w:pPr>
      <w:r>
        <w:rPr>
          <w:b/>
          <w:i w:val="0"/>
          <w:sz w:val="19"/>
        </w:rPr>
        <w:t>En la línea 6:</w:t>
      </w:r>
      <w:r>
        <w:rPr>
          <w:b w:val="0"/>
          <w:i w:val="0"/>
          <w:sz w:val="19"/>
        </w:rPr>
        <w:t xml:space="preserve"> el parquímetro no tiene conexión. Guarda el pago firmado y lo reenvía al reconectarse (EAC-03); el comprobante se entrega igual.</w:t>
      </w:r>
    </w:p>
    <w:p>
      <w:pPr>
        <w:pStyle w:val="Heading4"/>
      </w:pPr>
      <w:r>
        <w:rPr>
          <w:color w:val="000000"/>
        </w:rPr>
      </w:r>
      <w:r>
        <w:rPr>
          <w:b/>
          <w:i w:val="0"/>
          <w:color w:val="000000"/>
        </w:rPr>
        <w:t>CU-05 Calcular tarifa y tiempo máximo de la zona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1310"/>
        <w:gridCol w:w="8050"/>
      </w:tblGrid>
      <w:tr>
        <w:trPr>
          <w:tblHeader w:val="true"/>
        </w:trPr>
        <w:tc>
          <w:tcPr>
            <w:tcW w:type="dxa" w:w="131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Campo</w:t>
            </w:r>
          </w:p>
        </w:tc>
        <w:tc>
          <w:tcPr>
            <w:tcW w:type="dxa" w:w="805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Contenido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Actores</w:t>
            </w:r>
          </w:p>
        </w:tc>
        <w:tc>
          <w:tcPr>
            <w:tcW w:type="dxa" w:w="805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Ninguno: es de apoyo, incluido por CU-04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Propósito</w:t>
            </w:r>
          </w:p>
        </w:tc>
        <w:tc>
          <w:tcPr>
            <w:tcW w:type="dxa" w:w="805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Aplicar la regla de tarifa vigente de la zona sin que el conductor tenga que calcularla.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Resumen</w:t>
            </w:r>
          </w:p>
        </w:tc>
        <w:tc>
          <w:tcPr>
            <w:tcW w:type="dxa" w:w="805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 inicia cuando CU-04 necesita el precio. El sistema aplica el tarifario de la zona. Finaliza cuando devuelve el total y el tiempo máximo.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Prioridad</w:t>
            </w:r>
          </w:p>
        </w:tc>
        <w:tc>
          <w:tcPr>
            <w:tcW w:type="dxa" w:w="805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Alta</w:t>
            </w:r>
          </w:p>
        </w:tc>
      </w:tr>
    </w:tbl>
    <w:p>
      <w:pPr>
        <w:spacing w:after="40"/>
      </w:pP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4212"/>
        <w:gridCol w:w="5148"/>
      </w:tblGrid>
      <w:tr>
        <w:trPr>
          <w:tblHeader w:val="true"/>
        </w:trPr>
        <w:tc>
          <w:tcPr>
            <w:tcW w:type="dxa" w:w="421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Acción del actor</w:t>
            </w:r>
          </w:p>
        </w:tc>
        <w:tc>
          <w:tcPr>
            <w:tcW w:type="dxa" w:w="514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Respuesta del sistema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 w:val="0"/>
              <w:spacing w:after="20"/>
            </w:pPr>
          </w:p>
        </w:tc>
        <w:tc>
          <w:tcPr>
            <w:tcW w:type="dxa" w:w="514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1.</w:t>
            </w:r>
            <w:r>
              <w:rPr>
                <w:b w:val="0"/>
                <w:i w:val="0"/>
                <w:sz w:val="18"/>
              </w:rPr>
              <w:t xml:space="preserve"> El sistema identifica la zona y el horario a partir del parquímetro o de la ubicación de la app.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 w:val="0"/>
              <w:spacing w:after="20"/>
            </w:pPr>
          </w:p>
        </w:tc>
        <w:tc>
          <w:tcPr>
            <w:tcW w:type="dxa" w:w="514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2.</w:t>
            </w:r>
            <w:r>
              <w:rPr>
                <w:b w:val="0"/>
                <w:i w:val="0"/>
                <w:sz w:val="18"/>
              </w:rPr>
              <w:t xml:space="preserve"> El sistema aplica el tarifario vigente por bloques de 30 minutos y el tiempo máximo de la zona.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 w:val="0"/>
              <w:spacing w:after="20"/>
            </w:pPr>
          </w:p>
        </w:tc>
        <w:tc>
          <w:tcPr>
            <w:tcW w:type="dxa" w:w="514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3.</w:t>
            </w:r>
            <w:r>
              <w:rPr>
                <w:b w:val="0"/>
                <w:i w:val="0"/>
                <w:sz w:val="18"/>
              </w:rPr>
              <w:t xml:space="preserve"> El sistema devuelve total, hora de vencimiento y tiempo máximo a CU-04.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  <w:i w:val="0"/>
          <w:sz w:val="19"/>
        </w:rPr>
        <w:t>En la línea 1:</w:t>
      </w:r>
      <w:r>
        <w:rPr>
          <w:b w:val="0"/>
          <w:i w:val="0"/>
          <w:sz w:val="19"/>
        </w:rPr>
        <w:t xml:space="preserve"> la hora está fuera del horario de cobro. El sistema informa que no se cobra y termina el caso.</w:t>
      </w:r>
    </w:p>
    <w:p>
      <w:pPr>
        <w:pStyle w:val="Heading4"/>
      </w:pPr>
      <w:r>
        <w:rPr>
          <w:color w:val="000000"/>
        </w:rPr>
      </w:r>
      <w:r>
        <w:rPr>
          <w:b/>
          <w:i w:val="0"/>
          <w:color w:val="000000"/>
        </w:rPr>
        <w:t>CU-06 Autorizar el pago con tarjeta o billetera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1310"/>
        <w:gridCol w:w="8050"/>
      </w:tblGrid>
      <w:tr>
        <w:trPr>
          <w:tblHeader w:val="true"/>
        </w:trPr>
        <w:tc>
          <w:tcPr>
            <w:tcW w:type="dxa" w:w="131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Campo</w:t>
            </w:r>
          </w:p>
        </w:tc>
        <w:tc>
          <w:tcPr>
            <w:tcW w:type="dxa" w:w="805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Contenido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Actores</w:t>
            </w:r>
          </w:p>
        </w:tc>
        <w:tc>
          <w:tcPr>
            <w:tcW w:type="dxa" w:w="805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Banco y pasarela de pagos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Propósito</w:t>
            </w:r>
          </w:p>
        </w:tc>
        <w:tc>
          <w:tcPr>
            <w:tcW w:type="dxa" w:w="805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Cobrar con tarjeta o billetera digital, la alternativa a las monedas que pidieron los usuarios.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Resumen</w:t>
            </w:r>
          </w:p>
        </w:tc>
        <w:tc>
          <w:tcPr>
            <w:tcW w:type="dxa" w:w="805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Extiende a CU-04 en su línea 5 cuando el pago es electrónico. Finaliza cuando el Banco autoriza o rechaza.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Prioridad</w:t>
            </w:r>
          </w:p>
        </w:tc>
        <w:tc>
          <w:tcPr>
            <w:tcW w:type="dxa" w:w="805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Alta</w:t>
            </w:r>
          </w:p>
        </w:tc>
      </w:tr>
    </w:tbl>
    <w:p>
      <w:pPr>
        <w:spacing w:after="40"/>
      </w:pP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4212"/>
        <w:gridCol w:w="5148"/>
      </w:tblGrid>
      <w:tr>
        <w:trPr>
          <w:tblHeader w:val="true"/>
        </w:trPr>
        <w:tc>
          <w:tcPr>
            <w:tcW w:type="dxa" w:w="421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Acción del actor</w:t>
            </w:r>
          </w:p>
        </w:tc>
        <w:tc>
          <w:tcPr>
            <w:tcW w:type="dxa" w:w="514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Respuesta del sistema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 w:val="0"/>
              <w:spacing w:after="20"/>
            </w:pPr>
          </w:p>
        </w:tc>
        <w:tc>
          <w:tcPr>
            <w:tcW w:type="dxa" w:w="514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1.</w:t>
            </w:r>
            <w:r>
              <w:rPr>
                <w:b w:val="0"/>
                <w:i w:val="0"/>
                <w:sz w:val="18"/>
              </w:rPr>
              <w:t xml:space="preserve"> El sistema envía al Banco la solicitud de cobro con el monto y un identificador único de la operación.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2.</w:t>
            </w:r>
            <w:r>
              <w:rPr>
                <w:b w:val="0"/>
                <w:i w:val="0"/>
                <w:sz w:val="18"/>
              </w:rPr>
              <w:t xml:space="preserve"> El Banco y pasarela de pagos autoriza el cobro.</w:t>
            </w:r>
          </w:p>
        </w:tc>
        <w:tc>
          <w:tcPr>
            <w:tcW w:type="dxa" w:w="5148"/>
          </w:tcPr>
          <w:p>
            <w:pPr>
              <w:keepNext w:val="0"/>
              <w:spacing w:after="20"/>
            </w:pP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 w:val="0"/>
              <w:spacing w:after="20"/>
            </w:pPr>
          </w:p>
        </w:tc>
        <w:tc>
          <w:tcPr>
            <w:tcW w:type="dxa" w:w="514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3.</w:t>
            </w:r>
            <w:r>
              <w:rPr>
                <w:b w:val="0"/>
                <w:i w:val="0"/>
                <w:sz w:val="18"/>
              </w:rPr>
              <w:t xml:space="preserve"> El sistema confirma el pago y regresa a CU-04 en la línea 6.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  <w:i w:val="0"/>
          <w:sz w:val="19"/>
        </w:rPr>
        <w:t>En la línea 2:</w:t>
      </w:r>
      <w:r>
        <w:rPr>
          <w:b w:val="0"/>
          <w:i w:val="0"/>
          <w:sz w:val="19"/>
        </w:rPr>
        <w:t xml:space="preserve"> el Banco rechaza. El sistema lo informa y ofrece otro medio; se vuelve a la línea 5 de CU-04.</w:t>
      </w:r>
    </w:p>
    <w:p>
      <w:pPr>
        <w:pStyle w:val="ListBullet"/>
        <w:spacing w:after="40"/>
      </w:pPr>
      <w:r>
        <w:rPr>
          <w:b/>
          <w:i w:val="0"/>
          <w:sz w:val="19"/>
        </w:rPr>
        <w:t>En la línea 2:</w:t>
      </w:r>
      <w:r>
        <w:rPr>
          <w:b w:val="0"/>
          <w:i w:val="0"/>
          <w:sz w:val="19"/>
        </w:rPr>
        <w:t xml:space="preserve"> no hay respuesta en 10 s. El sistema reintenta con el mismo identificador, sin cobrar dos veces.</w:t>
      </w:r>
    </w:p>
    <w:p>
      <w:pPr>
        <w:pStyle w:val="Heading4"/>
      </w:pPr>
      <w:r>
        <w:rPr>
          <w:color w:val="000000"/>
        </w:rPr>
      </w:r>
      <w:r>
        <w:rPr>
          <w:b/>
          <w:i w:val="0"/>
          <w:color w:val="000000"/>
        </w:rPr>
        <w:t>CU-07 Avisar el vencimiento y extender el tiempo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1310"/>
        <w:gridCol w:w="8050"/>
      </w:tblGrid>
      <w:tr>
        <w:trPr>
          <w:tblHeader w:val="true"/>
        </w:trPr>
        <w:tc>
          <w:tcPr>
            <w:tcW w:type="dxa" w:w="131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Campo</w:t>
            </w:r>
          </w:p>
        </w:tc>
        <w:tc>
          <w:tcPr>
            <w:tcW w:type="dxa" w:w="805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Contenido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Actores</w:t>
            </w:r>
          </w:p>
        </w:tc>
        <w:tc>
          <w:tcPr>
            <w:tcW w:type="dxa" w:w="805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Conductor (recibe el aviso e inicia la extensión)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Propósito</w:t>
            </w:r>
          </w:p>
        </w:tc>
        <w:tc>
          <w:tcPr>
            <w:tcW w:type="dxa" w:w="805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No volver al parquímetro para saber cuánto tiempo le queda ni para extenderlo.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Resumen</w:t>
            </w:r>
          </w:p>
        </w:tc>
        <w:tc>
          <w:tcPr>
            <w:tcW w:type="dxa" w:w="805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 inicia 10 minutos antes del vencimiento. El sistema avisa al Conductor, que puede extender desde la app. Finaliza con la sesión extendida o vencida.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Prioridad</w:t>
            </w:r>
          </w:p>
        </w:tc>
        <w:tc>
          <w:tcPr>
            <w:tcW w:type="dxa" w:w="805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Media</w:t>
            </w:r>
          </w:p>
        </w:tc>
      </w:tr>
    </w:tbl>
    <w:p>
      <w:pPr>
        <w:spacing w:after="40"/>
      </w:pP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4212"/>
        <w:gridCol w:w="5148"/>
      </w:tblGrid>
      <w:tr>
        <w:trPr>
          <w:tblHeader w:val="true"/>
        </w:trPr>
        <w:tc>
          <w:tcPr>
            <w:tcW w:type="dxa" w:w="421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Acción del actor</w:t>
            </w:r>
          </w:p>
        </w:tc>
        <w:tc>
          <w:tcPr>
            <w:tcW w:type="dxa" w:w="514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Respuesta del sistema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 w:val="0"/>
              <w:spacing w:after="20"/>
            </w:pPr>
          </w:p>
        </w:tc>
        <w:tc>
          <w:tcPr>
            <w:tcW w:type="dxa" w:w="514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1.</w:t>
            </w:r>
            <w:r>
              <w:rPr>
                <w:b w:val="0"/>
                <w:i w:val="0"/>
                <w:sz w:val="18"/>
              </w:rPr>
              <w:t xml:space="preserve"> El sistema detecta que la sesión vence en 10 minutos y avisa al Conductor en la app.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2.</w:t>
            </w:r>
            <w:r>
              <w:rPr>
                <w:b w:val="0"/>
                <w:i w:val="0"/>
                <w:sz w:val="18"/>
              </w:rPr>
              <w:t xml:space="preserve"> El Conductor elige extender el tiempo.</w:t>
            </w:r>
          </w:p>
        </w:tc>
        <w:tc>
          <w:tcPr>
            <w:tcW w:type="dxa" w:w="5148"/>
          </w:tcPr>
          <w:p>
            <w:pPr>
              <w:keepNext w:val="0"/>
              <w:spacing w:after="20"/>
            </w:pP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 w:val="0"/>
              <w:spacing w:after="20"/>
            </w:pPr>
          </w:p>
        </w:tc>
        <w:tc>
          <w:tcPr>
            <w:tcW w:type="dxa" w:w="514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3.</w:t>
            </w:r>
            <w:r>
              <w:rPr>
                <w:b w:val="0"/>
                <w:i w:val="0"/>
                <w:sz w:val="18"/>
              </w:rPr>
              <w:t xml:space="preserve"> El sistema cobra la extensión (CU-06) y actualiza la sesión (incluye CU-19).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  <w:i w:val="0"/>
          <w:sz w:val="19"/>
        </w:rPr>
        <w:t>En la línea 2:</w:t>
      </w:r>
      <w:r>
        <w:rPr>
          <w:b w:val="0"/>
          <w:i w:val="0"/>
          <w:sz w:val="19"/>
        </w:rPr>
        <w:t xml:space="preserve"> extender superaría el máximo de la zona. El sistema lo informa y sugiere otra zona cercana.</w:t>
      </w:r>
    </w:p>
    <w:p>
      <w:pPr>
        <w:pStyle w:val="ListBullet"/>
        <w:spacing w:after="40"/>
      </w:pPr>
      <w:r>
        <w:rPr>
          <w:b/>
          <w:i w:val="0"/>
          <w:sz w:val="19"/>
        </w:rPr>
        <w:t>En la línea 2:</w:t>
      </w:r>
      <w:r>
        <w:rPr>
          <w:b w:val="0"/>
          <w:i w:val="0"/>
          <w:sz w:val="19"/>
        </w:rPr>
        <w:t xml:space="preserve"> el Conductor no responde. La sesión vence y el verificador la verá sin pago vigente.</w:t>
      </w:r>
    </w:p>
    <w:p>
      <w:pPr>
        <w:pStyle w:val="Heading4"/>
      </w:pPr>
      <w:r>
        <w:rPr>
          <w:color w:val="000000"/>
        </w:rPr>
      </w:r>
      <w:r>
        <w:rPr>
          <w:b/>
          <w:i w:val="0"/>
          <w:color w:val="000000"/>
        </w:rPr>
        <w:t>CU-19 Registrar la sesión de estacionamiento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1310"/>
        <w:gridCol w:w="8050"/>
      </w:tblGrid>
      <w:tr>
        <w:trPr>
          <w:tblHeader w:val="true"/>
        </w:trPr>
        <w:tc>
          <w:tcPr>
            <w:tcW w:type="dxa" w:w="131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Campo</w:t>
            </w:r>
          </w:p>
        </w:tc>
        <w:tc>
          <w:tcPr>
            <w:tcW w:type="dxa" w:w="805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Contenido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Actores</w:t>
            </w:r>
          </w:p>
        </w:tc>
        <w:tc>
          <w:tcPr>
            <w:tcW w:type="dxa" w:w="805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Ninguno: es de apoyo, incluido por CU-04 y CU-07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Propósito</w:t>
            </w:r>
          </w:p>
        </w:tc>
        <w:tc>
          <w:tcPr>
            <w:tcW w:type="dxa" w:w="805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Dejar un registro único por placa que el verificador pueda consultar en vez de leer boletos.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Resumen</w:t>
            </w:r>
          </w:p>
        </w:tc>
        <w:tc>
          <w:tcPr>
            <w:tcW w:type="dxa" w:w="805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 inicia cuando se confirma un pago o una extensión. Finaliza cuando la sesión queda publicada como evento.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Prioridad</w:t>
            </w:r>
          </w:p>
        </w:tc>
        <w:tc>
          <w:tcPr>
            <w:tcW w:type="dxa" w:w="805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Alta</w:t>
            </w:r>
          </w:p>
        </w:tc>
      </w:tr>
    </w:tbl>
    <w:p>
      <w:pPr>
        <w:spacing w:after="40"/>
      </w:pP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4212"/>
        <w:gridCol w:w="5148"/>
      </w:tblGrid>
      <w:tr>
        <w:trPr>
          <w:tblHeader w:val="true"/>
        </w:trPr>
        <w:tc>
          <w:tcPr>
            <w:tcW w:type="dxa" w:w="421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Acción del actor</w:t>
            </w:r>
          </w:p>
        </w:tc>
        <w:tc>
          <w:tcPr>
            <w:tcW w:type="dxa" w:w="514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Respuesta del sistema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 w:val="0"/>
              <w:spacing w:after="20"/>
            </w:pPr>
          </w:p>
        </w:tc>
        <w:tc>
          <w:tcPr>
            <w:tcW w:type="dxa" w:w="514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1.</w:t>
            </w:r>
            <w:r>
              <w:rPr>
                <w:b w:val="0"/>
                <w:i w:val="0"/>
                <w:sz w:val="18"/>
              </w:rPr>
              <w:t xml:space="preserve"> El sistema crea o actualiza la sesión con placa, zona, cajón, inicio, vencimiento y medio de pago.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 w:val="0"/>
              <w:spacing w:after="20"/>
            </w:pPr>
          </w:p>
        </w:tc>
        <w:tc>
          <w:tcPr>
            <w:tcW w:type="dxa" w:w="514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2.</w:t>
            </w:r>
            <w:r>
              <w:rPr>
                <w:b w:val="0"/>
                <w:i w:val="0"/>
                <w:sz w:val="18"/>
              </w:rPr>
              <w:t xml:space="preserve"> El sistema publica el evento «pago registrado» en el bus de eventos.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  <w:i w:val="0"/>
          <w:sz w:val="19"/>
        </w:rPr>
        <w:t>En la línea 1:</w:t>
      </w:r>
      <w:r>
        <w:rPr>
          <w:b w:val="0"/>
          <w:i w:val="0"/>
          <w:sz w:val="19"/>
        </w:rPr>
        <w:t xml:space="preserve"> ya existe una sesión vigente para la placa en la zona. El sistema suma el tiempo, sin duplicar.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CDU-03 Verificar el pago y sancionar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5152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u-expandido-parq-03-verificac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1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5. CDU-03 expandido.</w:t>
      </w:r>
    </w:p>
    <w:p>
      <w:pPr>
        <w:pStyle w:val="Heading4"/>
      </w:pPr>
      <w:r>
        <w:rPr>
          <w:color w:val="000000"/>
        </w:rPr>
      </w:r>
      <w:r>
        <w:rPr>
          <w:b/>
          <w:i w:val="0"/>
          <w:color w:val="000000"/>
        </w:rPr>
        <w:t>CU-08 Verificar el pago por placa en la cuadra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1310"/>
        <w:gridCol w:w="8050"/>
      </w:tblGrid>
      <w:tr>
        <w:trPr>
          <w:tblHeader w:val="true"/>
        </w:trPr>
        <w:tc>
          <w:tcPr>
            <w:tcW w:type="dxa" w:w="131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Campo</w:t>
            </w:r>
          </w:p>
        </w:tc>
        <w:tc>
          <w:tcPr>
            <w:tcW w:type="dxa" w:w="805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Contenido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Actores</w:t>
            </w:r>
          </w:p>
        </w:tc>
        <w:tc>
          <w:tcPr>
            <w:tcW w:type="dxa" w:w="805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Verificador (inicia)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Propósito</w:t>
            </w:r>
          </w:p>
        </w:tc>
        <w:tc>
          <w:tcPr>
            <w:tcW w:type="dxa" w:w="805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Saber qué vehículos de la cuadra no tienen pago vigente, sin depender de un boleto visible.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Resumen</w:t>
            </w:r>
          </w:p>
        </w:tc>
        <w:tc>
          <w:tcPr>
            <w:tcW w:type="dxa" w:w="805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 inicia cuando el Verificador recorre una cuadra. El sistema le muestra las placas con y sin pago. Finaliza cuando termina la cuadra.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Prioridad</w:t>
            </w:r>
          </w:p>
        </w:tc>
        <w:tc>
          <w:tcPr>
            <w:tcW w:type="dxa" w:w="805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Alta</w:t>
            </w:r>
          </w:p>
        </w:tc>
      </w:tr>
    </w:tbl>
    <w:p>
      <w:pPr>
        <w:spacing w:after="40"/>
      </w:pP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4212"/>
        <w:gridCol w:w="5148"/>
      </w:tblGrid>
      <w:tr>
        <w:trPr>
          <w:tblHeader w:val="true"/>
        </w:trPr>
        <w:tc>
          <w:tcPr>
            <w:tcW w:type="dxa" w:w="421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Acción del actor</w:t>
            </w:r>
          </w:p>
        </w:tc>
        <w:tc>
          <w:tcPr>
            <w:tcW w:type="dxa" w:w="514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Respuesta del sistema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1.</w:t>
            </w:r>
            <w:r>
              <w:rPr>
                <w:b w:val="0"/>
                <w:i w:val="0"/>
                <w:sz w:val="18"/>
              </w:rPr>
              <w:t xml:space="preserve"> El Verificador abre la cuadra en la app de verificación.</w:t>
            </w:r>
          </w:p>
        </w:tc>
        <w:tc>
          <w:tcPr>
            <w:tcW w:type="dxa" w:w="5148"/>
          </w:tcPr>
          <w:p>
            <w:pPr>
              <w:keepNext/>
              <w:spacing w:after="20"/>
            </w:pP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/>
              <w:spacing w:after="20"/>
            </w:pPr>
          </w:p>
        </w:tc>
        <w:tc>
          <w:tcPr>
            <w:tcW w:type="dxa" w:w="5148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2.</w:t>
            </w:r>
            <w:r>
              <w:rPr>
                <w:b w:val="0"/>
                <w:i w:val="0"/>
                <w:sz w:val="18"/>
              </w:rPr>
              <w:t xml:space="preserve"> El sistema muestra la lista de placas con sesión vigente en esa cuadra, actualizada.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3.</w:t>
            </w:r>
            <w:r>
              <w:rPr>
                <w:b w:val="0"/>
                <w:i w:val="0"/>
                <w:sz w:val="18"/>
              </w:rPr>
              <w:t xml:space="preserve"> El Verificador captura o escribe la placa de cada vehículo estacionado.</w:t>
            </w:r>
          </w:p>
        </w:tc>
        <w:tc>
          <w:tcPr>
            <w:tcW w:type="dxa" w:w="5148"/>
          </w:tcPr>
          <w:p>
            <w:pPr>
              <w:keepNext w:val="0"/>
              <w:spacing w:after="20"/>
            </w:pP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 w:val="0"/>
              <w:spacing w:after="20"/>
            </w:pPr>
          </w:p>
        </w:tc>
        <w:tc>
          <w:tcPr>
            <w:tcW w:type="dxa" w:w="514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4.</w:t>
            </w:r>
            <w:r>
              <w:rPr>
                <w:b w:val="0"/>
                <w:i w:val="0"/>
                <w:sz w:val="18"/>
              </w:rPr>
              <w:t xml:space="preserve"> El sistema indica si la placa tiene pago vigente.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  <w:i w:val="0"/>
          <w:sz w:val="19"/>
        </w:rPr>
        <w:t>En la línea 2:</w:t>
      </w:r>
      <w:r>
        <w:rPr>
          <w:b w:val="0"/>
          <w:i w:val="0"/>
          <w:sz w:val="19"/>
        </w:rPr>
        <w:t xml:space="preserve"> no hay conexión. La app usa la lista local, que no tiene más de 5 minutos de antigüedad (EAC-04).</w:t>
      </w:r>
    </w:p>
    <w:p>
      <w:pPr>
        <w:pStyle w:val="ListBullet"/>
        <w:spacing w:after="40"/>
      </w:pPr>
      <w:r>
        <w:rPr>
          <w:b/>
          <w:i w:val="0"/>
          <w:sz w:val="19"/>
        </w:rPr>
        <w:t>En la línea 4:</w:t>
      </w:r>
      <w:r>
        <w:rPr>
          <w:b w:val="0"/>
          <w:i w:val="0"/>
          <w:sz w:val="19"/>
        </w:rPr>
        <w:t xml:space="preserve"> la placa no tiene pago vigente. Se extiende con CU-09.</w:t>
      </w:r>
    </w:p>
    <w:p>
      <w:pPr>
        <w:pStyle w:val="Heading4"/>
      </w:pPr>
      <w:r>
        <w:rPr>
          <w:color w:val="000000"/>
        </w:rPr>
      </w:r>
      <w:r>
        <w:rPr>
          <w:b/>
          <w:i w:val="0"/>
          <w:color w:val="000000"/>
        </w:rPr>
        <w:t>CU-09 Registrar presunta infracción con evidencia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1310"/>
        <w:gridCol w:w="8050"/>
      </w:tblGrid>
      <w:tr>
        <w:trPr>
          <w:tblHeader w:val="true"/>
        </w:trPr>
        <w:tc>
          <w:tcPr>
            <w:tcW w:type="dxa" w:w="131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Campo</w:t>
            </w:r>
          </w:p>
        </w:tc>
        <w:tc>
          <w:tcPr>
            <w:tcW w:type="dxa" w:w="805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Contenido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Actores</w:t>
            </w:r>
          </w:p>
        </w:tc>
        <w:tc>
          <w:tcPr>
            <w:tcW w:type="dxa" w:w="805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Verificador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Propósito</w:t>
            </w:r>
          </w:p>
        </w:tc>
        <w:tc>
          <w:tcPr>
            <w:tcW w:type="dxa" w:w="805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Dejar una presunta infracción con evidencia suficiente para que el oficial la confirme.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Resumen</w:t>
            </w:r>
          </w:p>
        </w:tc>
        <w:tc>
          <w:tcPr>
            <w:tcW w:type="dxa" w:w="805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Extiende a CU-08 en su línea 4 cuando la placa no tiene pago vigente. Finaliza cuando la presunta infracción queda enviada.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Prioridad</w:t>
            </w:r>
          </w:p>
        </w:tc>
        <w:tc>
          <w:tcPr>
            <w:tcW w:type="dxa" w:w="805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Alta</w:t>
            </w:r>
          </w:p>
        </w:tc>
      </w:tr>
    </w:tbl>
    <w:p>
      <w:pPr>
        <w:spacing w:after="40"/>
      </w:pP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4212"/>
        <w:gridCol w:w="5148"/>
      </w:tblGrid>
      <w:tr>
        <w:trPr>
          <w:tblHeader w:val="true"/>
        </w:trPr>
        <w:tc>
          <w:tcPr>
            <w:tcW w:type="dxa" w:w="421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Acción del actor</w:t>
            </w:r>
          </w:p>
        </w:tc>
        <w:tc>
          <w:tcPr>
            <w:tcW w:type="dxa" w:w="514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Respuesta del sistema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1.</w:t>
            </w:r>
            <w:r>
              <w:rPr>
                <w:b w:val="0"/>
                <w:i w:val="0"/>
                <w:sz w:val="18"/>
              </w:rPr>
              <w:t xml:space="preserve"> El Verificador toma la fotografía del vehículo y de la placa.</w:t>
            </w:r>
          </w:p>
        </w:tc>
        <w:tc>
          <w:tcPr>
            <w:tcW w:type="dxa" w:w="5148"/>
          </w:tcPr>
          <w:p>
            <w:pPr>
              <w:keepNext w:val="0"/>
              <w:spacing w:after="20"/>
            </w:pP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 w:val="0"/>
              <w:spacing w:after="20"/>
            </w:pPr>
          </w:p>
        </w:tc>
        <w:tc>
          <w:tcPr>
            <w:tcW w:type="dxa" w:w="514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2.</w:t>
            </w:r>
            <w:r>
              <w:rPr>
                <w:b w:val="0"/>
                <w:i w:val="0"/>
                <w:sz w:val="18"/>
              </w:rPr>
              <w:t xml:space="preserve"> El sistema agrega hora, ubicación y firma digital del dispositivo, y espera 10 minutos de tolerancia.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 w:val="0"/>
              <w:spacing w:after="20"/>
            </w:pPr>
          </w:p>
        </w:tc>
        <w:tc>
          <w:tcPr>
            <w:tcW w:type="dxa" w:w="514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3.</w:t>
            </w:r>
            <w:r>
              <w:rPr>
                <w:b w:val="0"/>
                <w:i w:val="0"/>
                <w:sz w:val="18"/>
              </w:rPr>
              <w:t xml:space="preserve"> Pasada la tolerancia sin pago, el sistema publica la presunta infracción para el oficial de tránsito.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  <w:i w:val="0"/>
          <w:sz w:val="19"/>
        </w:rPr>
        <w:t>En la línea 2:</w:t>
      </w:r>
      <w:r>
        <w:rPr>
          <w:b w:val="0"/>
          <w:i w:val="0"/>
          <w:sz w:val="19"/>
        </w:rPr>
        <w:t xml:space="preserve"> el conductor paga durante la tolerancia. El sistema cancela la presunta infracción y lo registra.</w:t>
      </w:r>
    </w:p>
    <w:p>
      <w:pPr>
        <w:pStyle w:val="Heading4"/>
      </w:pPr>
      <w:r>
        <w:rPr>
          <w:color w:val="000000"/>
        </w:rPr>
      </w:r>
      <w:r>
        <w:rPr>
          <w:b/>
          <w:i w:val="0"/>
          <w:color w:val="000000"/>
        </w:rPr>
        <w:t>CU-10 Confirmar y emitir la multa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1310"/>
        <w:gridCol w:w="8050"/>
      </w:tblGrid>
      <w:tr>
        <w:trPr>
          <w:tblHeader w:val="true"/>
        </w:trPr>
        <w:tc>
          <w:tcPr>
            <w:tcW w:type="dxa" w:w="131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Campo</w:t>
            </w:r>
          </w:p>
        </w:tc>
        <w:tc>
          <w:tcPr>
            <w:tcW w:type="dxa" w:w="805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Contenido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Actores</w:t>
            </w:r>
          </w:p>
        </w:tc>
        <w:tc>
          <w:tcPr>
            <w:tcW w:type="dxa" w:w="805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Oficial de tránsito (inicia) · Sistema de multas de tránsito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Propósito</w:t>
            </w:r>
          </w:p>
        </w:tc>
        <w:tc>
          <w:tcPr>
            <w:tcW w:type="dxa" w:w="805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Cumplir la norma: solo el oficial levanta la multa, y lo hace con evidencia.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Resumen</w:t>
            </w:r>
          </w:p>
        </w:tc>
        <w:tc>
          <w:tcPr>
            <w:tcW w:type="dxa" w:w="805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 inicia cuando el Oficial de tránsito revisa sus presuntas infracciones. Finaliza con la multa registrada o la presunta infracción descartada.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Prioridad</w:t>
            </w:r>
          </w:p>
        </w:tc>
        <w:tc>
          <w:tcPr>
            <w:tcW w:type="dxa" w:w="805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Alta</w:t>
            </w:r>
          </w:p>
        </w:tc>
      </w:tr>
    </w:tbl>
    <w:p>
      <w:pPr>
        <w:spacing w:after="40"/>
      </w:pP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4212"/>
        <w:gridCol w:w="5148"/>
      </w:tblGrid>
      <w:tr>
        <w:trPr>
          <w:tblHeader w:val="true"/>
        </w:trPr>
        <w:tc>
          <w:tcPr>
            <w:tcW w:type="dxa" w:w="421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Acción del actor</w:t>
            </w:r>
          </w:p>
        </w:tc>
        <w:tc>
          <w:tcPr>
            <w:tcW w:type="dxa" w:w="514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Respuesta del sistema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1.</w:t>
            </w:r>
            <w:r>
              <w:rPr>
                <w:b w:val="0"/>
                <w:i w:val="0"/>
                <w:sz w:val="18"/>
              </w:rPr>
              <w:t xml:space="preserve"> El Oficial de tránsito revisa la evidencia de la presunta infracción.</w:t>
            </w:r>
          </w:p>
        </w:tc>
        <w:tc>
          <w:tcPr>
            <w:tcW w:type="dxa" w:w="5148"/>
          </w:tcPr>
          <w:p>
            <w:pPr>
              <w:keepNext/>
              <w:spacing w:after="20"/>
            </w:pP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/>
              <w:spacing w:after="20"/>
            </w:pPr>
          </w:p>
        </w:tc>
        <w:tc>
          <w:tcPr>
            <w:tcW w:type="dxa" w:w="5148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2.</w:t>
            </w:r>
            <w:r>
              <w:rPr>
                <w:b w:val="0"/>
                <w:i w:val="0"/>
                <w:sz w:val="18"/>
              </w:rPr>
              <w:t xml:space="preserve"> El sistema muestra fotografías, hora, ubicación y el historial de pagos de esa placa en la zona.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3.</w:t>
            </w:r>
            <w:r>
              <w:rPr>
                <w:b w:val="0"/>
                <w:i w:val="0"/>
                <w:sz w:val="18"/>
              </w:rPr>
              <w:t xml:space="preserve"> El Oficial de tránsito confirma la multa.</w:t>
            </w:r>
          </w:p>
        </w:tc>
        <w:tc>
          <w:tcPr>
            <w:tcW w:type="dxa" w:w="5148"/>
          </w:tcPr>
          <w:p>
            <w:pPr>
              <w:keepNext w:val="0"/>
              <w:spacing w:after="20"/>
            </w:pP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 w:val="0"/>
              <w:spacing w:after="20"/>
            </w:pPr>
          </w:p>
        </w:tc>
        <w:tc>
          <w:tcPr>
            <w:tcW w:type="dxa" w:w="514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4.</w:t>
            </w:r>
            <w:r>
              <w:rPr>
                <w:b w:val="0"/>
                <w:i w:val="0"/>
                <w:sz w:val="18"/>
              </w:rPr>
              <w:t xml:space="preserve"> El sistema la envía al Sistema de multas de tránsito, que devuelve su número; el sistema avisa al conductor.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  <w:i w:val="0"/>
          <w:sz w:val="19"/>
        </w:rPr>
        <w:t>En la línea 3:</w:t>
      </w:r>
      <w:r>
        <w:rPr>
          <w:b w:val="0"/>
          <w:i w:val="0"/>
          <w:sz w:val="19"/>
        </w:rPr>
        <w:t xml:space="preserve"> la evidencia es insuficiente. El Oficial la descarta con un motivo y el caso termina.</w:t>
      </w:r>
    </w:p>
    <w:p>
      <w:pPr>
        <w:pStyle w:val="Heading4"/>
      </w:pPr>
      <w:r>
        <w:rPr>
          <w:color w:val="000000"/>
        </w:rPr>
      </w:r>
      <w:r>
        <w:rPr>
          <w:b/>
          <w:i w:val="0"/>
          <w:color w:val="000000"/>
        </w:rPr>
        <w:t>CU-11 Presentar reclamo de infracción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1310"/>
        <w:gridCol w:w="8050"/>
      </w:tblGrid>
      <w:tr>
        <w:trPr>
          <w:tblHeader w:val="true"/>
        </w:trPr>
        <w:tc>
          <w:tcPr>
            <w:tcW w:type="dxa" w:w="131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Campo</w:t>
            </w:r>
          </w:p>
        </w:tc>
        <w:tc>
          <w:tcPr>
            <w:tcW w:type="dxa" w:w="805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Contenido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Actores</w:t>
            </w:r>
          </w:p>
        </w:tc>
        <w:tc>
          <w:tcPr>
            <w:tcW w:type="dxa" w:w="805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Conductor (inicia)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Propósito</w:t>
            </w:r>
          </w:p>
        </w:tc>
        <w:tc>
          <w:tcPr>
            <w:tcW w:type="dxa" w:w="805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Aclarar una infracción sabiendo a quién acudir y en cuánto tiempo responde.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Resumen</w:t>
            </w:r>
          </w:p>
        </w:tc>
        <w:tc>
          <w:tcPr>
            <w:tcW w:type="dxa" w:w="805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 inicia cuando el Conductor recibe una multa que considera injusta. Finaliza cuando recibe la resolución.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Prioridad</w:t>
            </w:r>
          </w:p>
        </w:tc>
        <w:tc>
          <w:tcPr>
            <w:tcW w:type="dxa" w:w="805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Alta</w:t>
            </w:r>
          </w:p>
        </w:tc>
      </w:tr>
    </w:tbl>
    <w:p>
      <w:pPr>
        <w:spacing w:after="40"/>
      </w:pP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4212"/>
        <w:gridCol w:w="5148"/>
      </w:tblGrid>
      <w:tr>
        <w:trPr>
          <w:tblHeader w:val="true"/>
        </w:trPr>
        <w:tc>
          <w:tcPr>
            <w:tcW w:type="dxa" w:w="421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Acción del actor</w:t>
            </w:r>
          </w:p>
        </w:tc>
        <w:tc>
          <w:tcPr>
            <w:tcW w:type="dxa" w:w="514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Respuesta del sistema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1.</w:t>
            </w:r>
            <w:r>
              <w:rPr>
                <w:b w:val="0"/>
                <w:i w:val="0"/>
                <w:sz w:val="18"/>
              </w:rPr>
              <w:t xml:space="preserve"> El Conductor ingresa el número de multa o su placa en la app, la web o la línea de atención.</w:t>
            </w:r>
          </w:p>
        </w:tc>
        <w:tc>
          <w:tcPr>
            <w:tcW w:type="dxa" w:w="5148"/>
          </w:tcPr>
          <w:p>
            <w:pPr>
              <w:keepNext/>
              <w:spacing w:after="20"/>
            </w:pP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/>
              <w:spacing w:after="20"/>
            </w:pPr>
          </w:p>
        </w:tc>
        <w:tc>
          <w:tcPr>
            <w:tcW w:type="dxa" w:w="5148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2.</w:t>
            </w:r>
            <w:r>
              <w:rPr>
                <w:b w:val="0"/>
                <w:i w:val="0"/>
                <w:sz w:val="18"/>
              </w:rPr>
              <w:t xml:space="preserve"> El sistema muestra la evidencia y los pagos de esa placa en la fecha.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3.</w:t>
            </w:r>
            <w:r>
              <w:rPr>
                <w:b w:val="0"/>
                <w:i w:val="0"/>
                <w:sz w:val="18"/>
              </w:rPr>
              <w:t xml:space="preserve"> El Conductor describe el motivo y adjunta su prueba.</w:t>
            </w:r>
          </w:p>
        </w:tc>
        <w:tc>
          <w:tcPr>
            <w:tcW w:type="dxa" w:w="5148"/>
          </w:tcPr>
          <w:p>
            <w:pPr>
              <w:keepNext w:val="0"/>
              <w:spacing w:after="20"/>
            </w:pP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 w:val="0"/>
              <w:spacing w:after="20"/>
            </w:pPr>
          </w:p>
        </w:tc>
        <w:tc>
          <w:tcPr>
            <w:tcW w:type="dxa" w:w="514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4.</w:t>
            </w:r>
            <w:r>
              <w:rPr>
                <w:b w:val="0"/>
                <w:i w:val="0"/>
                <w:sz w:val="18"/>
              </w:rPr>
              <w:t xml:space="preserve"> El sistema registra el reclamo con un folio, informa el plazo de respuesta (5 días hábiles) y lo asigna.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  <w:i w:val="0"/>
          <w:sz w:val="19"/>
        </w:rPr>
        <w:t>En la línea 2:</w:t>
      </w:r>
      <w:r>
        <w:rPr>
          <w:b w:val="0"/>
          <w:i w:val="0"/>
          <w:sz w:val="19"/>
        </w:rPr>
        <w:t xml:space="preserve"> el sistema encuentra un pago vigente para esa placa a la hora de la multa. Propone la anulación automática al oficial.</w:t>
      </w:r>
    </w:p>
    <w:p>
      <w:pPr>
        <w:pStyle w:val="Heading4"/>
      </w:pPr>
      <w:r>
        <w:rPr>
          <w:color w:val="000000"/>
        </w:rPr>
      </w:r>
      <w:r>
        <w:rPr>
          <w:b/>
          <w:i w:val="0"/>
          <w:color w:val="000000"/>
        </w:rPr>
        <w:t>CU-12 Reportar un cobro informal (cuidacarros)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1310"/>
        <w:gridCol w:w="8050"/>
      </w:tblGrid>
      <w:tr>
        <w:trPr>
          <w:tblHeader w:val="true"/>
        </w:trPr>
        <w:tc>
          <w:tcPr>
            <w:tcW w:type="dxa" w:w="131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Campo</w:t>
            </w:r>
          </w:p>
        </w:tc>
        <w:tc>
          <w:tcPr>
            <w:tcW w:type="dxa" w:w="805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Contenido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Actores</w:t>
            </w:r>
          </w:p>
        </w:tc>
        <w:tc>
          <w:tcPr>
            <w:tcW w:type="dxa" w:w="805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Conductor (inicia)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Propósito</w:t>
            </w:r>
          </w:p>
        </w:tc>
        <w:tc>
          <w:tcPr>
            <w:tcW w:type="dxa" w:w="805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Denunciar un cobro informal sin exponerse, para que la autoridad sepa dónde actuar.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Resumen</w:t>
            </w:r>
          </w:p>
        </w:tc>
        <w:tc>
          <w:tcPr>
            <w:tcW w:type="dxa" w:w="805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 inicia cuando alguien le pide dinero al Conductor por estacionar. Finaliza cuando el reporte llega a la autoridad.</w:t>
            </w:r>
          </w:p>
        </w:tc>
      </w:tr>
      <w:tr>
        <w:trPr>
          <w:cantSplit/>
        </w:trPr>
        <w:tc>
          <w:tcPr>
            <w:tcW w:type="dxa" w:w="131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Prioridad</w:t>
            </w:r>
          </w:p>
        </w:tc>
        <w:tc>
          <w:tcPr>
            <w:tcW w:type="dxa" w:w="805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Media</w:t>
            </w:r>
          </w:p>
        </w:tc>
      </w:tr>
    </w:tbl>
    <w:p>
      <w:pPr>
        <w:spacing w:after="40"/>
      </w:pP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4212"/>
        <w:gridCol w:w="5148"/>
      </w:tblGrid>
      <w:tr>
        <w:trPr>
          <w:tblHeader w:val="true"/>
        </w:trPr>
        <w:tc>
          <w:tcPr>
            <w:tcW w:type="dxa" w:w="421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Acción del actor</w:t>
            </w:r>
          </w:p>
        </w:tc>
        <w:tc>
          <w:tcPr>
            <w:tcW w:type="dxa" w:w="514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Respuesta del sistema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1.</w:t>
            </w:r>
            <w:r>
              <w:rPr>
                <w:b w:val="0"/>
                <w:i w:val="0"/>
                <w:sz w:val="18"/>
              </w:rPr>
              <w:t xml:space="preserve"> El Conductor elige «Reportar cobro informal» en el comprobante o en la app.</w:t>
            </w:r>
          </w:p>
        </w:tc>
        <w:tc>
          <w:tcPr>
            <w:tcW w:type="dxa" w:w="5148"/>
          </w:tcPr>
          <w:p>
            <w:pPr>
              <w:keepNext/>
              <w:spacing w:after="20"/>
            </w:pP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/>
              <w:spacing w:after="20"/>
            </w:pPr>
          </w:p>
        </w:tc>
        <w:tc>
          <w:tcPr>
            <w:tcW w:type="dxa" w:w="5148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2.</w:t>
            </w:r>
            <w:r>
              <w:rPr>
                <w:b w:val="0"/>
                <w:i w:val="0"/>
                <w:sz w:val="18"/>
              </w:rPr>
              <w:t xml:space="preserve"> El sistema toma la ubicación de la cuadra y la hora, sin pedir datos personales.</w:t>
            </w: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3.</w:t>
            </w:r>
            <w:r>
              <w:rPr>
                <w:b w:val="0"/>
                <w:i w:val="0"/>
                <w:sz w:val="18"/>
              </w:rPr>
              <w:t xml:space="preserve"> El Conductor agrega, si quiere, el monto pedido y una descripción.</w:t>
            </w:r>
          </w:p>
        </w:tc>
        <w:tc>
          <w:tcPr>
            <w:tcW w:type="dxa" w:w="5148"/>
          </w:tcPr>
          <w:p>
            <w:pPr>
              <w:keepNext w:val="0"/>
              <w:spacing w:after="20"/>
            </w:pPr>
          </w:p>
        </w:tc>
      </w:tr>
      <w:tr>
        <w:trPr>
          <w:cantSplit/>
        </w:trPr>
        <w:tc>
          <w:tcPr>
            <w:tcW w:type="dxa" w:w="4212"/>
          </w:tcPr>
          <w:p>
            <w:pPr>
              <w:keepNext w:val="0"/>
              <w:spacing w:after="20"/>
            </w:pPr>
          </w:p>
        </w:tc>
        <w:tc>
          <w:tcPr>
            <w:tcW w:type="dxa" w:w="514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4.</w:t>
            </w:r>
            <w:r>
              <w:rPr>
                <w:b w:val="0"/>
                <w:i w:val="0"/>
                <w:sz w:val="18"/>
              </w:rPr>
              <w:t xml:space="preserve"> El sistema envía el reporte a la Policía Municipal de Tránsito y lo suma al mapa de cobros informales.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  <w:i w:val="0"/>
          <w:sz w:val="19"/>
        </w:rPr>
        <w:t>En la línea 1:</w:t>
      </w:r>
      <w:r>
        <w:rPr>
          <w:b w:val="0"/>
          <w:i w:val="0"/>
          <w:sz w:val="19"/>
        </w:rPr>
        <w:t xml:space="preserve"> hay amenaza o agresión. El sistema muestra la línea de emergencia antes de continuar.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3.4 Drivers de calidad: escenarios de atributos de calidad (EAC)</w:t>
      </w:r>
    </w:p>
    <w:p>
      <w:pPr>
        <w:spacing w:after="60"/>
        <w:ind w:left="432"/>
      </w:pPr>
      <w:r>
        <w:rPr>
          <w:b/>
          <w:i w:val="0"/>
          <w:sz w:val="20"/>
        </w:rPr>
        <w:t>Qué taxonomía se usa</w:t>
      </w:r>
    </w:p>
    <w:p>
      <w:pPr>
        <w:spacing w:after="60"/>
        <w:ind w:left="432"/>
      </w:pPr>
      <w:r>
        <w:rPr>
          <w:b w:val="0"/>
          <w:i w:val="0"/>
          <w:sz w:val="19"/>
        </w:rPr>
        <w:t xml:space="preserve">La </w:t>
      </w:r>
      <w:r>
        <w:rPr>
          <w:b/>
          <w:i w:val="0"/>
          <w:sz w:val="19"/>
        </w:rPr>
        <w:t>categoría</w:t>
      </w:r>
      <w:r>
        <w:rPr>
          <w:b w:val="0"/>
          <w:i w:val="0"/>
          <w:sz w:val="19"/>
        </w:rPr>
        <w:t xml:space="preserve"> es la de la lista de drivers de calidad de clase (rendimiento, escalabilidad, disponibilidad, seguridad, mantenibilidad, usabilidad, fiabilidad). La columna </w:t>
      </w:r>
      <w:r>
        <w:rPr>
          <w:b/>
          <w:i w:val="0"/>
          <w:sz w:val="19"/>
        </w:rPr>
        <w:t>atributo afectado</w:t>
      </w:r>
      <w:r>
        <w:rPr>
          <w:b w:val="0"/>
          <w:i w:val="0"/>
          <w:sz w:val="19"/>
        </w:rPr>
        <w:t xml:space="preserve"> nombra la subcaracterística de </w:t>
      </w:r>
      <w:r>
        <w:rPr>
          <w:b/>
          <w:i w:val="0"/>
          <w:sz w:val="19"/>
        </w:rPr>
        <w:t>ISO/IEC 9126</w:t>
      </w:r>
      <w:r>
        <w:rPr>
          <w:b w:val="0"/>
          <w:i w:val="0"/>
          <w:sz w:val="19"/>
        </w:rPr>
        <w:t>, el modelo del programa, y la calidad en uso (§5.2).</w:t>
      </w:r>
    </w:p>
    <w:p>
      <w:pPr>
        <w:spacing w:after="60"/>
        <w:ind w:left="432"/>
      </w:pPr>
      <w:r>
        <w:rPr>
          <w:b/>
          <w:i w:val="0"/>
          <w:sz w:val="19"/>
        </w:rPr>
        <w:t>Prioridad:</w:t>
      </w:r>
      <w:r>
        <w:rPr>
          <w:b w:val="0"/>
          <w:i w:val="0"/>
          <w:sz w:val="19"/>
        </w:rPr>
        <w:t xml:space="preserve"> el par (importancia para el negocio, dificultad técnica), en A alta, M media o B baja.</w:t>
      </w:r>
    </w:p>
    <w:p>
      <w:pPr>
        <w:spacing w:after="200"/>
        <w:ind w:left="432"/>
      </w:pPr>
      <w:r>
        <w:rPr>
          <w:b/>
          <w:i w:val="0"/>
          <w:sz w:val="19"/>
        </w:rPr>
        <w:t>De dónde salen los números:</w:t>
      </w:r>
      <w:r>
        <w:rPr>
          <w:b w:val="0"/>
          <w:i w:val="0"/>
          <w:sz w:val="19"/>
        </w:rPr>
        <w:t xml:space="preserve"> el 72 % es el criterio que acordaron SERVIparq y Smartmedia; las demás medidas son </w:t>
      </w:r>
      <w:r>
        <w:rPr>
          <w:b/>
          <w:i w:val="0"/>
          <w:sz w:val="19"/>
        </w:rPr>
        <w:t>supuestos de diseño</w:t>
      </w:r>
      <w:r>
        <w:rPr>
          <w:b w:val="0"/>
          <w:i w:val="0"/>
          <w:sz w:val="19"/>
        </w:rPr>
        <w:t>, declarados como tales.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59"/>
      </w:tblPr>
      <w:tblGrid>
        <w:gridCol w:w="1037"/>
        <w:gridCol w:w="984"/>
        <w:gridCol w:w="5012"/>
        <w:gridCol w:w="1611"/>
        <w:gridCol w:w="716"/>
      </w:tblGrid>
      <w:tr>
        <w:trPr>
          <w:tblHeader w:val="true"/>
        </w:trPr>
        <w:tc>
          <w:tcPr>
            <w:tcW w:type="dxa" w:w="103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ID</w:t>
            </w:r>
          </w:p>
        </w:tc>
        <w:tc>
          <w:tcPr>
            <w:tcW w:type="dxa" w:w="98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Categoría</w:t>
            </w:r>
          </w:p>
        </w:tc>
        <w:tc>
          <w:tcPr>
            <w:tcW w:type="dxa" w:w="501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Escenario de seis partes</w:t>
            </w:r>
          </w:p>
        </w:tc>
        <w:tc>
          <w:tcPr>
            <w:tcW w:type="dxa" w:w="161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Atributo afectado</w:t>
            </w:r>
          </w:p>
        </w:tc>
        <w:tc>
          <w:tcPr>
            <w:tcW w:type="dxa" w:w="716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Prioridad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EAC-01</w:t>
            </w:r>
          </w:p>
        </w:tc>
        <w:tc>
          <w:tcPr>
            <w:tcW w:type="dxa" w:w="9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Usabilidad</w:t>
            </w:r>
          </w:p>
        </w:tc>
        <w:tc>
          <w:tcPr>
            <w:tcW w:type="dxa" w:w="501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Conductor que usa el parquímetro por primera vez y lleva prisa. </w:t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necesita pagar una hora para su placa. </w:t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interfaz del parquímetro. </w:t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en la calle, de día, con lluvia o con poca luz. </w:t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completa el pago sin ayuda y sin colocar boleto. </w:t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≥ 72 % de los participantes de la prueba de desempeño completan la tarea (80 % encuentra × 90 % usa bien), en ≤ 90 s.</w:t>
            </w:r>
          </w:p>
        </w:tc>
        <w:tc>
          <w:tcPr>
            <w:tcW w:type="dxa" w:w="161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Calidad en uso › eficacia · usabilidad › operabilidad</w:t>
            </w:r>
          </w:p>
        </w:tc>
        <w:tc>
          <w:tcPr>
            <w:tcW w:type="dxa" w:w="71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(A, A)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EAC-02</w:t>
            </w:r>
          </w:p>
        </w:tc>
        <w:tc>
          <w:tcPr>
            <w:tcW w:type="dxa" w:w="9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Usabilidad</w:t>
            </w:r>
          </w:p>
        </w:tc>
        <w:tc>
          <w:tcPr>
            <w:tcW w:type="dxa" w:w="501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Conductor frente al parquímetro o en la app. </w:t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busca la tarifa, el tiempo máximo y cómo reclamar. </w:t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pantalla y comprobante. </w:t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operación normal. </w:t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encuentra los tres datos en la pantalla o el comprobante. </w:t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≥ 80 % de los participantes encuentra cada dato en ≤ 10 s.</w:t>
            </w:r>
          </w:p>
        </w:tc>
        <w:tc>
          <w:tcPr>
            <w:tcW w:type="dxa" w:w="161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Usabilidad › comprensibilidad</w:t>
            </w:r>
          </w:p>
        </w:tc>
        <w:tc>
          <w:tcPr>
            <w:tcW w:type="dxa" w:w="71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(A, M)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EAC-03</w:t>
            </w:r>
          </w:p>
        </w:tc>
        <w:tc>
          <w:tcPr>
            <w:tcW w:type="dxa" w:w="9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Disponibilidad</w:t>
            </w:r>
          </w:p>
        </w:tc>
        <w:tc>
          <w:tcPr>
            <w:tcW w:type="dxa" w:w="501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Red celular de la zona. </w:t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se cae la conexión del parquímetro. </w:t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terminal de pago por placa. </w:t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horario de cobro. </w:t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sigue cobrando, guarda los pagos firmados y los reenvía al reconectar. </w:t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0 pagos perdidos · sincronización ≤ 5 min después de la reconexión · cobro disponible ≥ 99,5 % mensual por equipo.</w:t>
            </w:r>
          </w:p>
        </w:tc>
        <w:tc>
          <w:tcPr>
            <w:tcW w:type="dxa" w:w="161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Fiabilidad › tolerancia a fallos · recuperabilidad</w:t>
            </w:r>
          </w:p>
        </w:tc>
        <w:tc>
          <w:tcPr>
            <w:tcW w:type="dxa" w:w="71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(A, M)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EAC-04</w:t>
            </w:r>
          </w:p>
        </w:tc>
        <w:tc>
          <w:tcPr>
            <w:tcW w:type="dxa" w:w="9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Rendimiento</w:t>
            </w:r>
          </w:p>
        </w:tc>
        <w:tc>
          <w:tcPr>
            <w:tcW w:type="dxa" w:w="501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Verificador en la cuadra. </w:t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consulta una placa. </w:t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servicio de verificación y app del verificador. </w:t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hora pico, 500 verificadores conectados. </w:t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indica si la placa tiene pago vigente. </w:t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≤ 2 s en 95 de cada 100 consultas en línea · sin conexión, lista local con antigüedad ≤ 5 min.</w:t>
            </w:r>
          </w:p>
        </w:tc>
        <w:tc>
          <w:tcPr>
            <w:tcW w:type="dxa" w:w="161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Eficiencia › comportamiento temporal</w:t>
            </w:r>
          </w:p>
        </w:tc>
        <w:tc>
          <w:tcPr>
            <w:tcW w:type="dxa" w:w="71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(A, M)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EAC-05</w:t>
            </w:r>
          </w:p>
        </w:tc>
        <w:tc>
          <w:tcPr>
            <w:tcW w:type="dxa" w:w="9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Seguridad</w:t>
            </w:r>
          </w:p>
        </w:tc>
        <w:tc>
          <w:tcPr>
            <w:tcW w:type="dxa" w:w="501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Verificador. </w:t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registra una presunta infracción. </w:t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servicio de verificación y sanción. </w:t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operación normal. </w:t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la infracción solo se vuelve multa si un oficial de tránsito la confirma con evidencia. </w:t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100 % de las multas con fotografía, hora, ubicación y firma del dispositivo · 0 multas sin confirmación del oficial.</w:t>
            </w:r>
          </w:p>
        </w:tc>
        <w:tc>
          <w:tcPr>
            <w:tcW w:type="dxa" w:w="161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Funcionalidad › seguridad · conformidad</w:t>
            </w:r>
          </w:p>
        </w:tc>
        <w:tc>
          <w:tcPr>
            <w:tcW w:type="dxa" w:w="71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(A, A)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EAC-06</w:t>
            </w:r>
          </w:p>
        </w:tc>
        <w:tc>
          <w:tcPr>
            <w:tcW w:type="dxa" w:w="9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Seguridad</w:t>
            </w:r>
          </w:p>
        </w:tc>
        <w:tc>
          <w:tcPr>
            <w:tcW w:type="dxa" w:w="501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Usuario interno o atacante. </w:t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intenta consultar los movimientos de una placa. </w:t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base de sesiones y bitácora. </w:t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operación normal. </w:t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permite el acceso solo con rol autorizado y lo registra; la analítica usa placas seudonimizadas (reemplazadas por un código que no identifica al dueño). </w:t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0 consultas sin bitácora · 100 % de accesos internos con doble factor · datos de placa borrados a los 90 días si no hay multa ni reclamo.</w:t>
            </w:r>
          </w:p>
        </w:tc>
        <w:tc>
          <w:tcPr>
            <w:tcW w:type="dxa" w:w="161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Funcionalidad › seguridad</w:t>
            </w:r>
          </w:p>
        </w:tc>
        <w:tc>
          <w:tcPr>
            <w:tcW w:type="dxa" w:w="71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(A, A)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EAC-07</w:t>
            </w:r>
          </w:p>
        </w:tc>
        <w:tc>
          <w:tcPr>
            <w:tcW w:type="dxa" w:w="9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Fiabilidad</w:t>
            </w:r>
          </w:p>
        </w:tc>
        <w:tc>
          <w:tcPr>
            <w:tcW w:type="dxa" w:w="501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Persona que fuerza o golpea un parquímetro. </w:t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abre la caja o daña el equipo. </w:t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sensor de vandalismo y servicio de red y mantenimiento. </w:t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cualquier hora. </w:t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avisa a la central y genera la orden para el proveedor y el aviso a la policía municipal. </w:t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alarma en la central en ≤ 60 s en el 95 % de los casos · orden de mantenimiento en ≤ 5 min.</w:t>
            </w:r>
          </w:p>
        </w:tc>
        <w:tc>
          <w:tcPr>
            <w:tcW w:type="dxa" w:w="161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Fiabilidad › madurez · recuperabilidad</w:t>
            </w:r>
          </w:p>
        </w:tc>
        <w:tc>
          <w:tcPr>
            <w:tcW w:type="dxa" w:w="71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(M, M)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EAC-08</w:t>
            </w:r>
          </w:p>
        </w:tc>
        <w:tc>
          <w:tcPr>
            <w:tcW w:type="dxa" w:w="9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Mantenibilidad</w:t>
            </w:r>
          </w:p>
        </w:tc>
        <w:tc>
          <w:tcPr>
            <w:tcW w:type="dxa" w:w="501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Delegación. </w:t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cambia la tarifa, el horario o activa tarifa por demanda en una zona. </w:t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servicio de zonas y tarifario. </w:t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operación normal. </w:t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el cambio se configura y llega a todos los parquímetros de la zona. </w:t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≤ 1 día hábil · 0 líneas de código modificadas.</w:t>
            </w:r>
          </w:p>
        </w:tc>
        <w:tc>
          <w:tcPr>
            <w:tcW w:type="dxa" w:w="161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Mantenibilidad › facilidad de cambio</w:t>
            </w:r>
          </w:p>
        </w:tc>
        <w:tc>
          <w:tcPr>
            <w:tcW w:type="dxa" w:w="71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(A, B)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EAC-09</w:t>
            </w:r>
          </w:p>
        </w:tc>
        <w:tc>
          <w:tcPr>
            <w:tcW w:type="dxa" w:w="9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Fiabilidad</w:t>
            </w:r>
          </w:p>
        </w:tc>
        <w:tc>
          <w:tcPr>
            <w:tcW w:type="dxa" w:w="501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Fin del día de cobro. </w:t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cierra la recaudación. </w:t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servicio de transparencia y conciliación bancaria. </w:t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operación normal. </w:t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publica lo recaudado por zona y el reparto 70/30, conciliado con el banco. </w:t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publicado en ≤ 24 h · diferencia con el banco = Q0.</w:t>
            </w:r>
          </w:p>
        </w:tc>
        <w:tc>
          <w:tcPr>
            <w:tcW w:type="dxa" w:w="161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Funcionalidad › exactitud</w:t>
            </w:r>
          </w:p>
        </w:tc>
        <w:tc>
          <w:tcPr>
            <w:tcW w:type="dxa" w:w="71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(A, M)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EAC-10</w:t>
            </w:r>
          </w:p>
        </w:tc>
        <w:tc>
          <w:tcPr>
            <w:tcW w:type="dxa" w:w="9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Escalabilidad</w:t>
            </w:r>
          </w:p>
        </w:tc>
        <w:tc>
          <w:tcPr>
            <w:tcW w:type="dxa" w:w="501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Delegación. </w:t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incorpora una colonia nueva de 300 parquímetros. </w:t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plataforma completa. </w:t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crecimiento planificado. </w:t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la incorpora con configuración, sin rediseñar. </w:t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EAC-04 se mantiene con el doble de equipos · alta de la colonia en ≤ 5 días hábiles.</w:t>
            </w:r>
          </w:p>
        </w:tc>
        <w:tc>
          <w:tcPr>
            <w:tcW w:type="dxa" w:w="161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Eficiencia › utilización de recursos</w:t>
            </w:r>
          </w:p>
        </w:tc>
        <w:tc>
          <w:tcPr>
            <w:tcW w:type="dxa" w:w="71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(M, M)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EAC-11</w:t>
            </w:r>
          </w:p>
        </w:tc>
        <w:tc>
          <w:tcPr>
            <w:tcW w:type="dxa" w:w="9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Seguridad</w:t>
            </w:r>
          </w:p>
        </w:tc>
        <w:tc>
          <w:tcPr>
            <w:tcW w:type="dxa" w:w="501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Conductor al que le piden dinero por estacionar. </w:t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reporta el cobro informal. </w:t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servicio de verificación y sanción. </w:t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operación normal. </w:t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el reporte llega a la policía municipal y aparece en el mapa de cobros informales. </w:t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reporte entregado en ≤ 5 min · 0 datos personales del denunciante almacenados.</w:t>
            </w:r>
          </w:p>
        </w:tc>
        <w:tc>
          <w:tcPr>
            <w:tcW w:type="dxa" w:w="161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Funcionalidad › seguridad (protección del usuario)</w:t>
            </w:r>
          </w:p>
        </w:tc>
        <w:tc>
          <w:tcPr>
            <w:tcW w:type="dxa" w:w="71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(A, M)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3.5 Drivers de restricción</w:t>
      </w:r>
    </w:p>
    <w:p>
      <w:pPr>
        <w:keepNext/>
      </w:pPr>
      <w:r>
        <w:rPr>
          <w:b w:val="0"/>
          <w:i w:val="0"/>
          <w:sz w:val="22"/>
        </w:rPr>
        <w:t>Ordenados por las seis categorías de clase. Las restricciones no se priorizan: todas son obligatorias.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59"/>
      </w:tblPr>
      <w:tblGrid>
        <w:gridCol w:w="1037"/>
        <w:gridCol w:w="1253"/>
        <w:gridCol w:w="4922"/>
        <w:gridCol w:w="2148"/>
      </w:tblGrid>
      <w:tr>
        <w:trPr>
          <w:tblHeader w:val="true"/>
        </w:trPr>
        <w:tc>
          <w:tcPr>
            <w:tcW w:type="dxa" w:w="103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ID</w:t>
            </w:r>
          </w:p>
        </w:tc>
        <w:tc>
          <w:tcPr>
            <w:tcW w:type="dxa" w:w="1253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Categoría</w:t>
            </w:r>
          </w:p>
        </w:tc>
        <w:tc>
          <w:tcPr>
            <w:tcW w:type="dxa" w:w="492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Restricción</w:t>
            </w:r>
          </w:p>
        </w:tc>
        <w:tc>
          <w:tcPr>
            <w:tcW w:type="dxa" w:w="214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Fuente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RE-01</w:t>
            </w:r>
          </w:p>
        </w:tc>
        <w:tc>
          <w:tcPr>
            <w:tcW w:type="dxa" w:w="125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Tecnológica</w:t>
            </w:r>
          </w:p>
        </w:tc>
        <w:tc>
          <w:tcPr>
            <w:tcW w:type="dxa" w:w="492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Reutilizar los parquímetros de origen francés ya adquiridos; sus funciones de pago inalámbrico y alarma existen pero están deshabilitadas</w:t>
            </w:r>
          </w:p>
        </w:tc>
        <w:tc>
          <w:tcPr>
            <w:tcW w:type="dxa" w:w="214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Caso, «Aspectos tecnológicos»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RE-02</w:t>
            </w:r>
          </w:p>
        </w:tc>
        <w:tc>
          <w:tcPr>
            <w:tcW w:type="dxa" w:w="125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Tecnológica</w:t>
            </w:r>
          </w:p>
        </w:tc>
        <w:tc>
          <w:tcPr>
            <w:tcW w:type="dxa" w:w="492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El equipo trabaja a la intemperie: pantalla legible con sol, lluvia, neblina y de noche</w:t>
            </w:r>
          </w:p>
        </w:tc>
        <w:tc>
          <w:tcPr>
            <w:tcW w:type="dxa" w:w="214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Caso, comentario de Marco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RE-03</w:t>
            </w:r>
          </w:p>
        </w:tc>
        <w:tc>
          <w:tcPr>
            <w:tcW w:type="dxa" w:w="12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Regulatoria</w:t>
            </w:r>
          </w:p>
        </w:tc>
        <w:tc>
          <w:tcPr>
            <w:tcW w:type="dxa" w:w="492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Solo los oficiales de tránsito pueden levantar la multa (en Guatemala, la Policía Municipal de Tránsito)</w:t>
            </w:r>
          </w:p>
        </w:tc>
        <w:tc>
          <w:tcPr>
            <w:tcW w:type="dxa" w:w="21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Caso, P-05 · COM-40-2022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RE-04</w:t>
            </w:r>
          </w:p>
        </w:tc>
        <w:tc>
          <w:tcPr>
            <w:tcW w:type="dxa" w:w="12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Regulatoria</w:t>
            </w:r>
          </w:p>
        </w:tc>
        <w:tc>
          <w:tcPr>
            <w:tcW w:type="dxa" w:w="492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La base de datos de placas y la sanción necesitan fundamento expreso en el reglamento, y protección de datos personales</w:t>
            </w:r>
          </w:p>
        </w:tc>
        <w:tc>
          <w:tcPr>
            <w:tcW w:type="dxa" w:w="21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Supuesto, a partir de la CC, exp. 3595-2026 y 5643-2026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RE-05</w:t>
            </w:r>
          </w:p>
        </w:tc>
        <w:tc>
          <w:tcPr>
            <w:tcW w:type="dxa" w:w="12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Regulatoria</w:t>
            </w:r>
          </w:p>
        </w:tc>
        <w:tc>
          <w:tcPr>
            <w:tcW w:type="dxa" w:w="492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Información pública de oficio sobre los recursos (en Guatemala, Ley de Acceso a la Información Pública, Decreto 57-2008)</w:t>
            </w:r>
          </w:p>
        </w:tc>
        <w:tc>
          <w:tcPr>
            <w:tcW w:type="dxa" w:w="21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Caso, P-06 · supuesto de traslado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RE-06</w:t>
            </w:r>
          </w:p>
        </w:tc>
        <w:tc>
          <w:tcPr>
            <w:tcW w:type="dxa" w:w="12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 negocio</w:t>
            </w:r>
          </w:p>
        </w:tc>
        <w:tc>
          <w:tcPr>
            <w:tcW w:type="dxa" w:w="492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Reparto fijo de lo recaudado: 70 % inversión, operación y mantenimiento; 30 % reinversión en la comunidad</w:t>
            </w:r>
          </w:p>
        </w:tc>
        <w:tc>
          <w:tcPr>
            <w:tcW w:type="dxa" w:w="21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Caso, Introducción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RE-07</w:t>
            </w:r>
          </w:p>
        </w:tc>
        <w:tc>
          <w:tcPr>
            <w:tcW w:type="dxa" w:w="12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 negocio</w:t>
            </w:r>
          </w:p>
        </w:tc>
        <w:tc>
          <w:tcPr>
            <w:tcW w:type="dxa" w:w="492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Mejorar sin aumentar el capital humano</w:t>
            </w:r>
          </w:p>
        </w:tc>
        <w:tc>
          <w:tcPr>
            <w:tcW w:type="dxa" w:w="21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Caso, decisión de Margarita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RE-08</w:t>
            </w:r>
          </w:p>
        </w:tc>
        <w:tc>
          <w:tcPr>
            <w:tcW w:type="dxa" w:w="12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Organizacional</w:t>
            </w:r>
          </w:p>
        </w:tc>
        <w:tc>
          <w:tcPr>
            <w:tcW w:type="dxa" w:w="492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Cada Delegación implementa distinto: la solución se configura por zona, no se impone igual a todas</w:t>
            </w:r>
          </w:p>
        </w:tc>
        <w:tc>
          <w:tcPr>
            <w:tcW w:type="dxa" w:w="21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Caso, Introducción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RE-09</w:t>
            </w:r>
          </w:p>
        </w:tc>
        <w:tc>
          <w:tcPr>
            <w:tcW w:type="dxa" w:w="12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Organizacional</w:t>
            </w:r>
          </w:p>
        </w:tc>
        <w:tc>
          <w:tcPr>
            <w:tcW w:type="dxa" w:w="492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La implementación pasa por comités vecinales de transparencia antes de instalar</w:t>
            </w:r>
          </w:p>
        </w:tc>
        <w:tc>
          <w:tcPr>
            <w:tcW w:type="dxa" w:w="21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Caso, visión de Margarita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RE-10</w:t>
            </w:r>
          </w:p>
        </w:tc>
        <w:tc>
          <w:tcPr>
            <w:tcW w:type="dxa" w:w="12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Organizacional</w:t>
            </w:r>
          </w:p>
        </w:tc>
        <w:tc>
          <w:tcPr>
            <w:tcW w:type="dxa" w:w="492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Probar en la vía pública exige un permiso especial de la ciudad</w:t>
            </w:r>
          </w:p>
        </w:tc>
        <w:tc>
          <w:tcPr>
            <w:tcW w:type="dxa" w:w="21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Caso, pruebas de evaluación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RE-11</w:t>
            </w:r>
          </w:p>
        </w:tc>
        <w:tc>
          <w:tcPr>
            <w:tcW w:type="dxa" w:w="12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Ambiental o física</w:t>
            </w:r>
          </w:p>
        </w:tc>
        <w:tc>
          <w:tcPr>
            <w:tcW w:type="dxa" w:w="492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Riesgo de vandalismo de los equipos y del dinero en la caja</w:t>
            </w:r>
          </w:p>
        </w:tc>
        <w:tc>
          <w:tcPr>
            <w:tcW w:type="dxa" w:w="21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Caso, capacidad de aviso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RE-12</w:t>
            </w:r>
          </w:p>
        </w:tc>
        <w:tc>
          <w:tcPr>
            <w:tcW w:type="dxa" w:w="12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Ambiental o física</w:t>
            </w:r>
          </w:p>
        </w:tc>
        <w:tc>
          <w:tcPr>
            <w:tcW w:type="dxa" w:w="492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Cuidacarros que ocupan los cajones con objetos y cobran: el sistema convive con ellos en la calle</w:t>
            </w:r>
          </w:p>
        </w:tc>
        <w:tc>
          <w:tcPr>
            <w:tcW w:type="dxa" w:w="21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Caso, P-02 · §2.2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RE-13</w:t>
            </w:r>
          </w:p>
        </w:tc>
        <w:tc>
          <w:tcPr>
            <w:tcW w:type="dxa" w:w="12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 integración</w:t>
            </w:r>
          </w:p>
        </w:tc>
        <w:tc>
          <w:tcPr>
            <w:tcW w:type="dxa" w:w="492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Bancos e iniciativa privada como socios para el pago electrónico</w:t>
            </w:r>
          </w:p>
        </w:tc>
        <w:tc>
          <w:tcPr>
            <w:tcW w:type="dxa" w:w="21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Caso, «Aspectos tecnológicos»</w:t>
            </w:r>
          </w:p>
        </w:tc>
      </w:tr>
      <w:tr>
        <w:trPr>
          <w:cantSplit/>
        </w:trPr>
        <w:tc>
          <w:tcPr>
            <w:tcW w:type="dxa" w:w="103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RE-14</w:t>
            </w:r>
          </w:p>
        </w:tc>
        <w:tc>
          <w:tcPr>
            <w:tcW w:type="dxa" w:w="125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 integración</w:t>
            </w:r>
          </w:p>
        </w:tc>
        <w:tc>
          <w:tcPr>
            <w:tcW w:type="dxa" w:w="492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Sistema de multas de tránsito y padrón vehicular, que pertenecen a otra autoridad</w:t>
            </w:r>
          </w:p>
        </w:tc>
        <w:tc>
          <w:tcPr>
            <w:tcW w:type="dxa" w:w="21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Supuesto de diseño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3.6 Priorización: los cinco drivers que más pesan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59"/>
      </w:tblPr>
      <w:tblGrid>
        <w:gridCol w:w="504"/>
        <w:gridCol w:w="2583"/>
        <w:gridCol w:w="3136"/>
        <w:gridCol w:w="3136"/>
      </w:tblGrid>
      <w:tr>
        <w:trPr>
          <w:tblHeader w:val="true"/>
        </w:trPr>
        <w:tc>
          <w:tcPr>
            <w:tcW w:type="dxa" w:w="50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#</w:t>
            </w:r>
          </w:p>
        </w:tc>
        <w:tc>
          <w:tcPr>
            <w:tcW w:type="dxa" w:w="2583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Driver</w:t>
            </w:r>
          </w:p>
        </w:tc>
        <w:tc>
          <w:tcPr>
            <w:tcW w:type="dxa" w:w="3136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Por qué pesa</w:t>
            </w:r>
          </w:p>
        </w:tc>
        <w:tc>
          <w:tcPr>
            <w:tcW w:type="dxa" w:w="3136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Decisión de arquitectura que fuerza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258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EAC-05 Infracción solo con evidencia y oficial</w:t>
            </w:r>
          </w:p>
        </w:tc>
        <w:tc>
          <w:tcPr>
            <w:tcW w:type="dxa" w:w="313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Sin esto la multa es ilegal (RE-03) y el sistema pierde legitimidad</w:t>
            </w:r>
          </w:p>
        </w:tc>
        <w:tc>
          <w:tcPr>
            <w:tcW w:type="dxa" w:w="313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Servicio de sanción separado; evidencia firmada en el dispositivo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258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EAC-06 Protección de la base de placas</w:t>
            </w:r>
          </w:p>
        </w:tc>
        <w:tc>
          <w:tcPr>
            <w:tcW w:type="dxa" w:w="313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Es lo que la Corte suspendió en Antigua</w:t>
            </w:r>
          </w:p>
        </w:tc>
        <w:tc>
          <w:tcPr>
            <w:tcW w:type="dxa" w:w="313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Placas reemplazadas por un código en la analítica, bitácora de solo inserción, retención limitada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25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EAC-01 Eficacia del 72 %</w:t>
            </w:r>
          </w:p>
        </w:tc>
        <w:tc>
          <w:tcPr>
            <w:tcW w:type="dxa" w:w="31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Es el criterio que el propio caso acordó</w:t>
            </w:r>
          </w:p>
        </w:tc>
        <w:tc>
          <w:tcPr>
            <w:tcW w:type="dxa" w:w="31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Pago por placa en tres pasos y prueba de desempeño en cada iteración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25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EAC-03 Cobro sin conexión</w:t>
            </w:r>
          </w:p>
        </w:tc>
        <w:tc>
          <w:tcPr>
            <w:tcW w:type="dxa" w:w="31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Un parquímetro que no cobra es un cajón regalado al cuidacarros</w:t>
            </w:r>
          </w:p>
        </w:tc>
        <w:tc>
          <w:tcPr>
            <w:tcW w:type="dxa" w:w="31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Cliente-servidor con guardar y reenviar en el equipo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25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EAC-04 Verificación en 2 s</w:t>
            </w:r>
          </w:p>
        </w:tc>
        <w:tc>
          <w:tcPr>
            <w:tcW w:type="dxa" w:w="31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Es lo que permite cubrir la falta de personal (P-05, RE-07)</w:t>
            </w:r>
          </w:p>
        </w:tc>
        <w:tc>
          <w:tcPr>
            <w:tcW w:type="dxa" w:w="31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Lista local en la app y consulta por evento, no por lectura de boletos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6" w:space="4" w:color="9AA0A6"/>
        </w:pBdr>
      </w:pPr>
      <w:r>
        <w:rPr>
          <w:color w:val="000000"/>
        </w:rPr>
      </w:r>
      <w:r>
        <w:rPr>
          <w:b/>
          <w:i w:val="0"/>
          <w:color w:val="000000"/>
        </w:rPr>
        <w:t>4. Posibles soluciones</w:t>
      </w:r>
    </w:p>
    <w:p>
      <w:pPr>
        <w:keepNext w:val="0"/>
      </w:pPr>
      <w:r>
        <w:rPr>
          <w:b w:val="0"/>
          <w:i w:val="0"/>
          <w:sz w:val="22"/>
        </w:rPr>
        <w:t>Se plantean cuatro alternativas. Las tres primeras son excluyentes en su núcleo técnico; la cuarta es de gobierno y se combina con cualquiera. Cada una se mira desde las cuatro perspectivas de la consigna.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Alternativa</w:t>
            </w:r>
          </w:p>
        </w:tc>
        <w:tc>
          <w:tcPr>
            <w:tcW w:type="dxa" w:w="187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Arquitectura del software</w:t>
            </w:r>
          </w:p>
        </w:tc>
        <w:tc>
          <w:tcPr>
            <w:tcW w:type="dxa" w:w="187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Calidad del software</w:t>
            </w:r>
          </w:p>
        </w:tc>
        <w:tc>
          <w:tcPr>
            <w:tcW w:type="dxa" w:w="187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Arquitectura en el ciclo de vida</w:t>
            </w:r>
          </w:p>
        </w:tc>
        <w:tc>
          <w:tcPr>
            <w:tcW w:type="dxa" w:w="187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Arquitectura de la información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S-1</w:t>
            </w:r>
            <w:r>
              <w:rPr>
                <w:b w:val="0"/>
                <w:i w:val="0"/>
                <w:sz w:val="17"/>
              </w:rPr>
              <w:t xml:space="preserve"> Rediseñar la información sobre el mismo «Pay and Display» (lo que entregó Smartmedia)</w:t>
            </w:r>
          </w:p>
        </w:tc>
        <w:tc>
          <w:tcPr>
            <w:tcW w:type="dxa" w:w="187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Ningún cambio: equipo aislado, boleto en el tablero, verificación visual</w:t>
            </w:r>
          </w:p>
        </w:tc>
        <w:tc>
          <w:tcPr>
            <w:tcW w:type="dxa" w:w="187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Mejora la eficacia de uso hasta el 72 %, pero no toca disponibilidad ni seguridad de la multa</w:t>
            </w:r>
          </w:p>
        </w:tc>
        <w:tc>
          <w:tcPr>
            <w:tcW w:type="dxa" w:w="187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Un ciclo corto de diseño y pruebas; sin construcción de software</w:t>
            </w:r>
          </w:p>
        </w:tc>
        <w:tc>
          <w:tcPr>
            <w:tcW w:type="dxa" w:w="187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Panel reorganizado por pasos; sigue sin la etapa «después del uso»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S-2</w:t>
            </w:r>
            <w:r>
              <w:rPr>
                <w:b w:val="0"/>
                <w:i w:val="0"/>
                <w:sz w:val="17"/>
              </w:rPr>
              <w:t xml:space="preserve"> Pago por placa, con varios medios de pago y conectado: se habilitan las funciones apagadas del equipo y se suma una plataforma de servicios</w:t>
            </w:r>
          </w:p>
        </w:tc>
        <w:tc>
          <w:tcPr>
            <w:tcW w:type="dxa" w:w="187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SOA por proceso con eventos; el parquímetro y la app del verificador trabajan sin conexión</w:t>
            </w:r>
          </w:p>
        </w:tc>
        <w:tc>
          <w:tcPr>
            <w:tcW w:type="dxa" w:w="187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Once escenarios medibles; el 72 % se vuelve criterio de aceptación de cada entrega</w:t>
            </w:r>
          </w:p>
        </w:tc>
        <w:tc>
          <w:tcPr>
            <w:tcW w:type="dxa" w:w="187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Iterativo e incremental: piloto en una colonia, luego por zonas</w:t>
            </w:r>
          </w:p>
        </w:tc>
        <w:tc>
          <w:tcPr>
            <w:tcW w:type="dxa" w:w="187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Tres momentos de uso cubiertos: señal y app antes, tres pasos durante, comprobante y aviso después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S-3</w:t>
            </w:r>
            <w:r>
              <w:rPr>
                <w:b w:val="0"/>
                <w:i w:val="0"/>
                <w:sz w:val="17"/>
              </w:rPr>
              <w:t xml:space="preserve"> Red sensorizada con tarifa por demanda (modelo San Francisco)</w:t>
            </w:r>
          </w:p>
        </w:tc>
        <w:tc>
          <w:tcPr>
            <w:tcW w:type="dxa" w:w="18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Sensores por cajón, gateway IoT y motor de tarifas en tiempo real</w:t>
            </w:r>
          </w:p>
        </w:tc>
        <w:tc>
          <w:tcPr>
            <w:tcW w:type="dxa" w:w="18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Exige alta disponibilidad de sensores y datos confiables; riesgo de vandalismo</w:t>
            </w:r>
          </w:p>
        </w:tc>
        <w:tc>
          <w:tcPr>
            <w:tcW w:type="dxa" w:w="18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Proyecto largo y caro, con riesgo alto al inicio</w:t>
            </w:r>
          </w:p>
        </w:tc>
        <w:tc>
          <w:tcPr>
            <w:tcW w:type="dxa" w:w="18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Ocupación en tiempo real; la tarifa cambiante es difícil de comunicar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S-4</w:t>
            </w:r>
            <w:r>
              <w:rPr>
                <w:b w:val="0"/>
                <w:i w:val="0"/>
                <w:sz w:val="17"/>
              </w:rPr>
              <w:t xml:space="preserve"> Gobierno comunitario y respuesta al cobro informal: consulta previa, comité, tablero público y protocolo con la policía municipal y la PDH</w:t>
            </w:r>
          </w:p>
        </w:tc>
        <w:tc>
          <w:tcPr>
            <w:tcW w:type="dxa" w:w="18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Requiere servicios de transparencia y reportes; no exige una plataforma particular</w:t>
            </w:r>
          </w:p>
        </w:tc>
        <w:tc>
          <w:tcPr>
            <w:tcW w:type="dxa" w:w="18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Se mide con la satisfacción y la confianza (calidad en uso)</w:t>
            </w:r>
          </w:p>
        </w:tc>
        <w:tc>
          <w:tcPr>
            <w:tcW w:type="dxa" w:w="18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Agrega una fase previa de concertación a cada zona</w:t>
            </w:r>
          </w:p>
        </w:tc>
        <w:tc>
          <w:tcPr>
            <w:tcW w:type="dxa" w:w="18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Publica cuentas claras y avisa que el único cobro es el del parquímetro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4.1 Evaluación contra las problemáticas y los drivers</w:t>
      </w:r>
    </w:p>
    <w:p>
      <w:pPr>
        <w:keepNext/>
      </w:pPr>
      <w:r>
        <w:rPr>
          <w:b/>
          <w:i w:val="0"/>
          <w:sz w:val="22"/>
        </w:rPr>
        <w:t>Sí</w:t>
      </w:r>
      <w:r>
        <w:rPr>
          <w:b w:val="0"/>
          <w:i w:val="0"/>
          <w:sz w:val="22"/>
        </w:rPr>
        <w:t xml:space="preserve"> resuelve · </w:t>
      </w:r>
      <w:r>
        <w:rPr>
          <w:b/>
          <w:i w:val="0"/>
          <w:sz w:val="22"/>
        </w:rPr>
        <w:t>Parcial</w:t>
      </w:r>
      <w:r>
        <w:rPr>
          <w:b w:val="0"/>
          <w:i w:val="0"/>
          <w:sz w:val="22"/>
        </w:rPr>
        <w:t xml:space="preserve"> resuelve en parte · </w:t>
      </w:r>
      <w:r>
        <w:rPr>
          <w:b/>
          <w:i w:val="0"/>
          <w:sz w:val="22"/>
        </w:rPr>
        <w:t>No</w:t>
      </w:r>
      <w:r>
        <w:rPr>
          <w:b w:val="0"/>
          <w:i w:val="0"/>
          <w:sz w:val="22"/>
        </w:rPr>
        <w:t xml:space="preserve"> no resuelve. Una alternativa que no toca un driver de los cinco priorizados (§3.6) queda descartada como solución única.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3744"/>
        <w:gridCol w:w="1404"/>
        <w:gridCol w:w="1404"/>
        <w:gridCol w:w="1404"/>
        <w:gridCol w:w="1404"/>
      </w:tblGrid>
      <w:tr>
        <w:trPr>
          <w:tblHeader w:val="true"/>
        </w:trPr>
        <w:tc>
          <w:tcPr>
            <w:tcW w:type="dxa" w:w="374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Criterio</w:t>
            </w:r>
          </w:p>
        </w:tc>
        <w:tc>
          <w:tcPr>
            <w:tcW w:type="dxa" w:w="1404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8"/>
              </w:rPr>
              <w:t>S-1</w:t>
            </w:r>
          </w:p>
        </w:tc>
        <w:tc>
          <w:tcPr>
            <w:tcW w:type="dxa" w:w="1404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8"/>
              </w:rPr>
              <w:t>S-2</w:t>
            </w:r>
          </w:p>
        </w:tc>
        <w:tc>
          <w:tcPr>
            <w:tcW w:type="dxa" w:w="1404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8"/>
              </w:rPr>
              <w:t>S-3</w:t>
            </w:r>
          </w:p>
        </w:tc>
        <w:tc>
          <w:tcPr>
            <w:tcW w:type="dxa" w:w="1404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8"/>
              </w:rPr>
              <w:t>S-4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P-01 Vecinos no consultados</w:t>
            </w:r>
          </w:p>
        </w:tc>
        <w:tc>
          <w:tcPr>
            <w:tcW w:type="dxa" w:w="1404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No</w:t>
            </w:r>
          </w:p>
        </w:tc>
        <w:tc>
          <w:tcPr>
            <w:tcW w:type="dxa" w:w="1404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No</w:t>
            </w:r>
          </w:p>
        </w:tc>
        <w:tc>
          <w:tcPr>
            <w:tcW w:type="dxa" w:w="1404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No</w:t>
            </w:r>
          </w:p>
        </w:tc>
        <w:tc>
          <w:tcPr>
            <w:tcW w:type="dxa" w:w="1404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P-02 Cuidacarros</w:t>
            </w:r>
          </w:p>
        </w:tc>
        <w:tc>
          <w:tcPr>
            <w:tcW w:type="dxa" w:w="1404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1404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1404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1404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P-03 Instrucciones y medios de pago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No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P-04 Primer uso y reclamos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Parcial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P-05 Falta de personal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No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No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P-06 Percepción de corrupción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No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EAC-05 Multa con evidencia (prioridad 1)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No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No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EAC-06 Protección de placas (prioridad 2)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no aplica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no aplica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EAC-01 Eficacia del 72 % (prioridad 3)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No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RE-01 Reutilizar el equipo comprado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No (sensores nuevos)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RE-07 Sin más personal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Parcial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Costo y riesgo de implementación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Bajo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Medio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Alto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Bajo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4.2 La decisión</w:t>
      </w:r>
    </w:p>
    <w:p>
      <w:pPr>
        <w:spacing w:after="60"/>
        <w:ind w:left="432"/>
      </w:pPr>
      <w:r>
        <w:rPr>
          <w:b/>
          <w:i w:val="0"/>
          <w:sz w:val="20"/>
        </w:rPr>
        <w:t>Solución seleccionada: S-2 como núcleo, con S-1 dentro y S-4 alrededor; S-3 queda como evolución</w:t>
      </w:r>
    </w:p>
    <w:p>
      <w:pPr>
        <w:spacing w:after="60"/>
        <w:ind w:left="432"/>
      </w:pPr>
      <w:r>
        <w:rPr>
          <w:b/>
          <w:i w:val="0"/>
          <w:sz w:val="19"/>
        </w:rPr>
        <w:t>S-2</w:t>
      </w:r>
      <w:r>
        <w:rPr>
          <w:b w:val="0"/>
          <w:i w:val="0"/>
          <w:sz w:val="19"/>
        </w:rPr>
        <w:t xml:space="preserve"> es la única que ataca la falta de personal (P-05) y los tres drivers de mayor prioridad, y lo hace con el equipo ya comprado (RE-01): las funciones de pago electrónico y de alarma existen y estaban apagadas.</w:t>
      </w:r>
    </w:p>
    <w:p>
      <w:pPr>
        <w:spacing w:after="60"/>
        <w:ind w:left="432"/>
      </w:pPr>
      <w:r>
        <w:rPr>
          <w:b/>
          <w:i w:val="0"/>
          <w:sz w:val="19"/>
        </w:rPr>
        <w:t>S-1 queda incluida:</w:t>
      </w:r>
      <w:r>
        <w:rPr>
          <w:b w:val="0"/>
          <w:i w:val="0"/>
          <w:sz w:val="19"/>
        </w:rPr>
        <w:t xml:space="preserve"> el método de Smartmedia (pruebas de desempeño y prototipos) se adopta como la forma de diseñar y aceptar cada pantalla. No se descarta su trabajo: se lleva a un equipo que ya no necesita boleto.</w:t>
      </w:r>
    </w:p>
    <w:p>
      <w:pPr>
        <w:spacing w:after="60"/>
        <w:ind w:left="432"/>
      </w:pPr>
      <w:r>
        <w:rPr>
          <w:b/>
          <w:i w:val="0"/>
          <w:sz w:val="19"/>
        </w:rPr>
        <w:t>S-4 se suma</w:t>
      </w:r>
      <w:r>
        <w:rPr>
          <w:b w:val="0"/>
          <w:i w:val="0"/>
          <w:sz w:val="19"/>
        </w:rPr>
        <w:t xml:space="preserve"> porque los problemas 1, 2 y 6 son de gobierno: ningún software los resuelve solo.</w:t>
      </w:r>
    </w:p>
    <w:p>
      <w:pPr>
        <w:spacing w:after="200"/>
        <w:ind w:left="432"/>
      </w:pPr>
      <w:r>
        <w:rPr>
          <w:b/>
          <w:i w:val="0"/>
          <w:sz w:val="19"/>
        </w:rPr>
        <w:t>S-3 no se descarta, se aplaza:</w:t>
      </w:r>
      <w:r>
        <w:rPr>
          <w:b w:val="0"/>
          <w:i w:val="0"/>
          <w:sz w:val="19"/>
        </w:rPr>
        <w:t xml:space="preserve"> la arquitectura deja preparados el tarifario configurable (EAC-08) y el evento de ocupación. Se activa cuando haya datos que justifiquen la inversión en sensores.</w:t>
      </w:r>
    </w:p>
    <w:p>
      <w:pPr>
        <w:pStyle w:val="Heading1"/>
        <w:pBdr>
          <w:bottom w:val="single" w:sz="6" w:space="4" w:color="9AA0A6"/>
        </w:pBdr>
      </w:pPr>
      <w:r>
        <w:rPr>
          <w:color w:val="000000"/>
        </w:rPr>
      </w:r>
      <w:r>
        <w:rPr>
          <w:b/>
          <w:i w:val="0"/>
          <w:color w:val="000000"/>
        </w:rPr>
        <w:t>5. Solución seleccionada: SIEP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5.1 Arquitectura del software</w:t>
      </w:r>
    </w:p>
    <w:p>
      <w:pPr>
        <w:keepNext w:val="0"/>
      </w:pPr>
      <w:r>
        <w:rPr>
          <w:b/>
          <w:i w:val="0"/>
          <w:sz w:val="22"/>
        </w:rPr>
        <w:t>Estilo principal: arquitectura orientada a servicios (SOA), un servicio por proceso de negocio.</w:t>
      </w:r>
      <w:r>
        <w:rPr>
          <w:b w:val="0"/>
          <w:i w:val="0"/>
          <w:sz w:val="22"/>
        </w:rPr>
        <w:t xml:space="preserve"> Los cinco procesos de la primera descomposición se convierten en cinco servicios, más uno de integración. Se justifica con la escalera de la lámina de SOA de clase: el negocio </w:t>
      </w:r>
      <w:r>
        <w:rPr>
          <w:b/>
          <w:i w:val="0"/>
          <w:sz w:val="22"/>
        </w:rPr>
        <w:t>define</w:t>
      </w:r>
      <w:r>
        <w:rPr>
          <w:b w:val="0"/>
          <w:i w:val="0"/>
          <w:sz w:val="22"/>
        </w:rPr>
        <w:t xml:space="preserve"> sus procesos, </w:t>
      </w:r>
      <w:r>
        <w:rPr>
          <w:b/>
          <w:i w:val="0"/>
          <w:sz w:val="22"/>
        </w:rPr>
        <w:t>desarrolla los procesos de negocio como servicios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cada servicio evoluciona independientemente</w:t>
      </w:r>
      <w:r>
        <w:rPr>
          <w:b w:val="0"/>
          <w:i w:val="0"/>
          <w:sz w:val="22"/>
        </w:rPr>
        <w:t xml:space="preserve"> y el resultado es una solución </w:t>
      </w:r>
      <w:r>
        <w:rPr>
          <w:b/>
          <w:i w:val="0"/>
          <w:sz w:val="22"/>
        </w:rPr>
        <w:t>distribuida multinivel</w:t>
      </w:r>
      <w:r>
        <w:rPr>
          <w:b w:val="0"/>
          <w:i w:val="0"/>
          <w:sz w:val="22"/>
        </w:rPr>
        <w:t>. El tamaño de cada servicio ya está decidido por la descomposición del §3.2, y cada Delegación puede adoptar los servicios a su ritmo (RE-08).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59"/>
      </w:tblPr>
      <w:tblGrid>
        <w:gridCol w:w="2340"/>
        <w:gridCol w:w="4399"/>
        <w:gridCol w:w="2621"/>
      </w:tblGrid>
      <w:tr>
        <w:trPr>
          <w:tblHeader w:val="true"/>
        </w:trPr>
        <w:tc>
          <w:tcPr>
            <w:tcW w:type="dxa" w:w="234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Estilo</w:t>
            </w:r>
          </w:p>
        </w:tc>
        <w:tc>
          <w:tcPr>
            <w:tcW w:type="dxa" w:w="439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Dónde se aplica</w:t>
            </w:r>
          </w:p>
        </w:tc>
        <w:tc>
          <w:tcPr>
            <w:tcW w:type="dxa" w:w="262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Driver que lo justifica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SOA</w:t>
            </w:r>
            <w:r>
              <w:rPr>
                <w:b w:val="0"/>
                <w:i w:val="0"/>
                <w:sz w:val="18"/>
              </w:rPr>
              <w:t xml:space="preserve"> (principal)</w:t>
            </w:r>
          </w:p>
        </w:tc>
        <w:tc>
          <w:tcPr>
            <w:tcW w:type="dxa" w:w="439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Cinco servicios de negocio y uno de integración</w:t>
            </w:r>
          </w:p>
        </w:tc>
        <w:tc>
          <w:tcPr>
            <w:tcW w:type="dxa" w:w="262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RE-08 · RE-14 · EAC-08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Basada en eventos</w:t>
            </w:r>
          </w:p>
        </w:tc>
        <w:tc>
          <w:tcPr>
            <w:tcW w:type="dxa" w:w="439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Pagos, infracciones, alarmas y fallas se publican en un bus; notificaciones, sanción y tablero se suscriben</w:t>
            </w:r>
          </w:p>
        </w:tc>
        <w:tc>
          <w:tcPr>
            <w:tcW w:type="dxa" w:w="262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EAC-07 · EAC-09 · EAC-03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Capas</w:t>
            </w:r>
          </w:p>
        </w:tc>
        <w:tc>
          <w:tcPr>
            <w:tcW w:type="dxa" w:w="439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Dentro de cada servicio: presentación, negocio, datos e integración</w:t>
            </w:r>
          </w:p>
        </w:tc>
        <w:tc>
          <w:tcPr>
            <w:tcW w:type="dxa" w:w="262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EAC-08 · mantenibilidad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Cliente-servidor con guardar y reenviar</w:t>
            </w:r>
          </w:p>
        </w:tc>
        <w:tc>
          <w:tcPr>
            <w:tcW w:type="dxa" w:w="439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El parquímetro y la app del verificador trabajan sin conexión y sincronizan después</w:t>
            </w:r>
          </w:p>
        </w:tc>
        <w:tc>
          <w:tcPr>
            <w:tcW w:type="dxa" w:w="262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EAC-03 · EAC-04 · RE-02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Tuberías y filtros</w:t>
            </w:r>
          </w:p>
        </w:tc>
        <w:tc>
          <w:tcPr>
            <w:tcW w:type="dxa" w:w="439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Analítica: eventos, limpieza, ocultar la placa, agrupar por zona, indicadores</w:t>
            </w:r>
          </w:p>
        </w:tc>
        <w:tc>
          <w:tcPr>
            <w:tcW w:type="dxa" w:w="262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EAC-06 · EAC-09</w:t>
            </w:r>
          </w:p>
        </w:tc>
      </w:tr>
    </w:tbl>
    <w:p>
      <w:pPr>
        <w:spacing w:after="40"/>
      </w:pPr>
    </w:p>
    <w:p>
      <w:pPr>
        <w:spacing w:after="60"/>
        <w:ind w:left="432"/>
      </w:pPr>
      <w:r>
        <w:rPr>
          <w:b/>
          <w:i w:val="0"/>
          <w:sz w:val="20"/>
        </w:rPr>
        <w:t>Lo que se descartó, y por qué</w:t>
      </w:r>
    </w:p>
    <w:p>
      <w:pPr>
        <w:spacing w:after="60"/>
        <w:ind w:left="432"/>
      </w:pPr>
      <w:r>
        <w:rPr>
          <w:b/>
          <w:i w:val="0"/>
          <w:sz w:val="19"/>
        </w:rPr>
        <w:t>Microservicios:</w:t>
      </w:r>
      <w:r>
        <w:rPr>
          <w:b w:val="0"/>
          <w:i w:val="0"/>
          <w:sz w:val="19"/>
        </w:rPr>
        <w:t xml:space="preserve"> dividir cada servicio en decenas de piezas exige un equipo de operación que el programa no tiene y no puede contratar (RE-07).</w:t>
      </w:r>
    </w:p>
    <w:p>
      <w:pPr>
        <w:spacing w:after="200"/>
        <w:ind w:left="432"/>
      </w:pPr>
      <w:r>
        <w:rPr>
          <w:b/>
          <w:i w:val="0"/>
          <w:sz w:val="19"/>
        </w:rPr>
        <w:t>Monolito:</w:t>
      </w:r>
      <w:r>
        <w:rPr>
          <w:b w:val="0"/>
          <w:i w:val="0"/>
          <w:sz w:val="19"/>
        </w:rPr>
        <w:t xml:space="preserve"> obligaría a todas las Delegaciones a cambiar al mismo tiempo (RE-08) y una falla del cobro tumbaría también la verificación.</w:t>
      </w:r>
    </w:p>
    <w:p>
      <w:pPr>
        <w:keepNext w:val="0"/>
      </w:pPr>
      <w:r>
        <w:rPr>
          <w:b/>
          <w:i w:val="0"/>
          <w:sz w:val="22"/>
        </w:rPr>
        <w:t>Las cuatro decisiones que cambian el día a día:</w:t>
      </w:r>
    </w:p>
    <w:p>
      <w:pPr>
        <w:pStyle w:val="ListBullet"/>
        <w:spacing w:after="40"/>
      </w:pPr>
      <w:r>
        <w:rPr>
          <w:b/>
          <w:i w:val="0"/>
          <w:sz w:val="20"/>
        </w:rPr>
        <w:t>El pago se liga a la placa, no a un boleto.</w:t>
      </w:r>
      <w:r>
        <w:rPr>
          <w:b w:val="0"/>
          <w:i w:val="0"/>
          <w:sz w:val="20"/>
        </w:rPr>
        <w:t xml:space="preserve"> Desaparece el boleto mal colocado que originó la multa injusta citada en el caso, y el verificador consulta la placa en vez de leer tableros (P-03, P-04, P-05).</w:t>
      </w:r>
    </w:p>
    <w:p>
      <w:pPr>
        <w:pStyle w:val="ListBullet"/>
        <w:spacing w:after="40"/>
      </w:pPr>
      <w:r>
        <w:rPr>
          <w:b/>
          <w:i w:val="0"/>
          <w:sz w:val="20"/>
        </w:rPr>
        <w:t>Se habilitan las funciones apagadas del equipo:</w:t>
      </w:r>
      <w:r>
        <w:rPr>
          <w:b w:val="0"/>
          <w:i w:val="0"/>
          <w:sz w:val="20"/>
        </w:rPr>
        <w:t xml:space="preserve"> pago con tarjeta por la red inalámbrica y aviso de vandalismo. La alarma ya no necesita a una persona mirando una pantalla: genera sola la orden al proveedor y el aviso a la policía municipal (EAC-07, RE-07).</w:t>
      </w:r>
    </w:p>
    <w:p>
      <w:pPr>
        <w:pStyle w:val="ListBullet"/>
        <w:spacing w:after="40"/>
      </w:pPr>
      <w:r>
        <w:rPr>
          <w:b/>
          <w:i w:val="0"/>
          <w:sz w:val="20"/>
        </w:rPr>
        <w:t>La sanción queda separada del cobro.</w:t>
      </w:r>
      <w:r>
        <w:rPr>
          <w:b w:val="0"/>
          <w:i w:val="0"/>
          <w:sz w:val="20"/>
        </w:rPr>
        <w:t xml:space="preserve"> El verificador solo registra evidencia; la multa nace cuando el oficial de tránsito la confirma (EAC-05, RE-03). En Guatemala, ese oficial es la Policía Municipal de Tránsito.</w:t>
      </w:r>
    </w:p>
    <w:p>
      <w:pPr>
        <w:pStyle w:val="ListBullet"/>
        <w:spacing w:after="40"/>
      </w:pPr>
      <w:r>
        <w:rPr>
          <w:b/>
          <w:i w:val="0"/>
          <w:sz w:val="20"/>
        </w:rPr>
        <w:t>Todo lo que se cobra se publica.</w:t>
      </w:r>
      <w:r>
        <w:rPr>
          <w:b w:val="0"/>
          <w:i w:val="0"/>
          <w:sz w:val="20"/>
        </w:rPr>
        <w:t xml:space="preserve"> El tablero de transparencia muestra la recaudación por zona y el reparto 70/30 conciliado con el banco (EAC-09, P-06).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7401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ques-parq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740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6. Diagrama de bloques: productores, enrutador y consumidores de eventos.</w:t>
      </w:r>
    </w:p>
    <w:p>
      <w:pPr>
        <w:sectPr>
          <w:footerReference w:type="default" r:id="rId13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412480" cy="49801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pliegue-parq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498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7. Diagrama de despliegue de SIEP.</w:t>
      </w:r>
    </w:p>
    <w:p>
      <w:pPr>
        <w:keepNext w:val="0"/>
      </w:pPr>
      <w:r>
        <w:rPr>
          <w:b/>
          <w:i w:val="0"/>
          <w:sz w:val="22"/>
        </w:rPr>
        <w:t>Cómo leer el despliegue.</w:t>
      </w:r>
      <w:r>
        <w:rPr>
          <w:b w:val="0"/>
          <w:i w:val="0"/>
          <w:sz w:val="22"/>
        </w:rPr>
        <w:t xml:space="preserve"> Arriba, los cuatro dispositivos de los usuarios; al centro, la nube del gobierno de la ciudad con el borde de red, el clúster de los seis servicios, la mensajería, la analítica y la base de datos; abajo, la réplica en una segunda región; a la derecha, los sistemas externos del banco y de la autoridad de tránsito. El dimensionamiento es un supuesto de diseño. Las tres vistas siguientes amplían la lámina para leerla impresa.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229600" cy="44184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pliegue-parq-detalle-1-usuario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18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7a. Despliegue, detalle: dispositivos de los usuarios.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7680960" cy="480911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pliegue-parq-detalle-2-nub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680960" cy="4809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7b. Despliegue, detalle: nube del gobierno de la ciudad y región secundaria.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023360" cy="555178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pliegue-parq-detalle-3-externo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5551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7c. Despliegue, detalle: sistemas externos.</w:t>
      </w:r>
    </w:p>
    <w:p>
      <w:pPr>
        <w:sectPr>
          <w:footerReference w:type="default" r:id="rId19"/>
          <w:pgSz w:w="15840" w:h="12240" w:orient="landscape"/>
          <w:pgMar w:top="1008" w:right="1152" w:bottom="1008" w:left="1152" w:header="720" w:footer="720" w:gutter="0"/>
          <w:cols w:space="720"/>
          <w:docGrid w:linePitch="360"/>
        </w:sectPr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5.2 Calidad del software</w:t>
      </w:r>
    </w:p>
    <w:p>
      <w:pPr>
        <w:keepNext w:val="0"/>
      </w:pPr>
      <w:r>
        <w:rPr>
          <w:b/>
          <w:i w:val="0"/>
          <w:sz w:val="22"/>
        </w:rPr>
        <w:t>Modelo de calidad.</w:t>
      </w:r>
      <w:r>
        <w:rPr>
          <w:b w:val="0"/>
          <w:i w:val="0"/>
          <w:sz w:val="22"/>
        </w:rPr>
        <w:t xml:space="preserve"> Se usan los dos modelos de ISO/IEC 9126 que da el programa: el de </w:t>
      </w:r>
      <w:r>
        <w:rPr>
          <w:b/>
          <w:i w:val="0"/>
          <w:sz w:val="22"/>
        </w:rPr>
        <w:t>calidad del producto</w:t>
      </w:r>
      <w:r>
        <w:rPr>
          <w:b w:val="0"/>
          <w:i w:val="0"/>
          <w:sz w:val="22"/>
        </w:rPr>
        <w:t xml:space="preserve"> (seis características) para la arquitectura, y el de </w:t>
      </w:r>
      <w:r>
        <w:rPr>
          <w:b/>
          <w:i w:val="0"/>
          <w:sz w:val="22"/>
        </w:rPr>
        <w:t>calidad en uso</w:t>
      </w:r>
      <w:r>
        <w:rPr>
          <w:b w:val="0"/>
          <w:i w:val="0"/>
          <w:sz w:val="22"/>
        </w:rPr>
        <w:t xml:space="preserve"> (eficacia, productividad, seguridad y satisfacción, en un contexto específico de uso) para lo que el caso mide con personas. ISO/IEC 25010, sucesora de la 9126 dentro de la familia ISO 25000, se menciona como referencia para el traslado; la estructura no cambia.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1217"/>
        <w:gridCol w:w="2059"/>
        <w:gridCol w:w="3089"/>
        <w:gridCol w:w="1591"/>
        <w:gridCol w:w="1404"/>
      </w:tblGrid>
      <w:tr>
        <w:trPr>
          <w:tblHeader w:val="true"/>
        </w:trPr>
        <w:tc>
          <w:tcPr>
            <w:tcW w:type="dxa" w:w="121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Modelo</w:t>
            </w:r>
          </w:p>
        </w:tc>
        <w:tc>
          <w:tcPr>
            <w:tcW w:type="dxa" w:w="205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Característica</w:t>
            </w:r>
          </w:p>
        </w:tc>
        <w:tc>
          <w:tcPr>
            <w:tcW w:type="dxa" w:w="308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Métrica</w:t>
            </w:r>
          </w:p>
        </w:tc>
        <w:tc>
          <w:tcPr>
            <w:tcW w:type="dxa" w:w="159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Umbral</w:t>
            </w:r>
          </w:p>
        </w:tc>
        <w:tc>
          <w:tcPr>
            <w:tcW w:type="dxa" w:w="140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Driver</w:t>
            </w:r>
          </w:p>
        </w:tc>
      </w:tr>
      <w:tr>
        <w:trPr>
          <w:cantSplit/>
        </w:trPr>
        <w:tc>
          <w:tcPr>
            <w:tcW w:type="dxa" w:w="121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Calidad en uso</w:t>
            </w:r>
          </w:p>
        </w:tc>
        <w:tc>
          <w:tcPr>
            <w:tcW w:type="dxa" w:w="205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Eficacia</w:t>
            </w:r>
          </w:p>
        </w:tc>
        <w:tc>
          <w:tcPr>
            <w:tcW w:type="dxa" w:w="30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% de participantes que completan la tarea</w:t>
            </w:r>
          </w:p>
        </w:tc>
        <w:tc>
          <w:tcPr>
            <w:tcW w:type="dxa" w:w="159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≥ 72 %</w:t>
            </w:r>
          </w:p>
        </w:tc>
        <w:tc>
          <w:tcPr>
            <w:tcW w:type="dxa" w:w="140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EAC-01</w:t>
            </w:r>
          </w:p>
        </w:tc>
      </w:tr>
      <w:tr>
        <w:trPr>
          <w:cantSplit/>
        </w:trPr>
        <w:tc>
          <w:tcPr>
            <w:tcW w:type="dxa" w:w="121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Calidad en uso</w:t>
            </w:r>
          </w:p>
        </w:tc>
        <w:tc>
          <w:tcPr>
            <w:tcW w:type="dxa" w:w="205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Productividad</w:t>
            </w:r>
          </w:p>
        </w:tc>
        <w:tc>
          <w:tcPr>
            <w:tcW w:type="dxa" w:w="30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Tiempo para completar el pago</w:t>
            </w:r>
          </w:p>
        </w:tc>
        <w:tc>
          <w:tcPr>
            <w:tcW w:type="dxa" w:w="159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≤ 90 s</w:t>
            </w:r>
          </w:p>
        </w:tc>
        <w:tc>
          <w:tcPr>
            <w:tcW w:type="dxa" w:w="140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EAC-01</w:t>
            </w:r>
          </w:p>
        </w:tc>
      </w:tr>
      <w:tr>
        <w:trPr>
          <w:cantSplit/>
        </w:trPr>
        <w:tc>
          <w:tcPr>
            <w:tcW w:type="dxa" w:w="121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Calidad en uso</w:t>
            </w:r>
          </w:p>
        </w:tc>
        <w:tc>
          <w:tcPr>
            <w:tcW w:type="dxa" w:w="205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Seguridad</w:t>
            </w:r>
          </w:p>
        </w:tc>
        <w:tc>
          <w:tcPr>
            <w:tcW w:type="dxa" w:w="30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Multas anuladas por error del sistema</w:t>
            </w:r>
          </w:p>
        </w:tc>
        <w:tc>
          <w:tcPr>
            <w:tcW w:type="dxa" w:w="15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≤ 1 por cada 1.000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EAC-05</w:t>
            </w:r>
          </w:p>
        </w:tc>
      </w:tr>
      <w:tr>
        <w:trPr>
          <w:cantSplit/>
        </w:trPr>
        <w:tc>
          <w:tcPr>
            <w:tcW w:type="dxa" w:w="121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Calidad en uso</w:t>
            </w:r>
          </w:p>
        </w:tc>
        <w:tc>
          <w:tcPr>
            <w:tcW w:type="dxa" w:w="205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Satisfacción</w:t>
            </w:r>
          </w:p>
        </w:tc>
        <w:tc>
          <w:tcPr>
            <w:tcW w:type="dxa" w:w="30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Encuesta de cierre de la prueba, escala de 1 a 5</w:t>
            </w:r>
          </w:p>
        </w:tc>
        <w:tc>
          <w:tcPr>
            <w:tcW w:type="dxa" w:w="15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≥ 4 de promedio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P-06</w:t>
            </w:r>
          </w:p>
        </w:tc>
      </w:tr>
      <w:tr>
        <w:trPr>
          <w:cantSplit/>
        </w:trPr>
        <w:tc>
          <w:tcPr>
            <w:tcW w:type="dxa" w:w="121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Producto</w:t>
            </w:r>
          </w:p>
        </w:tc>
        <w:tc>
          <w:tcPr>
            <w:tcW w:type="dxa" w:w="205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Funcionalidad › seguridad</w:t>
            </w:r>
          </w:p>
        </w:tc>
        <w:tc>
          <w:tcPr>
            <w:tcW w:type="dxa" w:w="30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Consultas a placas sin bitácora</w:t>
            </w:r>
          </w:p>
        </w:tc>
        <w:tc>
          <w:tcPr>
            <w:tcW w:type="dxa" w:w="15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EAC-05 · EAC-06 · EAC-11</w:t>
            </w:r>
          </w:p>
        </w:tc>
      </w:tr>
      <w:tr>
        <w:trPr>
          <w:cantSplit/>
        </w:trPr>
        <w:tc>
          <w:tcPr>
            <w:tcW w:type="dxa" w:w="121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Producto</w:t>
            </w:r>
          </w:p>
        </w:tc>
        <w:tc>
          <w:tcPr>
            <w:tcW w:type="dxa" w:w="205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Fiabilidad</w:t>
            </w:r>
          </w:p>
        </w:tc>
        <w:tc>
          <w:tcPr>
            <w:tcW w:type="dxa" w:w="30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Pagos perdidos sin conexión · disponibilidad del cobro</w:t>
            </w:r>
          </w:p>
        </w:tc>
        <w:tc>
          <w:tcPr>
            <w:tcW w:type="dxa" w:w="15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0 · ≥ 99,5 %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EAC-03 · EAC-07</w:t>
            </w:r>
          </w:p>
        </w:tc>
      </w:tr>
      <w:tr>
        <w:trPr>
          <w:cantSplit/>
        </w:trPr>
        <w:tc>
          <w:tcPr>
            <w:tcW w:type="dxa" w:w="121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Producto</w:t>
            </w:r>
          </w:p>
        </w:tc>
        <w:tc>
          <w:tcPr>
            <w:tcW w:type="dxa" w:w="205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Usabilidad › comprensibilidad</w:t>
            </w:r>
          </w:p>
        </w:tc>
        <w:tc>
          <w:tcPr>
            <w:tcW w:type="dxa" w:w="30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% que encuentra tarifa, máximo y reclamo</w:t>
            </w:r>
          </w:p>
        </w:tc>
        <w:tc>
          <w:tcPr>
            <w:tcW w:type="dxa" w:w="15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≥ 80 % en ≤ 10 s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EAC-02</w:t>
            </w:r>
          </w:p>
        </w:tc>
      </w:tr>
      <w:tr>
        <w:trPr>
          <w:cantSplit/>
        </w:trPr>
        <w:tc>
          <w:tcPr>
            <w:tcW w:type="dxa" w:w="121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Producto</w:t>
            </w:r>
          </w:p>
        </w:tc>
        <w:tc>
          <w:tcPr>
            <w:tcW w:type="dxa" w:w="205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Eficiencia</w:t>
            </w:r>
          </w:p>
        </w:tc>
        <w:tc>
          <w:tcPr>
            <w:tcW w:type="dxa" w:w="30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Respuesta de verificación (95 de cada 100 consultas)</w:t>
            </w:r>
          </w:p>
        </w:tc>
        <w:tc>
          <w:tcPr>
            <w:tcW w:type="dxa" w:w="15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≤ 2 s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EAC-04 · EAC-10</w:t>
            </w:r>
          </w:p>
        </w:tc>
      </w:tr>
      <w:tr>
        <w:trPr>
          <w:cantSplit/>
        </w:trPr>
        <w:tc>
          <w:tcPr>
            <w:tcW w:type="dxa" w:w="121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Producto</w:t>
            </w:r>
          </w:p>
        </w:tc>
        <w:tc>
          <w:tcPr>
            <w:tcW w:type="dxa" w:w="205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Mantenibilidad</w:t>
            </w:r>
          </w:p>
        </w:tc>
        <w:tc>
          <w:tcPr>
            <w:tcW w:type="dxa" w:w="30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Tiempo de cambiar una tarifa de zona</w:t>
            </w:r>
          </w:p>
        </w:tc>
        <w:tc>
          <w:tcPr>
            <w:tcW w:type="dxa" w:w="15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≤ 1 día hábil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EAC-08</w:t>
            </w:r>
          </w:p>
        </w:tc>
      </w:tr>
      <w:tr>
        <w:trPr>
          <w:cantSplit/>
        </w:trPr>
        <w:tc>
          <w:tcPr>
            <w:tcW w:type="dxa" w:w="121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Producto</w:t>
            </w:r>
          </w:p>
        </w:tc>
        <w:tc>
          <w:tcPr>
            <w:tcW w:type="dxa" w:w="205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Portabilidad</w:t>
            </w:r>
          </w:p>
        </w:tc>
        <w:tc>
          <w:tcPr>
            <w:tcW w:type="dxa" w:w="30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Días para instalar SIEP en otra municipalidad</w:t>
            </w:r>
          </w:p>
        </w:tc>
        <w:tc>
          <w:tcPr>
            <w:tcW w:type="dxa" w:w="15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≤ 20 días hábiles (supuesto)</w:t>
            </w:r>
          </w:p>
        </w:tc>
        <w:tc>
          <w:tcPr>
            <w:tcW w:type="dxa" w:w="140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RE-08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El 72 %, y cómo se mejora la forma de fijarlo</w:t>
      </w:r>
    </w:p>
    <w:p>
      <w:pPr>
        <w:keepNext w:val="0"/>
      </w:pPr>
      <w:r>
        <w:rPr>
          <w:b w:val="0"/>
          <w:i w:val="0"/>
          <w:sz w:val="22"/>
        </w:rPr>
        <w:t xml:space="preserve">El 72 % sale de multiplicar dos probabilidades: que la persona </w:t>
      </w:r>
      <w:r>
        <w:rPr>
          <w:b/>
          <w:i w:val="0"/>
          <w:sz w:val="22"/>
        </w:rPr>
        <w:t>encuentre</w:t>
      </w:r>
      <w:r>
        <w:rPr>
          <w:b w:val="0"/>
          <w:i w:val="0"/>
          <w:sz w:val="22"/>
        </w:rPr>
        <w:t xml:space="preserve"> la información (Smartmedia proponía 90 %; Margarita la bajó a </w:t>
      </w:r>
      <w:r>
        <w:rPr>
          <w:b/>
          <w:i w:val="0"/>
          <w:sz w:val="22"/>
        </w:rPr>
        <w:t>80 %</w:t>
      </w:r>
      <w:r>
        <w:rPr>
          <w:b w:val="0"/>
          <w:i w:val="0"/>
          <w:sz w:val="22"/>
        </w:rPr>
        <w:t xml:space="preserve"> porque la gente usa el parquímetro con prisa) y que, encontrada, la </w:t>
      </w:r>
      <w:r>
        <w:rPr>
          <w:b/>
          <w:i w:val="0"/>
          <w:sz w:val="22"/>
        </w:rPr>
        <w:t>use bien</w:t>
      </w:r>
      <w:r>
        <w:rPr>
          <w:b w:val="0"/>
          <w:i w:val="0"/>
          <w:sz w:val="22"/>
        </w:rPr>
        <w:t xml:space="preserve"> (se mantuvo en </w:t>
      </w:r>
      <w:r>
        <w:rPr>
          <w:b/>
          <w:i w:val="0"/>
          <w:sz w:val="22"/>
        </w:rPr>
        <w:t>90 %</w:t>
      </w:r>
      <w:r>
        <w:rPr>
          <w:b w:val="0"/>
          <w:i w:val="0"/>
          <w:sz w:val="22"/>
        </w:rPr>
        <w:t xml:space="preserve">): 0,80 × 0,90 = 0,72. Es un buen punto de partida, pero aplica el mismo número a todas las tareas. Este documento propone </w:t>
      </w:r>
      <w:r>
        <w:rPr>
          <w:b/>
          <w:i w:val="0"/>
          <w:sz w:val="22"/>
        </w:rPr>
        <w:t>fijar el umbral por tarea, según su consecuencia</w:t>
      </w:r>
      <w:r>
        <w:rPr>
          <w:b w:val="0"/>
          <w:i w:val="0"/>
          <w:sz w:val="22"/>
        </w:rPr>
        <w:t>: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3276"/>
        <w:gridCol w:w="3276"/>
        <w:gridCol w:w="2808"/>
      </w:tblGrid>
      <w:tr>
        <w:trPr>
          <w:tblHeader w:val="true"/>
        </w:trPr>
        <w:tc>
          <w:tcPr>
            <w:tcW w:type="dxa" w:w="3276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Tarea</w:t>
            </w:r>
          </w:p>
        </w:tc>
        <w:tc>
          <w:tcPr>
            <w:tcW w:type="dxa" w:w="3276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Consecuencia de fallar</w:t>
            </w:r>
          </w:p>
        </w:tc>
        <w:tc>
          <w:tcPr>
            <w:tcW w:type="dxa" w:w="280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Umbral propuesto</w:t>
            </w:r>
          </w:p>
        </w:tc>
      </w:tr>
      <w:tr>
        <w:trPr>
          <w:cantSplit/>
        </w:trPr>
        <w:tc>
          <w:tcPr>
            <w:tcW w:type="dxa" w:w="327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Pagar por placa</w:t>
            </w:r>
          </w:p>
        </w:tc>
        <w:tc>
          <w:tcPr>
            <w:tcW w:type="dxa" w:w="327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Una multa injusta</w:t>
            </w:r>
          </w:p>
        </w:tc>
        <w:tc>
          <w:tcPr>
            <w:tcW w:type="dxa" w:w="280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≥ 81 % (el máximo teórico del método)</w:t>
            </w:r>
          </w:p>
        </w:tc>
      </w:tr>
      <w:tr>
        <w:trPr>
          <w:cantSplit/>
        </w:trPr>
        <w:tc>
          <w:tcPr>
            <w:tcW w:type="dxa" w:w="327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Entender la tarifa y el tiempo máximo</w:t>
            </w:r>
          </w:p>
        </w:tc>
        <w:tc>
          <w:tcPr>
            <w:tcW w:type="dxa" w:w="327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Pagar de más o de menos</w:t>
            </w:r>
          </w:p>
        </w:tc>
        <w:tc>
          <w:tcPr>
            <w:tcW w:type="dxa" w:w="280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≥ 72 %</w:t>
            </w:r>
          </w:p>
        </w:tc>
      </w:tr>
      <w:tr>
        <w:trPr>
          <w:cantSplit/>
        </w:trPr>
        <w:tc>
          <w:tcPr>
            <w:tcW w:type="dxa" w:w="327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Saber cómo reclamar</w:t>
            </w:r>
          </w:p>
        </w:tc>
        <w:tc>
          <w:tcPr>
            <w:tcW w:type="dxa" w:w="327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Frustración y percepción de abuso</w:t>
            </w:r>
          </w:p>
        </w:tc>
        <w:tc>
          <w:tcPr>
            <w:tcW w:type="dxa" w:w="28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≥ 72 %</w:t>
            </w:r>
          </w:p>
        </w:tc>
      </w:tr>
      <w:tr>
        <w:trPr>
          <w:cantSplit/>
        </w:trPr>
        <w:tc>
          <w:tcPr>
            <w:tcW w:type="dxa" w:w="327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Ubicar el número del parquímetro</w:t>
            </w:r>
          </w:p>
        </w:tc>
        <w:tc>
          <w:tcPr>
            <w:tcW w:type="dxa" w:w="327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Molestia menor</w:t>
            </w:r>
          </w:p>
        </w:tc>
        <w:tc>
          <w:tcPr>
            <w:tcW w:type="dxa" w:w="280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≥ 64 % (0,80 × 0,80)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b/>
          <w:i w:val="0"/>
          <w:sz w:val="22"/>
        </w:rPr>
        <w:t>Cómo se evalúa.</w:t>
      </w:r>
      <w:r>
        <w:rPr>
          <w:b w:val="0"/>
          <w:i w:val="0"/>
          <w:sz w:val="22"/>
        </w:rPr>
        <w:t xml:space="preserve"> Cada entrega se acepta con una </w:t>
      </w:r>
      <w:r>
        <w:rPr>
          <w:b/>
          <w:i w:val="0"/>
          <w:sz w:val="22"/>
        </w:rPr>
        <w:t>prueba de desempeño</w:t>
      </w:r>
      <w:r>
        <w:rPr>
          <w:b w:val="0"/>
          <w:i w:val="0"/>
          <w:sz w:val="22"/>
        </w:rPr>
        <w:t xml:space="preserve"> (Sless): tareas, participantes que no conocen el diseño, protocolo de entrevista, registro cuantitativo y cualitativo, comparación contra el umbral, corrección y nueva ronda. Se agregan tres mejoras: hacerla </w:t>
      </w:r>
      <w:r>
        <w:rPr>
          <w:b/>
          <w:i w:val="0"/>
          <w:sz w:val="22"/>
        </w:rPr>
        <w:t>en la calle</w:t>
      </w:r>
      <w:r>
        <w:rPr>
          <w:b w:val="0"/>
          <w:i w:val="0"/>
          <w:sz w:val="22"/>
        </w:rPr>
        <w:t xml:space="preserve"> con el permiso tramitado desde la fase previa (RE-10), subir a </w:t>
      </w:r>
      <w:r>
        <w:rPr>
          <w:b/>
          <w:i w:val="0"/>
          <w:sz w:val="22"/>
        </w:rPr>
        <w:t>12 participantes</w:t>
      </w:r>
      <w:r>
        <w:rPr>
          <w:b w:val="0"/>
          <w:i w:val="0"/>
          <w:sz w:val="22"/>
        </w:rPr>
        <w:t xml:space="preserve"> por ronda para que el porcentaje signifique algo, y </w:t>
      </w:r>
      <w:r>
        <w:rPr>
          <w:b/>
          <w:i w:val="0"/>
          <w:sz w:val="22"/>
        </w:rPr>
        <w:t>grabar en video</w:t>
      </w:r>
      <w:r>
        <w:rPr>
          <w:b w:val="0"/>
          <w:i w:val="0"/>
          <w:sz w:val="22"/>
        </w:rPr>
        <w:t>. La arquitectura se evalúa además contra los once EAC antes de construir (paso de evaluación del ciclo, §5.3).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5.3 Arquitectura en el ciclo de vida</w:t>
      </w:r>
    </w:p>
    <w:p>
      <w:pPr>
        <w:keepNext/>
      </w:pPr>
      <w:r>
        <w:rPr>
          <w:b/>
          <w:i w:val="0"/>
          <w:sz w:val="22"/>
        </w:rPr>
        <w:t>Qué metodología.</w:t>
      </w:r>
      <w:r>
        <w:rPr>
          <w:b w:val="0"/>
          <w:i w:val="0"/>
          <w:sz w:val="22"/>
        </w:rPr>
        <w:t xml:space="preserve"> La lámina de clase dice que la elección depende de siete factores. Aplicados al caso: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2340"/>
        <w:gridCol w:w="4680"/>
        <w:gridCol w:w="2340"/>
      </w:tblGrid>
      <w:tr>
        <w:trPr>
          <w:tblHeader w:val="true"/>
        </w:trPr>
        <w:tc>
          <w:tcPr>
            <w:tcW w:type="dxa" w:w="234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Factor</w:t>
            </w:r>
          </w:p>
        </w:tc>
        <w:tc>
          <w:tcPr>
            <w:tcW w:type="dxa" w:w="468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En este caso</w:t>
            </w:r>
          </w:p>
        </w:tc>
        <w:tc>
          <w:tcPr>
            <w:tcW w:type="dxa" w:w="234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Empuja hacia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Certidumbre de los requisitos</w:t>
            </w:r>
          </w:p>
        </w:tc>
        <w:tc>
          <w:tcPr>
            <w:tcW w:type="dxa" w:w="468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Baja en la interfaz (se descubre probando con personas); alta en la norma de multas</w:t>
            </w:r>
          </w:p>
        </w:tc>
        <w:tc>
          <w:tcPr>
            <w:tcW w:type="dxa" w:w="234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Ágil en la interfaz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Estabilidad del alcance</w:t>
            </w:r>
          </w:p>
        </w:tc>
        <w:tc>
          <w:tcPr>
            <w:tcW w:type="dxa" w:w="468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Cambia por zona y por Delegación</w:t>
            </w:r>
          </w:p>
        </w:tc>
        <w:tc>
          <w:tcPr>
            <w:tcW w:type="dxa" w:w="234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Ágil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Cadencia de entrega</w:t>
            </w:r>
          </w:p>
        </w:tc>
        <w:tc>
          <w:tcPr>
            <w:tcW w:type="dxa" w:w="46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Entregas frecuentes: una colonia piloto, luego otras</w:t>
            </w:r>
          </w:p>
        </w:tc>
        <w:tc>
          <w:tcPr>
            <w:tcW w:type="dxa" w:w="234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Ágil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Riesgos</w:t>
            </w:r>
          </w:p>
        </w:tc>
        <w:tc>
          <w:tcPr>
            <w:tcW w:type="dxa" w:w="46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Altos al inicio: legal (placas), vandalismo, aceptación vecinal</w:t>
            </w:r>
          </w:p>
        </w:tc>
        <w:tc>
          <w:tcPr>
            <w:tcW w:type="dxa" w:w="234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Iterativo guiado por riesgo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Seguridad</w:t>
            </w:r>
          </w:p>
        </w:tc>
        <w:tc>
          <w:tcPr>
            <w:tcW w:type="dxa" w:w="46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Datos personales y dinero público</w:t>
            </w:r>
          </w:p>
        </w:tc>
        <w:tc>
          <w:tcPr>
            <w:tcW w:type="dxa" w:w="234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Controles formales en cada entrega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Proyecto</w:t>
            </w:r>
          </w:p>
        </w:tc>
        <w:tc>
          <w:tcPr>
            <w:tcW w:type="dxa" w:w="46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Hardware ya comprado, software nuevo e integraciones con otras autoridades</w:t>
            </w:r>
          </w:p>
        </w:tc>
        <w:tc>
          <w:tcPr>
            <w:tcW w:type="dxa" w:w="234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Mixto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Organización</w:t>
            </w:r>
          </w:p>
        </w:tc>
        <w:tc>
          <w:tcPr>
            <w:tcW w:type="dxa" w:w="468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Gobierno con procesos de compra y aprobación formales</w:t>
            </w:r>
          </w:p>
        </w:tc>
        <w:tc>
          <w:tcPr>
            <w:tcW w:type="dxa" w:w="234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Fases con hitos</w:t>
            </w:r>
          </w:p>
        </w:tc>
      </w:tr>
    </w:tbl>
    <w:p>
      <w:pPr>
        <w:spacing w:after="40"/>
      </w:pPr>
    </w:p>
    <w:p>
      <w:pPr>
        <w:spacing w:after="60"/>
        <w:ind w:left="432"/>
      </w:pPr>
      <w:r>
        <w:rPr>
          <w:b/>
          <w:i w:val="0"/>
          <w:sz w:val="20"/>
        </w:rPr>
        <w:t>Decisión: un ciclo híbrido</w:t>
      </w:r>
    </w:p>
    <w:p>
      <w:pPr>
        <w:spacing w:after="60"/>
        <w:ind w:left="432"/>
      </w:pPr>
      <w:r>
        <w:rPr>
          <w:b/>
          <w:i w:val="0"/>
          <w:sz w:val="19"/>
        </w:rPr>
        <w:t>Por fuera, el modelo en espiral</w:t>
      </w:r>
      <w:r>
        <w:rPr>
          <w:b w:val="0"/>
          <w:i w:val="0"/>
          <w:sz w:val="19"/>
        </w:rPr>
        <w:t xml:space="preserve"> (NT1 de la unidad 3, Meaurio y Schmieder): cada vuelta define objetivos y alternativas, analiza riesgos, hace ingeniería y planifica la siguiente. Es lo que el caso ya hizo sin nombrarlo: diagnóstico, concepto, prototipo, prueba y vuelta a la mesa de trabajo.</w:t>
      </w:r>
    </w:p>
    <w:p>
      <w:pPr>
        <w:spacing w:after="60"/>
        <w:ind w:left="432"/>
      </w:pPr>
      <w:r>
        <w:rPr>
          <w:b/>
          <w:i w:val="0"/>
          <w:sz w:val="19"/>
        </w:rPr>
        <w:t>Por dentro, Scrum con arquitectura</w:t>
      </w:r>
      <w:r>
        <w:rPr>
          <w:b w:val="0"/>
          <w:i w:val="0"/>
          <w:sz w:val="19"/>
        </w:rPr>
        <w:t xml:space="preserve"> (lámina de clase </w:t>
      </w:r>
      <w:r>
        <w:rPr>
          <w:b w:val="0"/>
          <w:i/>
          <w:sz w:val="19"/>
        </w:rPr>
        <w:t>Proceso Scrum en la arquitectura de software</w:t>
      </w:r>
      <w:r>
        <w:rPr>
          <w:b w:val="0"/>
          <w:i w:val="0"/>
          <w:sz w:val="19"/>
        </w:rPr>
        <w:t>): los pasos resaltados son 1, especificación de CDU (§3.3); 2, priorización de CDU (§3.6); 4, arquitectura base en el primer sprint (§5.1); y 9, refinamiento de la arquitectura del sprint 1 al n.</w:t>
      </w:r>
    </w:p>
    <w:p>
      <w:pPr>
        <w:spacing w:after="200"/>
        <w:ind w:left="432"/>
      </w:pPr>
      <w:r>
        <w:rPr>
          <w:b/>
          <w:i w:val="0"/>
          <w:sz w:val="19"/>
        </w:rPr>
        <w:t>Los requisitos significativos para la arquitectura</w:t>
      </w:r>
      <w:r>
        <w:rPr>
          <w:b w:val="0"/>
          <w:i w:val="0"/>
          <w:sz w:val="19"/>
        </w:rPr>
        <w:t xml:space="preserve"> (NT3): EAC-05, EAC-06 y EAC-03. Si cambian, la arquitectura sería otra.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2527"/>
        <w:gridCol w:w="4961"/>
        <w:gridCol w:w="1872"/>
      </w:tblGrid>
      <w:tr>
        <w:trPr>
          <w:tblHeader w:val="true"/>
        </w:trPr>
        <w:tc>
          <w:tcPr>
            <w:tcW w:type="dxa" w:w="252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Etapa del ciclo de la arquitectura</w:t>
            </w:r>
          </w:p>
        </w:tc>
        <w:tc>
          <w:tcPr>
            <w:tcW w:type="dxa" w:w="496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Qué se hace en SIEP</w:t>
            </w:r>
          </w:p>
        </w:tc>
        <w:tc>
          <w:tcPr>
            <w:tcW w:type="dxa" w:w="187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Etapa del proyecto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Requerimientos</w:t>
            </w:r>
          </w:p>
        </w:tc>
        <w:tc>
          <w:tcPr>
            <w:tcW w:type="dxa" w:w="496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Diagnóstico con usuarios, requisitos de desempeño, drivers del §3</w:t>
            </w:r>
          </w:p>
        </w:tc>
        <w:tc>
          <w:tcPr>
            <w:tcW w:type="dxa" w:w="187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Fase 0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Diseño, documentación y evaluación</w:t>
            </w:r>
          </w:p>
        </w:tc>
        <w:tc>
          <w:tcPr>
            <w:tcW w:type="dxa" w:w="496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Este documento; evaluación contra los EAC; prueba de desempeño de los prototipos</w:t>
            </w:r>
          </w:p>
        </w:tc>
        <w:tc>
          <w:tcPr>
            <w:tcW w:type="dxa" w:w="187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Fase 0 y sprint 1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Implementación de la arquitectura</w:t>
            </w:r>
          </w:p>
        </w:tc>
        <w:tc>
          <w:tcPr>
            <w:tcW w:type="dxa" w:w="49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Arquitectura base: cobro por placa, verificación, bus de eventos</w:t>
            </w:r>
          </w:p>
        </w:tc>
        <w:tc>
          <w:tcPr>
            <w:tcW w:type="dxa" w:w="18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Construcción, sprints 1-4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Pruebas</w:t>
            </w:r>
          </w:p>
        </w:tc>
        <w:tc>
          <w:tcPr>
            <w:tcW w:type="dxa" w:w="49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Pruebas de desempeño con personas en la calle y pruebas de carga contra EAC-04</w:t>
            </w:r>
          </w:p>
        </w:tc>
        <w:tc>
          <w:tcPr>
            <w:tcW w:type="dxa" w:w="18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Cada sprint</w:t>
            </w:r>
          </w:p>
        </w:tc>
      </w:tr>
      <w:tr>
        <w:trPr>
          <w:cantSplit/>
        </w:trPr>
        <w:tc>
          <w:tcPr>
            <w:tcW w:type="dxa" w:w="252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Implantación</w:t>
            </w:r>
          </w:p>
        </w:tc>
        <w:tc>
          <w:tcPr>
            <w:tcW w:type="dxa" w:w="49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Colonia piloto, luego por zona con su comité</w:t>
            </w:r>
          </w:p>
        </w:tc>
        <w:tc>
          <w:tcPr>
            <w:tcW w:type="dxa" w:w="187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Fases 1-3</w:t>
            </w:r>
          </w:p>
        </w:tc>
      </w:tr>
    </w:tbl>
    <w:p>
      <w:pPr>
        <w:spacing w:after="40"/>
      </w:pP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2059"/>
        <w:gridCol w:w="1310"/>
        <w:gridCol w:w="4306"/>
        <w:gridCol w:w="1685"/>
      </w:tblGrid>
      <w:tr>
        <w:trPr>
          <w:tblHeader w:val="true"/>
        </w:trPr>
        <w:tc>
          <w:tcPr>
            <w:tcW w:type="dxa" w:w="205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Fase</w:t>
            </w:r>
          </w:p>
        </w:tc>
        <w:tc>
          <w:tcPr>
            <w:tcW w:type="dxa" w:w="131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Duración (supuesto)</w:t>
            </w:r>
          </w:p>
        </w:tc>
        <w:tc>
          <w:tcPr>
            <w:tcW w:type="dxa" w:w="4306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Qué entrega</w:t>
            </w:r>
          </w:p>
        </w:tc>
        <w:tc>
          <w:tcPr>
            <w:tcW w:type="dxa" w:w="168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Problemáticas que cierra</w:t>
            </w:r>
          </w:p>
        </w:tc>
      </w:tr>
      <w:tr>
        <w:trPr>
          <w:cantSplit/>
        </w:trPr>
        <w:tc>
          <w:tcPr>
            <w:tcW w:type="dxa" w:w="2059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0</w:t>
            </w:r>
            <w:r>
              <w:rPr>
                <w:b w:val="0"/>
                <w:i w:val="0"/>
                <w:sz w:val="18"/>
              </w:rPr>
              <w:t xml:space="preserve"> Concertación y diagnóstico</w:t>
            </w:r>
          </w:p>
        </w:tc>
        <w:tc>
          <w:tcPr>
            <w:tcW w:type="dxa" w:w="131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2 meses</w:t>
            </w:r>
          </w:p>
        </w:tc>
        <w:tc>
          <w:tcPr>
            <w:tcW w:type="dxa" w:w="430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Consulta en la colonia piloto, comité, censo de cobros informales con la PDH, permiso para probar en la calle, base legal de placas</w:t>
            </w:r>
          </w:p>
        </w:tc>
        <w:tc>
          <w:tcPr>
            <w:tcW w:type="dxa" w:w="168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P-01 · P-02</w:t>
            </w:r>
          </w:p>
        </w:tc>
      </w:tr>
      <w:tr>
        <w:trPr>
          <w:cantSplit/>
        </w:trPr>
        <w:tc>
          <w:tcPr>
            <w:tcW w:type="dxa" w:w="2059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1</w:t>
            </w:r>
            <w:r>
              <w:rPr>
                <w:b w:val="0"/>
                <w:i w:val="0"/>
                <w:sz w:val="18"/>
              </w:rPr>
              <w:t xml:space="preserve"> Pago por placa y verificación</w:t>
            </w:r>
          </w:p>
        </w:tc>
        <w:tc>
          <w:tcPr>
            <w:tcW w:type="dxa" w:w="131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4 sprints de 2 semanas</w:t>
            </w:r>
          </w:p>
        </w:tc>
        <w:tc>
          <w:tcPr>
            <w:tcW w:type="dxa" w:w="430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Equipo reconfigurado, cobro con monedas y tarjeta, app del verificador, sanción con evidencia, tablero mínimo</w:t>
            </w:r>
          </w:p>
        </w:tc>
        <w:tc>
          <w:tcPr>
            <w:tcW w:type="dxa" w:w="168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P-03 · P-04 · P-05</w:t>
            </w:r>
          </w:p>
        </w:tc>
      </w:tr>
      <w:tr>
        <w:trPr>
          <w:cantSplit/>
        </w:trPr>
        <w:tc>
          <w:tcPr>
            <w:tcW w:type="dxa" w:w="2059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2</w:t>
            </w:r>
            <w:r>
              <w:rPr>
                <w:b w:val="0"/>
                <w:i w:val="0"/>
                <w:sz w:val="18"/>
              </w:rPr>
              <w:t xml:space="preserve"> App del conductor y red monitoreada</w:t>
            </w:r>
          </w:p>
        </w:tc>
        <w:tc>
          <w:tcPr>
            <w:tcW w:type="dxa" w:w="131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4 sprints</w:t>
            </w:r>
          </w:p>
        </w:tc>
        <w:tc>
          <w:tcPr>
            <w:tcW w:type="dxa" w:w="430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Pago y extensión por app, avisos, alarma de vandalismo, reportes de cobro informal</w:t>
            </w:r>
          </w:p>
        </w:tc>
        <w:tc>
          <w:tcPr>
            <w:tcW w:type="dxa" w:w="168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P-02 · P-05 · P-06</w:t>
            </w:r>
          </w:p>
        </w:tc>
      </w:tr>
      <w:tr>
        <w:trPr>
          <w:cantSplit/>
        </w:trPr>
        <w:tc>
          <w:tcPr>
            <w:tcW w:type="dxa" w:w="2059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3</w:t>
            </w:r>
            <w:r>
              <w:rPr>
                <w:b w:val="0"/>
                <w:i w:val="0"/>
                <w:sz w:val="18"/>
              </w:rPr>
              <w:t xml:space="preserve"> Información de ocupación y tarifa por demanda</w:t>
            </w:r>
          </w:p>
        </w:tc>
        <w:tc>
          <w:tcPr>
            <w:tcW w:type="dxa" w:w="131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Según datos de las fases 1-2</w:t>
            </w:r>
          </w:p>
        </w:tc>
        <w:tc>
          <w:tcPr>
            <w:tcW w:type="dxa" w:w="430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Sensores en las zonas de mayor demanda; tarifa configurable por hora</w:t>
            </w:r>
          </w:p>
        </w:tc>
        <w:tc>
          <w:tcPr>
            <w:tcW w:type="dxa" w:w="168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Meta urbana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5.4 Arquitectura de la información</w:t>
      </w:r>
    </w:p>
    <w:p>
      <w:pPr>
        <w:keepNext w:val="0"/>
      </w:pPr>
      <w:r>
        <w:rPr>
          <w:b w:val="0"/>
          <w:i w:val="0"/>
          <w:sz w:val="22"/>
        </w:rPr>
        <w:t xml:space="preserve">La </w:t>
      </w:r>
      <w:r>
        <w:rPr>
          <w:b/>
          <w:i w:val="0"/>
          <w:sz w:val="22"/>
        </w:rPr>
        <w:t>arquitectura de la información</w:t>
      </w:r>
      <w:r>
        <w:rPr>
          <w:b w:val="0"/>
          <w:i w:val="0"/>
          <w:sz w:val="22"/>
        </w:rPr>
        <w:t xml:space="preserve"> organiza los </w:t>
      </w:r>
      <w:r>
        <w:rPr>
          <w:b/>
          <w:i w:val="0"/>
          <w:sz w:val="22"/>
        </w:rPr>
        <w:t>contenidos</w:t>
      </w:r>
      <w:r>
        <w:rPr>
          <w:b w:val="0"/>
          <w:i w:val="0"/>
          <w:sz w:val="22"/>
        </w:rPr>
        <w:t xml:space="preserve"> para que el usuario los encuentre y los use: categorías, etiquetas y navegación (NT2 de la unidad 3, Moyares y Bretones). No es la arquitectura del software. El caso es, en el fondo, un problema de arquitectura de la información, y el trabajo de Smartmedia recorre sus tres etapas: </w:t>
      </w:r>
      <w:r>
        <w:rPr>
          <w:b/>
          <w:i w:val="0"/>
          <w:sz w:val="22"/>
        </w:rPr>
        <w:t>investigación</w:t>
      </w:r>
      <w:r>
        <w:rPr>
          <w:b w:val="0"/>
          <w:i w:val="0"/>
          <w:sz w:val="22"/>
        </w:rPr>
        <w:t xml:space="preserve"> (observación participativa), </w:t>
      </w:r>
      <w:r>
        <w:rPr>
          <w:b/>
          <w:i w:val="0"/>
          <w:sz w:val="22"/>
        </w:rPr>
        <w:t>organización</w:t>
      </w:r>
      <w:r>
        <w:rPr>
          <w:b w:val="0"/>
          <w:i w:val="0"/>
          <w:sz w:val="22"/>
        </w:rPr>
        <w:t xml:space="preserve"> (las 13 partes de información y la tabla de antes, durante y después) y </w:t>
      </w:r>
      <w:r>
        <w:rPr>
          <w:b/>
          <w:i w:val="0"/>
          <w:sz w:val="22"/>
        </w:rPr>
        <w:t>diseño</w:t>
      </w:r>
      <w:r>
        <w:rPr>
          <w:b w:val="0"/>
          <w:i w:val="0"/>
          <w:sz w:val="22"/>
        </w:rPr>
        <w:t xml:space="preserve"> (prototipos validados).</w:t>
      </w:r>
    </w:p>
    <w:p>
      <w:pPr>
        <w:keepNext/>
      </w:pPr>
      <w:r>
        <w:rPr>
          <w:b/>
          <w:i w:val="0"/>
          <w:sz w:val="22"/>
        </w:rPr>
        <w:t>Inventario de la información, reorganizado por momento de uso.</w:t>
      </w:r>
      <w:r>
        <w:rPr>
          <w:b w:val="0"/>
          <w:i w:val="0"/>
          <w:sz w:val="22"/>
        </w:rPr>
        <w:t xml:space="preserve"> El criterio de organización deja de ser «lo que cabe en el panel» y pasa a ser la </w:t>
      </w:r>
      <w:r>
        <w:rPr>
          <w:b/>
          <w:i w:val="0"/>
          <w:sz w:val="22"/>
        </w:rPr>
        <w:t>tarea</w:t>
      </w:r>
      <w:r>
        <w:rPr>
          <w:b w:val="0"/>
          <w:i w:val="0"/>
          <w:sz w:val="22"/>
        </w:rPr>
        <w:t xml:space="preserve"> del conductor en cada momento.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1217"/>
        <w:gridCol w:w="3089"/>
        <w:gridCol w:w="3089"/>
        <w:gridCol w:w="1966"/>
      </w:tblGrid>
      <w:tr>
        <w:trPr>
          <w:tblHeader w:val="true"/>
        </w:trPr>
        <w:tc>
          <w:tcPr>
            <w:tcW w:type="dxa" w:w="121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Momento</w:t>
            </w:r>
          </w:p>
        </w:tc>
        <w:tc>
          <w:tcPr>
            <w:tcW w:type="dxa" w:w="308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Contenido</w:t>
            </w:r>
          </w:p>
        </w:tc>
        <w:tc>
          <w:tcPr>
            <w:tcW w:type="dxa" w:w="308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Dónde aparece</w:t>
            </w:r>
          </w:p>
        </w:tc>
        <w:tc>
          <w:tcPr>
            <w:tcW w:type="dxa" w:w="1966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Etiqueta única</w:t>
            </w:r>
          </w:p>
        </w:tc>
      </w:tr>
      <w:tr>
        <w:trPr>
          <w:cantSplit/>
        </w:trPr>
        <w:tc>
          <w:tcPr>
            <w:tcW w:type="dxa" w:w="121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Antes del uso</w:t>
            </w:r>
          </w:p>
        </w:tc>
        <w:tc>
          <w:tcPr>
            <w:tcW w:type="dxa" w:w="30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Zona con cobro, horario, tarifa, cajones libres</w:t>
            </w:r>
          </w:p>
        </w:tc>
        <w:tc>
          <w:tcPr>
            <w:tcW w:type="dxa" w:w="30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Señal vertical con el color de la banqueta · mapa en la app</w:t>
            </w:r>
          </w:p>
        </w:tc>
        <w:tc>
          <w:tcPr>
            <w:tcW w:type="dxa" w:w="196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«Zona con parquímetro»</w:t>
            </w:r>
          </w:p>
        </w:tc>
      </w:tr>
      <w:tr>
        <w:trPr>
          <w:cantSplit/>
        </w:trPr>
        <w:tc>
          <w:tcPr>
            <w:tcW w:type="dxa" w:w="121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Antes del uso</w:t>
            </w:r>
          </w:p>
        </w:tc>
        <w:tc>
          <w:tcPr>
            <w:tcW w:type="dxa" w:w="30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Ubicación del parquímetro que corresponde</w:t>
            </w:r>
          </w:p>
        </w:tc>
        <w:tc>
          <w:tcPr>
            <w:tcW w:type="dxa" w:w="30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Número grande en el equipo y en la señal de la cuadra</w:t>
            </w:r>
          </w:p>
        </w:tc>
        <w:tc>
          <w:tcPr>
            <w:tcW w:type="dxa" w:w="196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«Parquímetro 0412»</w:t>
            </w:r>
          </w:p>
        </w:tc>
      </w:tr>
      <w:tr>
        <w:trPr>
          <w:cantSplit/>
        </w:trPr>
        <w:tc>
          <w:tcPr>
            <w:tcW w:type="dxa" w:w="121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Durante el uso</w:t>
            </w:r>
          </w:p>
        </w:tc>
        <w:tc>
          <w:tcPr>
            <w:tcW w:type="dxa" w:w="30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Tarifa por 30 min y tiempo máximo</w:t>
            </w:r>
          </w:p>
        </w:tc>
        <w:tc>
          <w:tcPr>
            <w:tcW w:type="dxa" w:w="30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Franja fija arriba de la pantalla, siempre visible</w:t>
            </w:r>
          </w:p>
        </w:tc>
        <w:tc>
          <w:tcPr>
            <w:tcW w:type="dxa" w:w="196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«Q3 por 30 min · máximo 4 h»</w:t>
            </w:r>
          </w:p>
        </w:tc>
      </w:tr>
      <w:tr>
        <w:trPr>
          <w:cantSplit/>
        </w:trPr>
        <w:tc>
          <w:tcPr>
            <w:tcW w:type="dxa" w:w="121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Durante el uso</w:t>
            </w:r>
          </w:p>
        </w:tc>
        <w:tc>
          <w:tcPr>
            <w:tcW w:type="dxa" w:w="30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Los tres pasos: placa, tiempo, pago</w:t>
            </w:r>
          </w:p>
        </w:tc>
        <w:tc>
          <w:tcPr>
            <w:tcW w:type="dxa" w:w="30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Una pantalla por paso, con la barra de progreso</w:t>
            </w:r>
          </w:p>
        </w:tc>
        <w:tc>
          <w:tcPr>
            <w:tcW w:type="dxa" w:w="196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«1 · Placa» «2 · Tiempo» «3 · Pago»</w:t>
            </w:r>
          </w:p>
        </w:tc>
      </w:tr>
      <w:tr>
        <w:trPr>
          <w:cantSplit/>
        </w:trPr>
        <w:tc>
          <w:tcPr>
            <w:tcW w:type="dxa" w:w="121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Durante el uso</w:t>
            </w:r>
          </w:p>
        </w:tc>
        <w:tc>
          <w:tcPr>
            <w:tcW w:type="dxa" w:w="30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Medios de pago aceptados</w:t>
            </w:r>
          </w:p>
        </w:tc>
        <w:tc>
          <w:tcPr>
            <w:tcW w:type="dxa" w:w="30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Paso 3, con monedas válidas</w:t>
            </w:r>
          </w:p>
        </w:tc>
        <w:tc>
          <w:tcPr>
            <w:tcW w:type="dxa" w:w="196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«Monedas · Tarjeta · QR»</w:t>
            </w:r>
          </w:p>
        </w:tc>
      </w:tr>
      <w:tr>
        <w:trPr>
          <w:cantSplit/>
        </w:trPr>
        <w:tc>
          <w:tcPr>
            <w:tcW w:type="dxa" w:w="121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Durante el uso</w:t>
            </w:r>
          </w:p>
        </w:tc>
        <w:tc>
          <w:tcPr>
            <w:tcW w:type="dxa" w:w="30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Aviso de que no hay otro cobro</w:t>
            </w:r>
          </w:p>
        </w:tc>
        <w:tc>
          <w:tcPr>
            <w:tcW w:type="dxa" w:w="30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Paso 3</w:t>
            </w:r>
          </w:p>
        </w:tc>
        <w:tc>
          <w:tcPr>
            <w:tcW w:type="dxa" w:w="196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«Este es el único cobro»</w:t>
            </w:r>
          </w:p>
        </w:tc>
      </w:tr>
      <w:tr>
        <w:trPr>
          <w:cantSplit/>
        </w:trPr>
        <w:tc>
          <w:tcPr>
            <w:tcW w:type="dxa" w:w="121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Después del uso</w:t>
            </w:r>
          </w:p>
        </w:tc>
        <w:tc>
          <w:tcPr>
            <w:tcW w:type="dxa" w:w="30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Hora de vencimiento y folio</w:t>
            </w:r>
          </w:p>
        </w:tc>
        <w:tc>
          <w:tcPr>
            <w:tcW w:type="dxa" w:w="30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Comprobante en pantalla, impreso opcional y en la app</w:t>
            </w:r>
          </w:p>
        </w:tc>
        <w:tc>
          <w:tcPr>
            <w:tcW w:type="dxa" w:w="196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«Vence 11:00 · folio 0412-0001»</w:t>
            </w:r>
          </w:p>
        </w:tc>
      </w:tr>
      <w:tr>
        <w:trPr>
          <w:cantSplit/>
        </w:trPr>
        <w:tc>
          <w:tcPr>
            <w:tcW w:type="dxa" w:w="121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Después del uso</w:t>
            </w:r>
          </w:p>
        </w:tc>
        <w:tc>
          <w:tcPr>
            <w:tcW w:type="dxa" w:w="30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Aviso antes de vencer y extensión</w:t>
            </w:r>
          </w:p>
        </w:tc>
        <w:tc>
          <w:tcPr>
            <w:tcW w:type="dxa" w:w="30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Notificación en la app</w:t>
            </w:r>
          </w:p>
        </w:tc>
        <w:tc>
          <w:tcPr>
            <w:tcW w:type="dxa" w:w="196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«Le quedan 10 min»</w:t>
            </w:r>
          </w:p>
        </w:tc>
      </w:tr>
      <w:tr>
        <w:trPr>
          <w:cantSplit/>
        </w:trPr>
        <w:tc>
          <w:tcPr>
            <w:tcW w:type="dxa" w:w="121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Después del uso</w:t>
            </w:r>
          </w:p>
        </w:tc>
        <w:tc>
          <w:tcPr>
            <w:tcW w:type="dxa" w:w="30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Cómo reclamar una multa y cómo reportar un cobro informal</w:t>
            </w:r>
          </w:p>
        </w:tc>
        <w:tc>
          <w:tcPr>
            <w:tcW w:type="dxa" w:w="30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Comprobante, app y línea de atención</w:t>
            </w:r>
          </w:p>
        </w:tc>
        <w:tc>
          <w:tcPr>
            <w:tcW w:type="dxa" w:w="196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«Reclamos» · «Reportar cobro informal»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b/>
          <w:i w:val="0"/>
          <w:sz w:val="22"/>
        </w:rPr>
        <w:t>Mapa y navegación.</w:t>
      </w:r>
      <w:r>
        <w:rPr>
          <w:b w:val="0"/>
          <w:i w:val="0"/>
          <w:sz w:val="22"/>
        </w:rPr>
        <w:t xml:space="preserve"> La pantalla del parquímetro es </w:t>
      </w:r>
      <w:r>
        <w:rPr>
          <w:b/>
          <w:i w:val="0"/>
          <w:sz w:val="22"/>
        </w:rPr>
        <w:t>lineal</w:t>
      </w:r>
      <w:r>
        <w:rPr>
          <w:b w:val="0"/>
          <w:i w:val="0"/>
          <w:sz w:val="22"/>
        </w:rPr>
        <w:t xml:space="preserve"> (tres pasos, sin menús): en la calle y con prisa no se navega, se avanza. La app tiene </w:t>
      </w:r>
      <w:r>
        <w:rPr>
          <w:b/>
          <w:i w:val="0"/>
          <w:sz w:val="22"/>
        </w:rPr>
        <w:t>cuatro secciones</w:t>
      </w:r>
      <w:r>
        <w:rPr>
          <w:b w:val="0"/>
          <w:i w:val="0"/>
          <w:sz w:val="22"/>
        </w:rPr>
        <w:t xml:space="preserve"> que repiten los momentos de uso: </w:t>
      </w:r>
      <w:r>
        <w:rPr>
          <w:b w:val="0"/>
          <w:i/>
          <w:sz w:val="22"/>
        </w:rPr>
        <w:t>Encontrar lugar</w:t>
      </w:r>
      <w:r>
        <w:rPr>
          <w:b w:val="0"/>
          <w:i w:val="0"/>
          <w:sz w:val="22"/>
        </w:rPr>
        <w:t xml:space="preserve"> (antes), </w:t>
      </w:r>
      <w:r>
        <w:rPr>
          <w:b w:val="0"/>
          <w:i/>
          <w:sz w:val="22"/>
        </w:rPr>
        <w:t>Pagar</w:t>
      </w:r>
      <w:r>
        <w:rPr>
          <w:b w:val="0"/>
          <w:i w:val="0"/>
          <w:sz w:val="22"/>
        </w:rPr>
        <w:t xml:space="preserve"> (durante), </w:t>
      </w:r>
      <w:r>
        <w:rPr>
          <w:b w:val="0"/>
          <w:i/>
          <w:sz w:val="22"/>
        </w:rPr>
        <w:t>Mis sesiones</w:t>
      </w:r>
      <w:r>
        <w:rPr>
          <w:b w:val="0"/>
          <w:i w:val="0"/>
          <w:sz w:val="22"/>
        </w:rPr>
        <w:t xml:space="preserve"> (después) y </w:t>
      </w:r>
      <w:r>
        <w:rPr>
          <w:b w:val="0"/>
          <w:i/>
          <w:sz w:val="22"/>
        </w:rPr>
        <w:t>Ayuda y reclamos</w:t>
      </w:r>
      <w:r>
        <w:rPr>
          <w:b w:val="0"/>
          <w:i w:val="0"/>
          <w:sz w:val="22"/>
        </w:rPr>
        <w:t xml:space="preserve">. El tablero de transparencia se organiza por </w:t>
      </w:r>
      <w:r>
        <w:rPr>
          <w:b/>
          <w:i w:val="0"/>
          <w:sz w:val="22"/>
        </w:rPr>
        <w:t>zona</w:t>
      </w:r>
      <w:r>
        <w:rPr>
          <w:b w:val="0"/>
          <w:i w:val="0"/>
          <w:sz w:val="22"/>
        </w:rPr>
        <w:t xml:space="preserve">, porque así piensa el vecino: </w:t>
      </w:r>
      <w:r>
        <w:rPr>
          <w:b w:val="0"/>
          <w:i/>
          <w:sz w:val="22"/>
        </w:rPr>
        <w:t>¿cuánto se recaudó en mi colonia y en qué se invirtió?</w:t>
      </w:r>
    </w:p>
    <w:p>
      <w:pPr>
        <w:keepNext w:val="0"/>
      </w:pPr>
      <w:r>
        <w:rPr>
          <w:b/>
          <w:i w:val="0"/>
          <w:sz w:val="22"/>
        </w:rPr>
        <w:t>La información también es un dominio de la arquitectura empresarial.</w:t>
      </w:r>
      <w:r>
        <w:rPr>
          <w:b w:val="0"/>
          <w:i w:val="0"/>
          <w:sz w:val="22"/>
        </w:rPr>
        <w:t xml:space="preserve"> En la lámina de clase de arquitectura empresarial, la arquitectura de la información es el </w:t>
      </w:r>
      <w:r>
        <w:rPr>
          <w:b/>
          <w:i w:val="0"/>
          <w:sz w:val="22"/>
        </w:rPr>
        <w:t>modelo de datos</w:t>
      </w:r>
      <w:r>
        <w:rPr>
          <w:b w:val="0"/>
          <w:i w:val="0"/>
          <w:sz w:val="22"/>
        </w:rPr>
        <w:t>. Las entidades de SIEP son: Zona, Cuadra, Cajón, Parquímetro, Tarifa, Sesión de estacionamiento, Placa (con un código en lugar del número para la analítica), Pago, Presunta infracción, Multa, Reclamo, Reporte de cobro informal, Orden de mantenimiento y Movimiento de recursos (70/30). Las dos lecturas conviven y se declaran: contenidos para el usuario (NT2) y datos de la organización (lámina).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5.5 Factores externos: los cobros de personas ajenas a la municipalidad</w:t>
      </w:r>
    </w:p>
    <w:p>
      <w:pPr>
        <w:keepNext/>
      </w:pPr>
      <w:r>
        <w:rPr>
          <w:b w:val="0"/>
          <w:i w:val="0"/>
          <w:sz w:val="22"/>
        </w:rPr>
        <w:t>El cuidacarros compite con el parquímetro por el mismo cajón. Gana cuando el pago legítimo es invisible, incómodo o se percibe injusto, y cuando el conductor teme un daño al vehículo. La respuesta combina las cuatro perspectivas, sin criminalizar a priori a quien hoy vive de eso.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9360"/>
      </w:tblPr>
      <w:tblGrid>
        <w:gridCol w:w="2340"/>
        <w:gridCol w:w="7020"/>
      </w:tblGrid>
      <w:tr>
        <w:trPr>
          <w:tblHeader w:val="true"/>
        </w:trPr>
        <w:tc>
          <w:tcPr>
            <w:tcW w:type="dxa" w:w="234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Perspectiva</w:t>
            </w:r>
          </w:p>
        </w:tc>
        <w:tc>
          <w:tcPr>
            <w:tcW w:type="dxa" w:w="702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Respuesta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Arquitectura de la información</w:t>
            </w:r>
          </w:p>
        </w:tc>
        <w:tc>
          <w:tcPr>
            <w:tcW w:type="dxa" w:w="702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La señal y la pantalla dicen que el único cobro es el del parquímetro; la tarifa está siempre visible, así el conductor sabe cuánto es lo correcto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Arquitectura del software</w:t>
            </w:r>
          </w:p>
        </w:tc>
        <w:tc>
          <w:tcPr>
            <w:tcW w:type="dxa" w:w="702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CU-12 envía el reporte con ubicación y hora, sin datos del denunciante (EAC-11). La analítica cruza la ocupación observada por el verificador con los pagos registrados: una cuadra llena y sin pagos es una cuadra capturada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Calidad del software</w:t>
            </w:r>
          </w:p>
        </w:tc>
        <w:tc>
          <w:tcPr>
            <w:tcW w:type="dxa" w:w="702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Seguridad en uso: el conductor no debe exponerse. El reporte es anónimo y la app muestra la línea de emergencia si hay amenaza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Arquitectura en el ciclo de vida</w:t>
            </w:r>
          </w:p>
        </w:tc>
        <w:tc>
          <w:tcPr>
            <w:tcW w:type="dxa" w:w="702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La fase 0 incluye un censo de cuidadores y un protocolo con la policía municipal y la Procuraduría de los Derechos Humanos, como en Antigua Guatemala; la implantación por zona se coordina con ese protocolo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Negocio (opción a decidir por la Delegación)</w:t>
            </w:r>
          </w:p>
        </w:tc>
        <w:tc>
          <w:tcPr>
            <w:tcW w:type="dxa" w:w="702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Ofrecer a quienes se registren un trabajo formal de orientación al usuario en la zona, pagado con parte del 30 % de reinversión comunitaria. Requiere base legal y no reemplaza la verificación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6" w:space="4" w:color="9AA0A6"/>
        </w:pBdr>
      </w:pPr>
      <w:r>
        <w:rPr>
          <w:color w:val="000000"/>
        </w:rPr>
      </w:r>
      <w:r>
        <w:rPr>
          <w:b/>
          <w:i w:val="0"/>
          <w:color w:val="000000"/>
        </w:rPr>
        <w:t>6. Respuestas a las cuestiones del caso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Pregunta 1. ¿Qué otro tipo de estudio podría haber hecho Margarita para un diagnóstico inicial del problema?</w:t>
      </w:r>
    </w:p>
    <w:p>
      <w:pPr>
        <w:keepNext w:val="0"/>
      </w:pPr>
      <w:r>
        <w:rPr>
          <w:b w:val="0"/>
          <w:i w:val="0"/>
          <w:sz w:val="22"/>
        </w:rPr>
        <w:t xml:space="preserve">Un estudio con </w:t>
      </w:r>
      <w:r>
        <w:rPr>
          <w:b/>
          <w:i w:val="0"/>
          <w:sz w:val="22"/>
        </w:rPr>
        <w:t>datos primarios</w:t>
      </w:r>
      <w:r>
        <w:rPr>
          <w:b w:val="0"/>
          <w:i w:val="0"/>
          <w:sz w:val="22"/>
        </w:rPr>
        <w:t xml:space="preserve"> antes de contratar el diseño: (a) </w:t>
      </w:r>
      <w:r>
        <w:rPr>
          <w:b/>
          <w:i w:val="0"/>
          <w:sz w:val="22"/>
        </w:rPr>
        <w:t>observación de campo cuantitativa</w:t>
      </w:r>
      <w:r>
        <w:rPr>
          <w:b w:val="0"/>
          <w:i w:val="0"/>
          <w:sz w:val="22"/>
        </w:rPr>
        <w:t xml:space="preserve"> por cuadra (ocupación, rotación, vehículos sin pago, presencia de cuidacarros); (b) </w:t>
      </w:r>
      <w:r>
        <w:rPr>
          <w:b/>
          <w:i w:val="0"/>
          <w:sz w:val="22"/>
        </w:rPr>
        <w:t>análisis de los datos que ya tenía</w:t>
      </w:r>
      <w:r>
        <w:rPr>
          <w:b w:val="0"/>
          <w:i w:val="0"/>
          <w:sz w:val="22"/>
        </w:rPr>
        <w:t xml:space="preserve">: recaudación por parquímetro, multas, reclamos y fallas, que muestran dónde falla el sistema; (c) </w:t>
      </w:r>
      <w:r>
        <w:rPr>
          <w:b/>
          <w:i w:val="0"/>
          <w:sz w:val="22"/>
        </w:rPr>
        <w:t>encuestas y grupos focales con vecinos</w:t>
      </w:r>
      <w:r>
        <w:rPr>
          <w:b w:val="0"/>
          <w:i w:val="0"/>
          <w:sz w:val="22"/>
        </w:rPr>
        <w:t xml:space="preserve"> de colonias con y sin parquímetros, para medir la inconformidad (P-01, P-06); y (d) un </w:t>
      </w:r>
      <w:r>
        <w:rPr>
          <w:b/>
          <w:i w:val="0"/>
          <w:sz w:val="22"/>
        </w:rPr>
        <w:t>mapa de actores</w:t>
      </w:r>
      <w:r>
        <w:rPr>
          <w:b w:val="0"/>
          <w:i w:val="0"/>
          <w:sz w:val="22"/>
        </w:rPr>
        <w:t xml:space="preserve"> con sus intereses, que habría puesto a los cuidacarros al centro desde el inicio. Su diagnóstico se basó en investigación secundaria y expertos, que sirven para formular hipótesis, no para medirlas.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Pregunta 2. ¿Qué problema del diagnóstico resuelve mejor la metodología expuesta, y cuál pudo abordar SERVIparq más a fondo?</w:t>
      </w:r>
    </w:p>
    <w:p>
      <w:pPr>
        <w:keepNext w:val="0"/>
      </w:pPr>
      <w:r>
        <w:rPr>
          <w:b w:val="0"/>
          <w:i w:val="0"/>
          <w:sz w:val="22"/>
        </w:rPr>
        <w:t xml:space="preserve">Resuelve mejor el </w:t>
      </w:r>
      <w:r>
        <w:rPr>
          <w:b/>
          <w:i w:val="0"/>
          <w:sz w:val="22"/>
        </w:rPr>
        <w:t>P-03</w:t>
      </w:r>
      <w:r>
        <w:rPr>
          <w:b w:val="0"/>
          <w:i w:val="0"/>
          <w:sz w:val="22"/>
        </w:rPr>
        <w:t xml:space="preserve"> (instrucciones de pago) y, en parte, el </w:t>
      </w:r>
      <w:r>
        <w:rPr>
          <w:b/>
          <w:i w:val="0"/>
          <w:sz w:val="22"/>
        </w:rPr>
        <w:t>P-04</w:t>
      </w:r>
      <w:r>
        <w:rPr>
          <w:b w:val="0"/>
          <w:i w:val="0"/>
          <w:sz w:val="22"/>
        </w:rPr>
        <w:t xml:space="preserve"> (frustración del primer uso): la metodología mide si la persona encuentra y usa la información, que es exactamente esa falla. El que SERVIparq pudo abordar más a fondo es el </w:t>
      </w:r>
      <w:r>
        <w:rPr>
          <w:b/>
          <w:i w:val="0"/>
          <w:sz w:val="22"/>
        </w:rPr>
        <w:t>P-05</w:t>
      </w:r>
      <w:r>
        <w:rPr>
          <w:b w:val="0"/>
          <w:i w:val="0"/>
          <w:sz w:val="22"/>
        </w:rPr>
        <w:t xml:space="preserve"> (falta de personal): el propio dispositivo tenía pago electrónico y alarma apagados, y verificar por placa habría multiplicado lo que cubre cada verificador. También quedaron fuera el P-02 y el P-06, que no son de interfaz sino de gobierno.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Pregunta 3. ¿De qué otra manera se podía clasificar la problemática para abordar soluciones pertinentes?</w:t>
      </w:r>
    </w:p>
    <w:p>
      <w:pPr>
        <w:keepNext w:val="0"/>
      </w:pPr>
      <w:r>
        <w:rPr>
          <w:b w:val="0"/>
          <w:i w:val="0"/>
          <w:sz w:val="22"/>
        </w:rPr>
        <w:t xml:space="preserve">Por </w:t>
      </w:r>
      <w:r>
        <w:rPr>
          <w:b/>
          <w:i w:val="0"/>
          <w:sz w:val="22"/>
        </w:rPr>
        <w:t>causa raíz y perspectiva</w:t>
      </w:r>
      <w:r>
        <w:rPr>
          <w:b w:val="0"/>
          <w:i w:val="0"/>
          <w:sz w:val="22"/>
        </w:rPr>
        <w:t xml:space="preserve"> (§1.3): gobierno y comunidad (P-01, P-06), actores informales (P-02), información (P-03, P-04) y capacidades del sistema (P-05). Otra forma útil es por </w:t>
      </w:r>
      <w:r>
        <w:rPr>
          <w:b/>
          <w:i w:val="0"/>
          <w:sz w:val="22"/>
        </w:rPr>
        <w:t>momento de uso</w:t>
      </w:r>
      <w:r>
        <w:rPr>
          <w:b w:val="0"/>
          <w:i w:val="0"/>
          <w:sz w:val="22"/>
        </w:rPr>
        <w:t xml:space="preserve"> (antes, durante, después) y por </w:t>
      </w:r>
      <w:r>
        <w:rPr>
          <w:b/>
          <w:i w:val="0"/>
          <w:sz w:val="22"/>
        </w:rPr>
        <w:t>actor afectado</w:t>
      </w:r>
      <w:r>
        <w:rPr>
          <w:b w:val="0"/>
          <w:i w:val="0"/>
          <w:sz w:val="22"/>
        </w:rPr>
        <w:t xml:space="preserve"> (vecino, conductor, verificador, autoridad). Y, desde la arquitectura, por </w:t>
      </w:r>
      <w:r>
        <w:rPr>
          <w:b/>
          <w:i w:val="0"/>
          <w:sz w:val="22"/>
        </w:rPr>
        <w:t>tipo de driver</w:t>
      </w:r>
      <w:r>
        <w:rPr>
          <w:b w:val="0"/>
          <w:i w:val="0"/>
          <w:sz w:val="22"/>
        </w:rPr>
        <w:t>: lo que exige una función nueva, lo que exige una cualidad medible y lo que viene impuesto desde afuera. Esta última clasificación dice directamente qué parte del sistema hay que diseñar.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Pregunta 4. ¿Qué otros sistemas se mencionan y cuáles habrían resuelto mejor las problemáticas?</w:t>
      </w:r>
    </w:p>
    <w:p>
      <w:pPr>
        <w:keepNext w:val="0"/>
      </w:pPr>
      <w:r>
        <w:rPr>
          <w:b w:val="0"/>
          <w:i w:val="0"/>
          <w:sz w:val="22"/>
        </w:rPr>
        <w:t xml:space="preserve">El caso menciona el de </w:t>
      </w:r>
      <w:r>
        <w:rPr>
          <w:b/>
          <w:i w:val="0"/>
          <w:sz w:val="22"/>
        </w:rPr>
        <w:t>San Francisco</w:t>
      </w:r>
      <w:r>
        <w:rPr>
          <w:b w:val="0"/>
          <w:i w:val="0"/>
          <w:sz w:val="22"/>
        </w:rPr>
        <w:t xml:space="preserve"> (sensores que avisan si el cajón está ocupado y tarifa ajustable a la demanda) y el de </w:t>
      </w:r>
      <w:r>
        <w:rPr>
          <w:b/>
          <w:i w:val="0"/>
          <w:sz w:val="22"/>
        </w:rPr>
        <w:t>Seattle</w:t>
      </w:r>
      <w:r>
        <w:rPr>
          <w:b w:val="0"/>
          <w:i w:val="0"/>
          <w:sz w:val="22"/>
        </w:rPr>
        <w:t xml:space="preserve"> (página web y app con cajones libres y tiempo de búsqueda por cuadra), además del </w:t>
      </w:r>
      <w:r>
        <w:rPr>
          <w:b/>
          <w:i w:val="0"/>
          <w:sz w:val="22"/>
        </w:rPr>
        <w:t>Pay and Display</w:t>
      </w:r>
      <w:r>
        <w:rPr>
          <w:b w:val="0"/>
          <w:i w:val="0"/>
          <w:sz w:val="22"/>
        </w:rPr>
        <w:t xml:space="preserve"> instalado. Seattle habría resuelto mejor P-03 y P-04, porque cubre el momento «antes del uso» que el panel no tiene. San Francisco habría atacado P-05 con supervisión automática, pero con costo alto, sensores expuestos al vandalismo y una tarifa variable difícil de explicar. La mejor relación costo-beneficio era </w:t>
      </w:r>
      <w:r>
        <w:rPr>
          <w:b/>
          <w:i w:val="0"/>
          <w:sz w:val="22"/>
        </w:rPr>
        <w:t>habilitar las funciones que ya tenía el equipo</w:t>
      </w:r>
      <w:r>
        <w:rPr>
          <w:b w:val="0"/>
          <w:i w:val="0"/>
          <w:sz w:val="22"/>
        </w:rPr>
        <w:t xml:space="preserve"> y sumar la información de Seattle: es la solución S-2 (§4).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Pregunta 5. ¿Qué otras tareas o acciones podrían incluirse en los requisitos de desempeño?</w:t>
      </w:r>
    </w:p>
    <w:p>
      <w:pPr>
        <w:keepNext w:val="0"/>
      </w:pPr>
      <w:r>
        <w:rPr>
          <w:b/>
          <w:i w:val="0"/>
          <w:sz w:val="22"/>
        </w:rPr>
        <w:t>Antes:</w:t>
      </w:r>
      <w:r>
        <w:rPr>
          <w:b w:val="0"/>
          <w:i w:val="0"/>
          <w:sz w:val="22"/>
        </w:rPr>
        <w:t xml:space="preserve"> saber si se puede pagar con tarjeta o app antes de llegar; identificar los colores de la banqueta. </w:t>
      </w:r>
      <w:r>
        <w:rPr>
          <w:b/>
          <w:i w:val="0"/>
          <w:sz w:val="22"/>
        </w:rPr>
        <w:t>Durante:</w:t>
      </w:r>
      <w:r>
        <w:rPr>
          <w:b w:val="0"/>
          <w:i w:val="0"/>
          <w:sz w:val="22"/>
        </w:rPr>
        <w:t xml:space="preserve"> verificar que la placa escrita es la correcta antes de pagar; elegir el medio de pago; reconocer que no hay que pagarle a nadie más. </w:t>
      </w:r>
      <w:r>
        <w:rPr>
          <w:b/>
          <w:i w:val="0"/>
          <w:sz w:val="22"/>
        </w:rPr>
        <w:t>Después:</w:t>
      </w:r>
      <w:r>
        <w:rPr>
          <w:b w:val="0"/>
          <w:i w:val="0"/>
          <w:sz w:val="22"/>
        </w:rPr>
        <w:t xml:space="preserve"> extender el tiempo sin volver al equipo; recibir aviso antes de vencer; consultar la sesión vigente; reportar una falla del equipo o un cobro informal; saber a dónde va el dinero. Se incluyen porque cada una corresponde a una queja del diagnóstico que la tabla acordada no cubre.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Pregunta 6. ¿Cuáles son los componentes principales del diseño de una prueba de desempeño?</w:t>
      </w:r>
    </w:p>
    <w:p>
      <w:pPr>
        <w:keepNext w:val="0"/>
      </w:pPr>
      <w:r>
        <w:rPr>
          <w:b w:val="0"/>
          <w:i w:val="0"/>
          <w:sz w:val="22"/>
        </w:rPr>
        <w:t xml:space="preserve">(1) Las </w:t>
      </w:r>
      <w:r>
        <w:rPr>
          <w:b/>
          <w:i w:val="0"/>
          <w:sz w:val="22"/>
        </w:rPr>
        <w:t>tareas</w:t>
      </w:r>
      <w:r>
        <w:rPr>
          <w:b w:val="0"/>
          <w:i w:val="0"/>
          <w:sz w:val="22"/>
        </w:rPr>
        <w:t xml:space="preserve"> y la secuencia esperada, que salen de los requisitos de desempeño; (2) los </w:t>
      </w:r>
      <w:r>
        <w:rPr>
          <w:b/>
          <w:i w:val="0"/>
          <w:sz w:val="22"/>
        </w:rPr>
        <w:t>criterios</w:t>
      </w:r>
      <w:r>
        <w:rPr>
          <w:b w:val="0"/>
          <w:i w:val="0"/>
          <w:sz w:val="22"/>
        </w:rPr>
        <w:t xml:space="preserve"> de aceptación cuantitativos (encontrar y usar, y su producto: el 72 %); (3) los </w:t>
      </w:r>
      <w:r>
        <w:rPr>
          <w:b/>
          <w:i w:val="0"/>
          <w:sz w:val="22"/>
        </w:rPr>
        <w:t>participantes</w:t>
      </w:r>
      <w:r>
        <w:rPr>
          <w:b w:val="0"/>
          <w:i w:val="0"/>
          <w:sz w:val="22"/>
        </w:rPr>
        <w:t xml:space="preserve">, que no conocen el diseño; (4) el </w:t>
      </w:r>
      <w:r>
        <w:rPr>
          <w:b/>
          <w:i w:val="0"/>
          <w:sz w:val="22"/>
        </w:rPr>
        <w:t>protocolo de entrevista</w:t>
      </w:r>
      <w:r>
        <w:rPr>
          <w:b w:val="0"/>
          <w:i w:val="0"/>
          <w:sz w:val="22"/>
        </w:rPr>
        <w:t xml:space="preserve">, que pide actuar según lo que el dispositivo dice y no según lo que la persona ya sabe; (5) el </w:t>
      </w:r>
      <w:r>
        <w:rPr>
          <w:b/>
          <w:i w:val="0"/>
          <w:sz w:val="22"/>
        </w:rPr>
        <w:t>contexto</w:t>
      </w:r>
      <w:r>
        <w:rPr>
          <w:b w:val="0"/>
          <w:i w:val="0"/>
          <w:sz w:val="22"/>
        </w:rPr>
        <w:t xml:space="preserve">, idealmente el real; (6) el </w:t>
      </w:r>
      <w:r>
        <w:rPr>
          <w:b/>
          <w:i w:val="0"/>
          <w:sz w:val="22"/>
        </w:rPr>
        <w:t>registro</w:t>
      </w:r>
      <w:r>
        <w:rPr>
          <w:b w:val="0"/>
          <w:i w:val="0"/>
          <w:sz w:val="22"/>
        </w:rPr>
        <w:t xml:space="preserve"> cuantitativo y cualitativo (lo que dicen, si encuentran, si dudan); (7) el </w:t>
      </w:r>
      <w:r>
        <w:rPr>
          <w:b/>
          <w:i w:val="0"/>
          <w:sz w:val="22"/>
        </w:rPr>
        <w:t>análisis</w:t>
      </w:r>
      <w:r>
        <w:rPr>
          <w:b w:val="0"/>
          <w:i w:val="0"/>
          <w:sz w:val="22"/>
        </w:rPr>
        <w:t xml:space="preserve">, que cuenta fallas del diseño y no de las personas; y (8) la </w:t>
      </w:r>
      <w:r>
        <w:rPr>
          <w:b/>
          <w:i w:val="0"/>
          <w:sz w:val="22"/>
        </w:rPr>
        <w:t>iteración</w:t>
      </w:r>
      <w:r>
        <w:rPr>
          <w:b w:val="0"/>
          <w:i w:val="0"/>
          <w:sz w:val="22"/>
        </w:rPr>
        <w:t xml:space="preserve"> hasta cumplir el criterio.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Pregunta 7. ¿De qué otra manera pueden representarse los requisitos de desempeño?</w:t>
      </w:r>
    </w:p>
    <w:p>
      <w:pPr>
        <w:keepNext w:val="0"/>
      </w:pPr>
      <w:r>
        <w:rPr>
          <w:b w:val="0"/>
          <w:i w:val="0"/>
          <w:sz w:val="22"/>
        </w:rPr>
        <w:t xml:space="preserve">Como </w:t>
      </w:r>
      <w:r>
        <w:rPr>
          <w:b/>
          <w:i w:val="0"/>
          <w:sz w:val="22"/>
        </w:rPr>
        <w:t>historias de usuario con criterios de aceptación</w:t>
      </w:r>
      <w:r>
        <w:rPr>
          <w:b w:val="0"/>
          <w:i w:val="0"/>
          <w:sz w:val="22"/>
        </w:rPr>
        <w:t xml:space="preserve"> (</w:t>
      </w:r>
      <w:r>
        <w:rPr>
          <w:b w:val="0"/>
          <w:i/>
          <w:sz w:val="22"/>
        </w:rPr>
        <w:t>como conductor con prisa quiero pagar por placa para no colocar boleto; aceptado si 72 % lo logra en 90 s</w:t>
      </w:r>
      <w:r>
        <w:rPr>
          <w:b w:val="0"/>
          <w:i w:val="0"/>
          <w:sz w:val="22"/>
        </w:rPr>
        <w:t xml:space="preserve">); como </w:t>
      </w:r>
      <w:r>
        <w:rPr>
          <w:b/>
          <w:i w:val="0"/>
          <w:sz w:val="22"/>
        </w:rPr>
        <w:t>escenarios de atributos de calidad</w:t>
      </w:r>
      <w:r>
        <w:rPr>
          <w:b w:val="0"/>
          <w:i w:val="0"/>
          <w:sz w:val="22"/>
        </w:rPr>
        <w:t xml:space="preserve"> de seis partes (EAC-01 y EAC-02); como </w:t>
      </w:r>
      <w:r>
        <w:rPr>
          <w:b/>
          <w:i w:val="0"/>
          <w:sz w:val="22"/>
        </w:rPr>
        <w:t>mapa del recorrido del usuario</w:t>
      </w:r>
      <w:r>
        <w:rPr>
          <w:b w:val="0"/>
          <w:i w:val="0"/>
          <w:sz w:val="22"/>
        </w:rPr>
        <w:t xml:space="preserve"> (</w:t>
      </w:r>
      <w:r>
        <w:rPr>
          <w:b w:val="0"/>
          <w:i/>
          <w:sz w:val="22"/>
        </w:rPr>
        <w:t>customer journey</w:t>
      </w:r>
      <w:r>
        <w:rPr>
          <w:b w:val="0"/>
          <w:i w:val="0"/>
          <w:sz w:val="22"/>
        </w:rPr>
        <w:t xml:space="preserve">) por momento de uso; como </w:t>
      </w:r>
      <w:r>
        <w:rPr>
          <w:b/>
          <w:i w:val="0"/>
          <w:sz w:val="22"/>
        </w:rPr>
        <w:t>diagramas de actividad</w:t>
      </w:r>
      <w:r>
        <w:rPr>
          <w:b w:val="0"/>
          <w:i w:val="0"/>
          <w:sz w:val="22"/>
        </w:rPr>
        <w:t xml:space="preserve"> del flujo de pago; o como </w:t>
      </w:r>
      <w:r>
        <w:rPr>
          <w:b/>
          <w:i w:val="0"/>
          <w:sz w:val="22"/>
        </w:rPr>
        <w:t>casos de uso con su descripción textual</w:t>
      </w:r>
      <w:r>
        <w:rPr>
          <w:b w:val="0"/>
          <w:i w:val="0"/>
          <w:sz w:val="22"/>
        </w:rPr>
        <w:t xml:space="preserve"> (§3.3). Los EAC tienen la ventaja de que la medida queda escrita junto al requisito.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Pregunta 8. ¿Por qué el 72 % como nivel óptimo, y qué alternativa hay para definir los criterios?</w:t>
      </w:r>
    </w:p>
    <w:p>
      <w:pPr>
        <w:keepNext w:val="0"/>
      </w:pPr>
      <w:r>
        <w:rPr>
          <w:b w:val="0"/>
          <w:i w:val="0"/>
          <w:sz w:val="22"/>
        </w:rPr>
        <w:t xml:space="preserve">Porque es el producto de dos probabilidades: </w:t>
      </w:r>
      <w:r>
        <w:rPr>
          <w:b/>
          <w:i w:val="0"/>
          <w:sz w:val="22"/>
        </w:rPr>
        <w:t>80 % encuentra</w:t>
      </w:r>
      <w:r>
        <w:rPr>
          <w:b w:val="0"/>
          <w:i w:val="0"/>
          <w:sz w:val="22"/>
        </w:rPr>
        <w:t xml:space="preserve"> la información (Margarita bajó el 90 % sugerido porque la gente usa el parquímetro con prisa y a la intemperie) por </w:t>
      </w:r>
      <w:r>
        <w:rPr>
          <w:b/>
          <w:i w:val="0"/>
          <w:sz w:val="22"/>
        </w:rPr>
        <w:t>90 % la usa bien</w:t>
      </w:r>
      <w:r>
        <w:rPr>
          <w:b w:val="0"/>
          <w:i w:val="0"/>
          <w:sz w:val="22"/>
        </w:rPr>
        <w:t xml:space="preserve">. La premisa de la investigación previa dice que ningún desplegado supera el 81 %. </w:t>
      </w:r>
      <w:r>
        <w:rPr>
          <w:b/>
          <w:i w:val="0"/>
          <w:sz w:val="22"/>
        </w:rPr>
        <w:t>Alternativa:</w:t>
      </w:r>
      <w:r>
        <w:rPr>
          <w:b w:val="0"/>
          <w:i w:val="0"/>
          <w:sz w:val="22"/>
        </w:rPr>
        <w:t xml:space="preserve"> fijar un umbral </w:t>
      </w:r>
      <w:r>
        <w:rPr>
          <w:b/>
          <w:i w:val="0"/>
          <w:sz w:val="22"/>
        </w:rPr>
        <w:t>por tarea, según la consecuencia de fallar</w:t>
      </w:r>
      <w:r>
        <w:rPr>
          <w:b w:val="0"/>
          <w:i w:val="0"/>
          <w:sz w:val="22"/>
        </w:rPr>
        <w:t xml:space="preserve"> (§5.2), medir también el </w:t>
      </w:r>
      <w:r>
        <w:rPr>
          <w:b/>
          <w:i w:val="0"/>
          <w:sz w:val="22"/>
        </w:rPr>
        <w:t>tiempo en la tarea</w:t>
      </w:r>
      <w:r>
        <w:rPr>
          <w:b w:val="0"/>
          <w:i w:val="0"/>
          <w:sz w:val="22"/>
        </w:rPr>
        <w:t xml:space="preserve"> y la </w:t>
      </w:r>
      <w:r>
        <w:rPr>
          <w:b/>
          <w:i w:val="0"/>
          <w:sz w:val="22"/>
        </w:rPr>
        <w:t>satisfacción</w:t>
      </w:r>
      <w:r>
        <w:rPr>
          <w:b w:val="0"/>
          <w:i w:val="0"/>
          <w:sz w:val="22"/>
        </w:rPr>
        <w:t>, y tomar como línea base la primera ronda con el equipo actual, exigiendo una mejora relativa medible.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Pregunta 9. ¿Qué tipo de propuesta entregó Smartmedia?</w:t>
      </w:r>
    </w:p>
    <w:p>
      <w:pPr>
        <w:keepNext w:val="0"/>
      </w:pPr>
      <w:r>
        <w:rPr>
          <w:b w:val="0"/>
          <w:i w:val="0"/>
          <w:sz w:val="22"/>
        </w:rPr>
        <w:t xml:space="preserve">Un </w:t>
      </w:r>
      <w:r>
        <w:rPr>
          <w:b/>
          <w:i w:val="0"/>
          <w:sz w:val="22"/>
        </w:rPr>
        <w:t>rediseño de la información del dispositivo</w:t>
      </w:r>
      <w:r>
        <w:rPr>
          <w:b w:val="0"/>
          <w:i w:val="0"/>
          <w:sz w:val="22"/>
        </w:rPr>
        <w:t xml:space="preserve">: nueva secuencia de instrucciones, organización del panel y de los contenidos, validada con prototipos físicos a escala 1:1, más las </w:t>
      </w:r>
      <w:r>
        <w:rPr>
          <w:b/>
          <w:i w:val="0"/>
          <w:sz w:val="22"/>
        </w:rPr>
        <w:t>tablas comparativas de desempeño</w:t>
      </w:r>
      <w:r>
        <w:rPr>
          <w:b w:val="0"/>
          <w:i w:val="0"/>
          <w:sz w:val="22"/>
        </w:rPr>
        <w:t xml:space="preserve"> entre el parquímetro actual y los prototipos. Es una propuesta de diseño de información con evidencia, no un sistema nuevo.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 xml:space="preserve">Pregunta 10. ¿Cómo ayudó el </w:t>
      </w:r>
      <w:r>
        <w:rPr>
          <w:b/>
          <w:i/>
          <w:color w:val="000000"/>
        </w:rPr>
        <w:t>bodystorming</w:t>
      </w:r>
      <w:r>
        <w:rPr>
          <w:b/>
          <w:i w:val="0"/>
          <w:color w:val="000000"/>
        </w:rPr>
        <w:t xml:space="preserve"> al equipo de Smartmedia?</w:t>
      </w:r>
    </w:p>
    <w:p>
      <w:pPr>
        <w:keepNext w:val="0"/>
      </w:pPr>
      <w:r>
        <w:rPr>
          <w:b w:val="0"/>
          <w:i w:val="0"/>
          <w:sz w:val="22"/>
        </w:rPr>
        <w:t xml:space="preserve">Le devolvió el </w:t>
      </w:r>
      <w:r>
        <w:rPr>
          <w:b/>
          <w:i w:val="0"/>
          <w:sz w:val="22"/>
        </w:rPr>
        <w:t>contexto</w:t>
      </w:r>
      <w:r>
        <w:rPr>
          <w:b w:val="0"/>
          <w:i w:val="0"/>
          <w:sz w:val="22"/>
        </w:rPr>
        <w:t xml:space="preserve"> que el permiso faltante le había quitado: prisa, distancia entre el auto y el equipo, dónde poner el boleto, falta de cambio. Generó </w:t>
      </w:r>
      <w:r>
        <w:rPr>
          <w:b/>
          <w:i w:val="0"/>
          <w:sz w:val="22"/>
        </w:rPr>
        <w:t>empatía</w:t>
      </w:r>
      <w:r>
        <w:rPr>
          <w:b w:val="0"/>
          <w:i w:val="0"/>
          <w:sz w:val="22"/>
        </w:rPr>
        <w:t xml:space="preserve"> en los diseñadores y en SERVIparq, que actuaron los roles; hizo creíble la prueba para los participantes; y produjo </w:t>
      </w:r>
      <w:r>
        <w:rPr>
          <w:b/>
          <w:i w:val="0"/>
          <w:sz w:val="22"/>
        </w:rPr>
        <w:t>ideas nuevas</w:t>
      </w:r>
      <w:r>
        <w:rPr>
          <w:b w:val="0"/>
          <w:i w:val="0"/>
          <w:sz w:val="22"/>
        </w:rPr>
        <w:t xml:space="preserve"> a partir de las improvisaciones. Así aparecieron fallas que una entrevista no muestra, como colocar mal la placa o el boleto aunque se dijera haber entendido.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Pregunta 11. ¿Qué acción llevó a cabo SERVIparq a partir de esta experiencia?</w:t>
      </w:r>
    </w:p>
    <w:p>
      <w:pPr>
        <w:keepNext w:val="0"/>
      </w:pPr>
      <w:r>
        <w:rPr>
          <w:b w:val="0"/>
          <w:i w:val="0"/>
          <w:sz w:val="22"/>
        </w:rPr>
        <w:t xml:space="preserve">El caso cierra con una junta de directivos y Delegaciones para el </w:t>
      </w:r>
      <w:r>
        <w:rPr>
          <w:b/>
          <w:i w:val="0"/>
          <w:sz w:val="22"/>
        </w:rPr>
        <w:t>plan de acción del año siguiente</w:t>
      </w:r>
      <w:r>
        <w:rPr>
          <w:b w:val="0"/>
          <w:i w:val="0"/>
          <w:sz w:val="22"/>
        </w:rPr>
        <w:t>, sobre estrategias de implementación y monitoreo. Lo razonable es que haya adoptado el rediseño de la interfaz en los equipos, incorporado las pruebas de desempeño como criterio de aceptación de futuros diseños y revisado la estrategia de implementación por colonia. Este documento propone que ese plan sea la hoja de ruta del §5.3.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Pregunta 12. ¿Cómo pueden complementarse o mejorarse las técnicas del caso?</w:t>
      </w:r>
    </w:p>
    <w:p>
      <w:pPr>
        <w:keepNext w:val="0"/>
      </w:pPr>
      <w:r>
        <w:rPr>
          <w:b w:val="0"/>
          <w:i w:val="0"/>
          <w:sz w:val="22"/>
        </w:rPr>
        <w:t xml:space="preserve">Probar </w:t>
      </w:r>
      <w:r>
        <w:rPr>
          <w:b/>
          <w:i w:val="0"/>
          <w:sz w:val="22"/>
        </w:rPr>
        <w:t>en el contexto real</w:t>
      </w:r>
      <w:r>
        <w:rPr>
          <w:b w:val="0"/>
          <w:i w:val="0"/>
          <w:sz w:val="22"/>
        </w:rPr>
        <w:t xml:space="preserve">, con el permiso tramitado desde el inicio; grabar en </w:t>
      </w:r>
      <w:r>
        <w:rPr>
          <w:b/>
          <w:i w:val="0"/>
          <w:sz w:val="22"/>
        </w:rPr>
        <w:t>video</w:t>
      </w:r>
      <w:r>
        <w:rPr>
          <w:b w:val="0"/>
          <w:i w:val="0"/>
          <w:sz w:val="22"/>
        </w:rPr>
        <w:t xml:space="preserve">; subir el número de participantes; sumar </w:t>
      </w:r>
      <w:r>
        <w:rPr>
          <w:b/>
          <w:i w:val="0"/>
          <w:sz w:val="22"/>
        </w:rPr>
        <w:t>evaluación heurística</w:t>
      </w:r>
      <w:r>
        <w:rPr>
          <w:b w:val="0"/>
          <w:i w:val="0"/>
          <w:sz w:val="22"/>
        </w:rPr>
        <w:t xml:space="preserve"> por expertos y </w:t>
      </w:r>
      <w:r>
        <w:rPr>
          <w:b/>
          <w:i w:val="0"/>
          <w:sz w:val="22"/>
        </w:rPr>
        <w:t>analítica de uso</w:t>
      </w:r>
      <w:r>
        <w:rPr>
          <w:b w:val="0"/>
          <w:i w:val="0"/>
          <w:sz w:val="22"/>
        </w:rPr>
        <w:t xml:space="preserve"> (abandonos en cada paso del parquímetro y de la app); hacer </w:t>
      </w:r>
      <w:r>
        <w:rPr>
          <w:b/>
          <w:i w:val="0"/>
          <w:sz w:val="22"/>
        </w:rPr>
        <w:t>pruebas A/B</w:t>
      </w:r>
      <w:r>
        <w:rPr>
          <w:b w:val="0"/>
          <w:i w:val="0"/>
          <w:sz w:val="22"/>
        </w:rPr>
        <w:t xml:space="preserve"> en cuadras distintas; incluir a </w:t>
      </w:r>
      <w:r>
        <w:rPr>
          <w:b/>
          <w:i w:val="0"/>
          <w:sz w:val="22"/>
        </w:rPr>
        <w:t>verificadores, oficiales y vecinos</w:t>
      </w:r>
      <w:r>
        <w:rPr>
          <w:b w:val="0"/>
          <w:i w:val="0"/>
          <w:sz w:val="22"/>
        </w:rPr>
        <w:t xml:space="preserve"> como participantes, no solo conductores; y medir </w:t>
      </w:r>
      <w:r>
        <w:rPr>
          <w:b/>
          <w:i w:val="0"/>
          <w:sz w:val="22"/>
        </w:rPr>
        <w:t>satisfacción</w:t>
      </w:r>
      <w:r>
        <w:rPr>
          <w:b w:val="0"/>
          <w:i w:val="0"/>
          <w:sz w:val="22"/>
        </w:rPr>
        <w:t xml:space="preserve"> con un cuestionario estándar al cierre.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Pregunta 13. ¿En qué otros contextos puede usarse esta metodología?</w:t>
      </w:r>
    </w:p>
    <w:p>
      <w:pPr>
        <w:keepNext w:val="0"/>
      </w:pPr>
      <w:r>
        <w:rPr>
          <w:b w:val="0"/>
          <w:i w:val="0"/>
          <w:sz w:val="22"/>
        </w:rPr>
        <w:t xml:space="preserve">En todo desplegado informativo que alguien debe entender sin ayuda: </w:t>
      </w:r>
      <w:r>
        <w:rPr>
          <w:b/>
          <w:i w:val="0"/>
          <w:sz w:val="22"/>
        </w:rPr>
        <w:t>cajeros automáticos y quioscos de pago</w:t>
      </w:r>
      <w:r>
        <w:rPr>
          <w:b w:val="0"/>
          <w:i w:val="0"/>
          <w:sz w:val="22"/>
        </w:rPr>
        <w:t xml:space="preserve">, máquinas de boletos del transporte (en Guatemala, las recargas de la Tarjeta Ciudadana del Transmetro), </w:t>
      </w:r>
      <w:r>
        <w:rPr>
          <w:b/>
          <w:i w:val="0"/>
          <w:sz w:val="22"/>
        </w:rPr>
        <w:t>formularios de gobierno</w:t>
      </w:r>
      <w:r>
        <w:rPr>
          <w:b w:val="0"/>
          <w:i w:val="0"/>
          <w:sz w:val="22"/>
        </w:rPr>
        <w:t xml:space="preserve"> (SAT, RENAP, licencias), señalización de hospitales y aeropuertos, </w:t>
      </w:r>
      <w:r>
        <w:rPr>
          <w:b/>
          <w:i w:val="0"/>
          <w:sz w:val="22"/>
        </w:rPr>
        <w:t>instructivos de medicamentos</w:t>
      </w:r>
      <w:r>
        <w:rPr>
          <w:b w:val="0"/>
          <w:i w:val="0"/>
          <w:sz w:val="22"/>
        </w:rPr>
        <w:t xml:space="preserve"> (el origen del método de Sless), facturas, contratos y aplicaciones móviles de servicios públicos.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Pregunta 14. ¿Es apropiado rediseñar la información constantemente?</w:t>
      </w:r>
    </w:p>
    <w:p>
      <w:pPr>
        <w:keepNext w:val="0"/>
      </w:pPr>
      <w:r>
        <w:rPr>
          <w:b/>
          <w:i w:val="0"/>
          <w:sz w:val="22"/>
        </w:rPr>
        <w:t>Sí, pero con método, no por moda.</w:t>
      </w:r>
      <w:r>
        <w:rPr>
          <w:b w:val="0"/>
          <w:i w:val="0"/>
          <w:sz w:val="22"/>
        </w:rPr>
        <w:t xml:space="preserve"> Cambian las tarifas, los medios de pago, la tecnología y los usuarios, y la calidad en uso solo vale en su contexto. Se rediseña cuando la medición cae debajo del umbral o cambia el contexto; no cada vez que alguien opina, porque cambiar sin necesidad obliga a la gente a reaprender. Por eso la arquitectura deja la tarifa y los textos como </w:t>
      </w:r>
      <w:r>
        <w:rPr>
          <w:b/>
          <w:i w:val="0"/>
          <w:sz w:val="22"/>
        </w:rPr>
        <w:t>configuración</w:t>
      </w:r>
      <w:r>
        <w:rPr>
          <w:b w:val="0"/>
          <w:i w:val="0"/>
          <w:sz w:val="22"/>
        </w:rPr>
        <w:t xml:space="preserve"> (EAC-08) y mide el desempeño en producción (CU-18): el rediseño se vuelve un ciclo con evidencia.</w:t>
      </w:r>
    </w:p>
    <w:p>
      <w:pPr>
        <w:sectPr>
          <w:footerReference w:type="default" r:id="rId24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1"/>
        <w:pBdr>
          <w:bottom w:val="single" w:sz="6" w:space="4" w:color="9AA0A6"/>
        </w:pBdr>
      </w:pPr>
      <w:r>
        <w:rPr>
          <w:color w:val="000000"/>
        </w:rPr>
      </w:r>
      <w:r>
        <w:rPr>
          <w:b/>
          <w:i w:val="0"/>
          <w:color w:val="000000"/>
        </w:rPr>
        <w:t>7. Parte desarrollada: prototipo del parquímetro con pago por placa</w:t>
      </w:r>
    </w:p>
    <w:p>
      <w:pPr>
        <w:keepNext w:val="0"/>
      </w:pPr>
      <w:r>
        <w:rPr>
          <w:b w:val="0"/>
          <w:i w:val="0"/>
          <w:sz w:val="22"/>
        </w:rPr>
        <w:t xml:space="preserve">La consigna permite desarrollar una parte del sistema siguiendo la arquitectura elegida. Se desarrolló el </w:t>
      </w:r>
      <w:r>
        <w:rPr>
          <w:b/>
          <w:i w:val="0"/>
          <w:sz w:val="22"/>
        </w:rPr>
        <w:t>cliente del parquímetro</w:t>
      </w:r>
      <w:r>
        <w:rPr>
          <w:b w:val="0"/>
          <w:i w:val="0"/>
          <w:sz w:val="22"/>
        </w:rPr>
        <w:t xml:space="preserve"> del CDU-02 (CU-04 con CU-05 y la extensión CU-06), que es donde se juegan EAC-01 y EAC-02. Es una página web que corre en cualquier navegador: 08-Tareas/prototipo-parquimetros/index.html.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35040" cy="22375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ipo-cuatro-pantalla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237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8. Las cuatro pantallas del prototipo: placa, tiempo, pago y comprobante.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  <w:tblW w:type="dxa" w:w="13536"/>
      </w:tblPr>
      <w:tblGrid>
        <w:gridCol w:w="7445"/>
        <w:gridCol w:w="6091"/>
      </w:tblGrid>
      <w:tr>
        <w:trPr>
          <w:tblHeader w:val="true"/>
        </w:trPr>
        <w:tc>
          <w:tcPr>
            <w:tcW w:type="dxa" w:w="744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Qué implementa</w:t>
            </w:r>
          </w:p>
        </w:tc>
        <w:tc>
          <w:tcPr>
            <w:tcW w:type="dxa" w:w="609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Decisión que materializa</w:t>
            </w:r>
          </w:p>
        </w:tc>
      </w:tr>
      <w:tr>
        <w:trPr>
          <w:cantSplit/>
        </w:trPr>
        <w:tc>
          <w:tcPr>
            <w:tcW w:type="dxa" w:w="744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Tres pasos lineales con barra de progreso y la tarifa fija arriba</w:t>
            </w:r>
          </w:p>
        </w:tc>
        <w:tc>
          <w:tcPr>
            <w:tcW w:type="dxa" w:w="609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Arquitectura de la información (§5.4): organización por momento de uso</w:t>
            </w:r>
          </w:p>
        </w:tc>
      </w:tr>
      <w:tr>
        <w:trPr>
          <w:cantSplit/>
        </w:trPr>
        <w:tc>
          <w:tcPr>
            <w:tcW w:type="dxa" w:w="744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El pago se liga a la placa y el comprobante dice que no hace falta boleto</w:t>
            </w:r>
          </w:p>
        </w:tc>
        <w:tc>
          <w:tcPr>
            <w:tcW w:type="dxa" w:w="609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Decisión 1 de la arquitectura (§5.1)</w:t>
            </w:r>
          </w:p>
        </w:tc>
      </w:tr>
      <w:tr>
        <w:trPr>
          <w:cantSplit/>
        </w:trPr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Tarifario del Acuerdo COM-40-2022: Q3 por 30 min la primera hora, Q3.50 desde la segunda y Q4 desde la cuarta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CU-05 · traslado a Guatemala (§2.2)</w:t>
            </w:r>
          </w:p>
        </w:tc>
      </w:tr>
      <w:tr>
        <w:trPr>
          <w:cantSplit/>
        </w:trPr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Monedas, tarjeta y QR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CU-06 · P-03</w:t>
            </w:r>
          </w:p>
        </w:tc>
      </w:tr>
      <w:tr>
        <w:trPr>
          <w:cantSplit/>
        </w:trPr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Aviso de que es el único cobro y botón «Reportar cobro informal»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CU-12 · EAC-11 · §5.5</w:t>
            </w:r>
          </w:p>
        </w:tc>
      </w:tr>
      <w:tr>
        <w:trPr>
          <w:cantSplit/>
        </w:trPr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Folio, número del parquímetro y línea de reclamos en el comprobante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CU-11 · P-04</w:t>
            </w:r>
          </w:p>
        </w:tc>
      </w:tr>
      <w:tr>
        <w:trPr>
          <w:cantSplit/>
        </w:trPr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Modo de prueba de desempeño:</w:t>
            </w:r>
            <w:r>
              <w:rPr>
                <w:b w:val="0"/>
                <w:i w:val="0"/>
                <w:sz w:val="18"/>
              </w:rPr>
              <w:t xml:space="preserve"> cronometra cada intento, marca lograda o fallida, calcula la eficacia contra el 72 % y exporta CSV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EAC-01 · §5.2: el prototipo trae su propia herramienta de medición</w:t>
            </w:r>
          </w:p>
        </w:tc>
      </w:tr>
    </w:tbl>
    <w:p>
      <w:pPr>
        <w:spacing w:after="40"/>
      </w:pPr>
    </w:p>
    <w:p>
      <w:pPr>
        <w:sectPr>
          <w:footerReference w:type="default" r:id="rId25"/>
          <w:pgSz w:w="15840" w:h="12240" w:orient="landscape"/>
          <w:pgMar w:top="1008" w:right="1152" w:bottom="1008" w:left="1152" w:header="720" w:footer="720" w:gutter="0"/>
          <w:cols w:space="720"/>
          <w:docGrid w:linePitch="360"/>
        </w:sectPr>
      </w:pPr>
    </w:p>
    <w:p>
      <w:pPr>
        <w:pStyle w:val="Heading1"/>
        <w:pBdr>
          <w:bottom w:val="single" w:sz="6" w:space="4" w:color="9AA0A6"/>
        </w:pBdr>
      </w:pPr>
      <w:r>
        <w:rPr>
          <w:color w:val="000000"/>
        </w:rPr>
      </w:r>
      <w:r>
        <w:rPr>
          <w:b/>
          <w:i w:val="0"/>
          <w:color w:val="000000"/>
        </w:rPr>
        <w:t>8. Conclusiones y recomendaciones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8.1 Conclusiones</w:t>
      </w:r>
    </w:p>
    <w:p>
      <w:pPr>
        <w:pStyle w:val="ListBullet"/>
        <w:spacing w:after="40"/>
      </w:pPr>
      <w:r>
        <w:rPr>
          <w:b/>
          <w:i w:val="0"/>
          <w:sz w:val="21"/>
        </w:rPr>
        <w:t>La pantalla era la mitad del problema.</w:t>
      </w:r>
      <w:r>
        <w:rPr>
          <w:b w:val="0"/>
          <w:i w:val="0"/>
          <w:sz w:val="21"/>
        </w:rPr>
        <w:t xml:space="preserve"> El método de Smartmedia resolvió bien la información del parquímetro, pero los problemas de consulta vecinal, cobro informal y desconfianza son de gobierno y de arquitectura del sistema.</w:t>
      </w:r>
    </w:p>
    <w:p>
      <w:pPr>
        <w:pStyle w:val="ListBullet"/>
        <w:spacing w:after="40"/>
      </w:pPr>
      <w:r>
        <w:rPr>
          <w:b/>
          <w:i w:val="0"/>
          <w:sz w:val="21"/>
        </w:rPr>
        <w:t>Lo que faltaba ya estaba en el equipo.</w:t>
      </w:r>
      <w:r>
        <w:rPr>
          <w:b w:val="0"/>
          <w:i w:val="0"/>
          <w:sz w:val="21"/>
        </w:rPr>
        <w:t xml:space="preserve"> El parquímetro comprado podía cobrar con tarjeta y avisar vandalismo; habilitarlo, y ligar el pago a la placa, cubre la falta de personal sin contratar a nadie.</w:t>
      </w:r>
    </w:p>
    <w:p>
      <w:pPr>
        <w:pStyle w:val="ListBullet"/>
        <w:spacing w:after="40"/>
      </w:pPr>
      <w:r>
        <w:rPr>
          <w:b/>
          <w:i w:val="0"/>
          <w:sz w:val="21"/>
        </w:rPr>
        <w:t>Un servicio por proceso</w:t>
      </w:r>
      <w:r>
        <w:rPr>
          <w:b w:val="0"/>
          <w:i w:val="0"/>
          <w:sz w:val="21"/>
        </w:rPr>
        <w:t xml:space="preserve"> deja que cada Delegación adopte el sistema a su ritmo y que la tarifa cambie sin tocar código.</w:t>
      </w:r>
    </w:p>
    <w:p>
      <w:pPr>
        <w:pStyle w:val="ListBullet"/>
        <w:spacing w:after="40"/>
      </w:pPr>
      <w:r>
        <w:rPr>
          <w:b/>
          <w:i w:val="0"/>
          <w:sz w:val="21"/>
        </w:rPr>
        <w:t>El 72 % es un buen punto de partida</w:t>
      </w:r>
      <w:r>
        <w:rPr>
          <w:b w:val="0"/>
          <w:i w:val="0"/>
          <w:sz w:val="21"/>
        </w:rPr>
        <w:t>, pero vale más un umbral por tarea, según lo que cuesta fallar.</w:t>
      </w:r>
    </w:p>
    <w:p>
      <w:pPr>
        <w:pStyle w:val="ListBullet"/>
        <w:spacing w:after="40"/>
      </w:pPr>
      <w:r>
        <w:rPr>
          <w:b/>
          <w:i w:val="0"/>
          <w:sz w:val="21"/>
        </w:rPr>
        <w:t>El cobro informal se combate ganándole</w:t>
      </w:r>
      <w:r>
        <w:rPr>
          <w:b w:val="0"/>
          <w:i w:val="0"/>
          <w:sz w:val="21"/>
        </w:rPr>
        <w:t>: con información visible, reportes sin riesgo para el conductor y un acuerdo previo con la comunidad, como mostró Antigua Guatemala.</w:t>
      </w:r>
    </w:p>
    <w:p>
      <w:pPr>
        <w:pStyle w:val="ListBullet"/>
        <w:spacing w:after="40"/>
      </w:pPr>
      <w:r>
        <w:rPr>
          <w:b/>
          <w:i w:val="0"/>
          <w:sz w:val="21"/>
        </w:rPr>
        <w:t>Lo que se cobra se publica.</w:t>
      </w:r>
      <w:r>
        <w:rPr>
          <w:b w:val="0"/>
          <w:i w:val="0"/>
          <w:sz w:val="21"/>
        </w:rPr>
        <w:t xml:space="preserve"> Sin transparencia sobre el 70/30, cualquier mejora técnica se percibe como otro cobro.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8.2 Recomendaciones</w:t>
      </w:r>
    </w:p>
    <w:p>
      <w:pPr>
        <w:pStyle w:val="ListBullet"/>
        <w:spacing w:after="40"/>
      </w:pPr>
      <w:r>
        <w:rPr>
          <w:b w:val="0"/>
          <w:i w:val="0"/>
          <w:sz w:val="21"/>
        </w:rPr>
        <w:t xml:space="preserve">Empezar por </w:t>
      </w:r>
      <w:r>
        <w:rPr>
          <w:b/>
          <w:i w:val="0"/>
          <w:sz w:val="21"/>
        </w:rPr>
        <w:t>una colonia piloto</w:t>
      </w:r>
      <w:r>
        <w:rPr>
          <w:b w:val="0"/>
          <w:i w:val="0"/>
          <w:sz w:val="21"/>
        </w:rPr>
        <w:t xml:space="preserve"> con su comité vecinal y medir los once escenarios de calidad antes de crecer.</w:t>
      </w:r>
    </w:p>
    <w:p>
      <w:pPr>
        <w:pStyle w:val="ListBullet"/>
        <w:spacing w:after="40"/>
      </w:pPr>
      <w:r>
        <w:rPr>
          <w:b w:val="0"/>
          <w:i w:val="0"/>
          <w:sz w:val="21"/>
        </w:rPr>
        <w:t xml:space="preserve">Tramitar desde el inicio el </w:t>
      </w:r>
      <w:r>
        <w:rPr>
          <w:b/>
          <w:i w:val="0"/>
          <w:sz w:val="21"/>
        </w:rPr>
        <w:t>permiso para probar en la calle</w:t>
      </w:r>
      <w:r>
        <w:rPr>
          <w:b w:val="0"/>
          <w:i w:val="0"/>
          <w:sz w:val="21"/>
        </w:rPr>
        <w:t xml:space="preserve"> y la </w:t>
      </w:r>
      <w:r>
        <w:rPr>
          <w:b/>
          <w:i w:val="0"/>
          <w:sz w:val="21"/>
        </w:rPr>
        <w:t>base legal de la base de datos de placas</w:t>
      </w:r>
      <w:r>
        <w:rPr>
          <w:b w:val="0"/>
          <w:i w:val="0"/>
          <w:sz w:val="21"/>
        </w:rPr>
        <w:t>.</w:t>
      </w:r>
    </w:p>
    <w:p>
      <w:pPr>
        <w:pStyle w:val="ListBullet"/>
        <w:spacing w:after="40"/>
      </w:pPr>
      <w:r>
        <w:rPr>
          <w:b w:val="0"/>
          <w:i w:val="0"/>
          <w:sz w:val="21"/>
        </w:rPr>
        <w:t xml:space="preserve">Hacer de la </w:t>
      </w:r>
      <w:r>
        <w:rPr>
          <w:b/>
          <w:i w:val="0"/>
          <w:sz w:val="21"/>
        </w:rPr>
        <w:t>prueba de desempeño</w:t>
      </w:r>
      <w:r>
        <w:rPr>
          <w:b w:val="0"/>
          <w:i w:val="0"/>
          <w:sz w:val="21"/>
        </w:rPr>
        <w:t xml:space="preserve"> el criterio de aceptación de cada pantalla nueva, con al menos 12 personas.</w:t>
      </w:r>
    </w:p>
    <w:p>
      <w:pPr>
        <w:pStyle w:val="ListBullet"/>
        <w:spacing w:after="40"/>
      </w:pPr>
      <w:r>
        <w:rPr>
          <w:b w:val="0"/>
          <w:i w:val="0"/>
          <w:sz w:val="21"/>
        </w:rPr>
        <w:t xml:space="preserve">Dejar los </w:t>
      </w:r>
      <w:r>
        <w:rPr>
          <w:b/>
          <w:i w:val="0"/>
          <w:sz w:val="21"/>
        </w:rPr>
        <w:t>sensores y la tarifa por demanda</w:t>
      </w:r>
      <w:r>
        <w:rPr>
          <w:b w:val="0"/>
          <w:i w:val="0"/>
          <w:sz w:val="21"/>
        </w:rPr>
        <w:t xml:space="preserve"> para cuando haya datos de ocupación que justifiquen la inversión.</w:t>
      </w:r>
    </w:p>
    <w:p>
      <w:pPr>
        <w:pStyle w:val="ListBullet"/>
        <w:spacing w:after="40"/>
      </w:pPr>
      <w:r>
        <w:rPr>
          <w:b w:val="0"/>
          <w:i w:val="0"/>
          <w:sz w:val="21"/>
        </w:rPr>
        <w:t xml:space="preserve">Para Guatemala: coordinar con la Policía Municipal de Tránsito y la Procuraduría de los Derechos Humanos el protocolo para los cuidacarros </w:t>
      </w:r>
      <w:r>
        <w:rPr>
          <w:b/>
          <w:i w:val="0"/>
          <w:sz w:val="21"/>
        </w:rPr>
        <w:t>antes</w:t>
      </w:r>
      <w:r>
        <w:rPr>
          <w:b w:val="0"/>
          <w:i w:val="0"/>
          <w:sz w:val="21"/>
        </w:rPr>
        <w:t xml:space="preserve"> de instalar.</w:t>
      </w:r>
    </w:p>
    <w:p>
      <w:pPr>
        <w:pStyle w:val="Heading1"/>
        <w:pBdr>
          <w:bottom w:val="single" w:sz="6" w:space="4" w:color="9AA0A6"/>
        </w:pBdr>
      </w:pPr>
      <w:r>
        <w:rPr>
          <w:color w:val="000000"/>
        </w:rPr>
      </w:r>
      <w:r>
        <w:rPr>
          <w:b/>
          <w:i w:val="0"/>
          <w:color w:val="000000"/>
        </w:rPr>
        <w:t>9. Supuestos y límites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Las medidas de calidad, salvo el 72 % del caso, y el dimensionamiento del despliegue son </w:t>
      </w:r>
      <w:r>
        <w:rPr>
          <w:b/>
          <w:i w:val="0"/>
          <w:sz w:val="19"/>
        </w:rPr>
        <w:t>supuestos de diseño</w:t>
      </w:r>
      <w:r>
        <w:rPr>
          <w:b w:val="0"/>
          <w:i w:val="0"/>
          <w:sz w:val="19"/>
        </w:rPr>
        <w:t>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>La solución se diseña para SERVIparq (Ciudad de México, 2012); el traslado a Guatemala usa hechos públicos de 2023 a 2026 citados en el §2.2. El estado legal de MarbEx en Antigua puede haber cambiado después de julio de 2026.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>La opción de formalizar a los cuidadores es una propuesta para que la decida cada Delegación; requiere base legal.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>El prototipo es de interfaz: simula el cobro y no se conecta a un banco ni a una base de datos.</w:t>
      </w:r>
    </w:p>
    <w:p>
      <w:pPr>
        <w:pStyle w:val="Heading1"/>
        <w:pBdr>
          <w:bottom w:val="single" w:sz="6" w:space="4" w:color="9AA0A6"/>
        </w:pBdr>
      </w:pPr>
      <w:r>
        <w:rPr>
          <w:color w:val="000000"/>
        </w:rPr>
      </w:r>
      <w:r>
        <w:rPr>
          <w:b/>
          <w:i w:val="0"/>
          <w:color w:val="000000"/>
        </w:rPr>
        <w:t>10. Referencias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Morales Zaragoza, N. (2015). </w:t>
      </w:r>
      <w:r>
        <w:rPr>
          <w:b w:val="0"/>
          <w:i/>
          <w:sz w:val="19"/>
        </w:rPr>
        <w:t>Repensando los parquímetros, un acercamiento al diseño de interfaces desde la perspectiva del usuario</w:t>
      </w:r>
      <w:r>
        <w:rPr>
          <w:b w:val="0"/>
          <w:i w:val="0"/>
          <w:sz w:val="19"/>
        </w:rPr>
        <w:t xml:space="preserve"> (Caso 4). Universidad Autónoma Metropolitana, Unidad Cuajimalpa.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Bass, L., Clements, P. y Kazman, R. (2021). </w:t>
      </w:r>
      <w:r>
        <w:rPr>
          <w:b w:val="0"/>
          <w:i/>
          <w:sz w:val="19"/>
        </w:rPr>
        <w:t>Software Architecture in Practice</w:t>
      </w:r>
      <w:r>
        <w:rPr>
          <w:b w:val="0"/>
          <w:i w:val="0"/>
          <w:sz w:val="19"/>
        </w:rPr>
        <w:t xml:space="preserve"> (4.ª ed.). Addison-Wesley.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Covella, G. y Olsina, L. </w:t>
      </w:r>
      <w:r>
        <w:rPr>
          <w:b w:val="0"/>
          <w:i/>
          <w:sz w:val="19"/>
        </w:rPr>
        <w:t>Calidad en uso: especificación y evaluación</w:t>
      </w:r>
      <w:r>
        <w:rPr>
          <w:b w:val="0"/>
          <w:i w:val="0"/>
          <w:sz w:val="19"/>
        </w:rPr>
        <w:t>. Lectura del curso.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ISO/IEC 9126-1:2001. </w:t>
      </w:r>
      <w:r>
        <w:rPr>
          <w:b w:val="0"/>
          <w:i/>
          <w:sz w:val="19"/>
        </w:rPr>
        <w:t>Software engineering. Product quality. Part 1: Quality model</w:t>
      </w:r>
      <w:r>
        <w:rPr>
          <w:b w:val="0"/>
          <w:i w:val="0"/>
          <w:sz w:val="19"/>
        </w:rPr>
        <w:t>. ISO.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ISO/IEC 25010:2011. </w:t>
      </w:r>
      <w:r>
        <w:rPr>
          <w:b w:val="0"/>
          <w:i/>
          <w:sz w:val="19"/>
        </w:rPr>
        <w:t>Systems and software Quality Requirements and Evaluation (SQuaRE). System and software quality models</w:t>
      </w:r>
      <w:r>
        <w:rPr>
          <w:b w:val="0"/>
          <w:i w:val="0"/>
          <w:sz w:val="19"/>
        </w:rPr>
        <w:t>. ISO.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Meaurio, V. y Schmieder, E. </w:t>
      </w:r>
      <w:r>
        <w:rPr>
          <w:b w:val="0"/>
          <w:i/>
          <w:sz w:val="19"/>
        </w:rPr>
        <w:t>Arquitectura del software y el ciclo de vida</w:t>
      </w:r>
      <w:r>
        <w:rPr>
          <w:b w:val="0"/>
          <w:i w:val="0"/>
          <w:sz w:val="19"/>
        </w:rPr>
        <w:t>. Nota técnica 1 de la unidad 3 del curso.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Moyares, Y. y Bretones, A. (2010). </w:t>
      </w:r>
      <w:r>
        <w:rPr>
          <w:b w:val="0"/>
          <w:i/>
          <w:sz w:val="19"/>
        </w:rPr>
        <w:t>La arquitectura de la información en el ciclo de vida del software</w:t>
      </w:r>
      <w:r>
        <w:rPr>
          <w:b w:val="0"/>
          <w:i w:val="0"/>
          <w:sz w:val="19"/>
        </w:rPr>
        <w:t>. Nota técnica 2 de la unidad 3 del curso.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Navarro, M. y otros. </w:t>
      </w:r>
      <w:r>
        <w:rPr>
          <w:b w:val="0"/>
          <w:i/>
          <w:sz w:val="19"/>
        </w:rPr>
        <w:t>Arquitectura del software y metodologías ágiles</w:t>
      </w:r>
      <w:r>
        <w:rPr>
          <w:b w:val="0"/>
          <w:i w:val="0"/>
          <w:sz w:val="19"/>
        </w:rPr>
        <w:t>. Nota técnica 3 de la unidad 3 del curso.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Rojas de Morán, C. (2026). Presentaciones del curso Análisis y Diseño de Sistemas II: </w:t>
      </w:r>
      <w:r>
        <w:rPr>
          <w:b w:val="0"/>
          <w:i/>
          <w:sz w:val="19"/>
        </w:rPr>
        <w:t>Arquitectura de Software</w:t>
      </w:r>
      <w:r>
        <w:rPr>
          <w:b w:val="0"/>
          <w:i w:val="0"/>
          <w:sz w:val="19"/>
        </w:rPr>
        <w:t xml:space="preserve">, </w:t>
      </w:r>
      <w:r>
        <w:rPr>
          <w:b w:val="0"/>
          <w:i/>
          <w:sz w:val="19"/>
        </w:rPr>
        <w:t>Calidad del Software</w:t>
      </w:r>
      <w:r>
        <w:rPr>
          <w:b w:val="0"/>
          <w:i w:val="0"/>
          <w:sz w:val="19"/>
        </w:rPr>
        <w:t xml:space="preserve">, </w:t>
      </w:r>
      <w:r>
        <w:rPr>
          <w:b w:val="0"/>
          <w:i/>
          <w:sz w:val="19"/>
        </w:rPr>
        <w:t>Metodologías</w:t>
      </w:r>
      <w:r>
        <w:rPr>
          <w:b w:val="0"/>
          <w:i w:val="0"/>
          <w:sz w:val="19"/>
        </w:rPr>
        <w:t xml:space="preserve"> y </w:t>
      </w:r>
      <w:r>
        <w:rPr>
          <w:b w:val="0"/>
          <w:i/>
          <w:sz w:val="19"/>
        </w:rPr>
        <w:t>Proceso Scrum en la arquitectura de software</w:t>
      </w:r>
      <w:r>
        <w:rPr>
          <w:b w:val="0"/>
          <w:i w:val="0"/>
          <w:sz w:val="19"/>
        </w:rPr>
        <w:t>. ECYS, USAC.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Sless, D. y Wiseman, R. (1998). </w:t>
      </w:r>
      <w:r>
        <w:rPr>
          <w:b w:val="0"/>
          <w:i/>
          <w:sz w:val="19"/>
        </w:rPr>
        <w:t>Writing about medicines for people: usability guidelines for consumer medicine information</w:t>
      </w:r>
      <w:r>
        <w:rPr>
          <w:b w:val="0"/>
          <w:i w:val="0"/>
          <w:sz w:val="19"/>
        </w:rPr>
        <w:t xml:space="preserve"> (2.ª ed.). Communication Research Institute.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>Emisoras Unidas (27 de febrero de 2023). Retiran objetos que obstaculizan espacios públicos para estacionar.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>Emisoras Unidas (27 de abril de 2026). Investigación sobre «aparta parqueos» y cobros irregulares.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>La Hora (20 de febrero de 2024). Las tarifas por estacionarse en la vía pública.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>La Hora (20 y 21 de mayo de 2026). La CC frena el cobro por estacionarse en la vía pública en Antigua Guatemala · Los millones que dejará de recibir la Muni de Antigua por el cobro del MarbEx tras el fallo de la CC.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>La Hora (23 de julio de 2026). CC suspende infracciones establecidas por la Muni de Antigua en el reglamento de parqueo municipal.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>Soy502 (7 de marzo de 2024). ¿Parquímetros inteligentes? La PMT explica cómo funcionarán.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>Prensa Libre (12 de octubre de 2017). Cuidadores de carros serán retirados de calles de Antigua Guatemala.</w:t>
      </w:r>
    </w:p>
    <w:sectPr w:rsidR="00FC693F" w:rsidRPr="0006063C" w:rsidSect="00034616">
      <w:footerReference w:type="default" r:id="rId2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6"/>
      </w:rPr>
      <w:t xml:space="preserve">Caso 4: Repensando los parquímetros · Grupo 2   ·   </w:t>
    </w:r>
    <w:fldSimple w:instr="PAGE">
      <w: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6"/>
      </w:rPr>
      <w:t xml:space="preserve">Caso 4: Repensando los parquímetros · Grupo 2   ·   </w:t>
    </w:r>
    <w:fldSimple w:instr="PAGE">
      <w:r>
        <w:t>1</w:t>
      </w:r>
    </w:fldSimple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6"/>
      </w:rPr>
      <w:t xml:space="preserve">Caso 4: Repensando los parquímetros · Grupo 2   ·   </w:t>
    </w:r>
    <w:fldSimple w:instr="PAGE">
      <w:r>
        <w:t>1</w:t>
      </w:r>
    </w:fldSimple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6"/>
      </w:rPr>
      <w:t xml:space="preserve">Caso 4: Repensando los parquímetros · Grupo 2   ·   </w:t>
    </w:r>
    <w:fldSimple w:instr="PAGE">
      <w:r>
        <w:t>1</w:t>
      </w:r>
    </w:fldSimple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6"/>
      </w:rPr>
      <w:t xml:space="preserve">Caso 4: Repensando los parquímetros · Grupo 2   ·   </w:t>
    </w:r>
    <w:fldSimple w:instr="PAGE">
      <w:r>
        <w:t>1</w:t>
      </w:r>
    </w:fldSimple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6"/>
      </w:rPr>
      <w:t xml:space="preserve">Caso 4: Repensando los parquímetros · Grupo 2   ·   </w:t>
    </w:r>
    <w:fldSimple w:instr="PAGE">
      <w:r>
        <w:t>1</w:t>
      </w:r>
    </w:fldSimple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6"/>
      </w:rPr>
      <w:t xml:space="preserve">Caso 4: Repensando los parquímetros · Grupo 2   ·  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8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2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2.png"/><Relationship Id="rId13" Type="http://schemas.openxmlformats.org/officeDocument/2006/relationships/footer" Target="footer3.xml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footer" Target="footer4.xml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footer" Target="footer5.xml"/><Relationship Id="rId25" Type="http://schemas.openxmlformats.org/officeDocument/2006/relationships/footer" Target="footer6.xml"/><Relationship Id="rId26" Type="http://schemas.openxmlformats.org/officeDocument/2006/relationships/image" Target="media/image12.png"/><Relationship Id="rId27" Type="http://schemas.openxmlformats.org/officeDocument/2006/relationships/footer" Target="footer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Repensando los parquímetros: una solución desde la arquitectura del software</dc:title>
  <dc:subject>Análisis y Diseño de Sistemas II</dc:subject>
  <dc:creator>Santiago Barrera</dc:creator>
  <cp:keywords/>
  <dc:description/>
  <cp:lastModifiedBy>Santiago Barrera</cp:lastModifiedBy>
  <cp:revision>1</cp:revision>
  <dcterms:created xsi:type="dcterms:W3CDTF">2013-12-23T23:15:00Z</dcterms:created>
  <dcterms:modified xsi:type="dcterms:W3CDTF">2013-12-23T23:15:00Z</dcterms:modified>
  <cp:category/>
</cp:coreProperties>
</file>