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SmartPress — Drivers y matrices de trazabilidad</w:t>
      </w:r>
    </w:p>
    <w:p>
      <w:r>
        <w:rPr>
          <w:color w:val="555555"/>
          <w:sz w:val="17"/>
        </w:rPr>
        <w:t>Primer Parcial, Análisis y Diseño de Sistemas II. Todas las tablas son tablas de Word: se copian y se pegan directo. Convención de identificadores: NT1 (RFG-0nn, CUN-0n, CU-0nn, AC-0n, RES-x0n). Taxonomía de calidad: las siete de clase.</w:t>
      </w:r>
    </w:p>
    <w:p>
      <w:r>
        <w:rPr>
          <w:b/>
          <w:sz w:val="24"/>
        </w:rPr>
        <w:t>1. Drivers de Requisitos Funcionales</w:t>
      </w:r>
    </w:p>
    <w:p>
      <w:r>
        <w:rPr>
          <w:color w:val="555555"/>
          <w:sz w:val="17"/>
        </w:rPr>
        <w:t>«Funcionalidades específicas que MOLDEAN la estructura». Se entregan como CDU expandidos.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964"/>
            <w:shd w:val="clear" w:color="auto" w:fill="EFEFE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6236"/>
            <w:shd w:val="clear" w:color="auto" w:fill="EFEFEF"/>
          </w:tcPr>
          <w:p>
            <w:r/>
            <w:r>
              <w:rPr>
                <w:b/>
                <w:sz w:val="18"/>
              </w:rPr>
              <w:t>Driver RF</w:t>
            </w:r>
          </w:p>
        </w:tc>
        <w:tc>
          <w:tcPr>
            <w:tcW w:type="dxa" w:w="1701"/>
            <w:shd w:val="clear" w:color="auto" w:fill="EFEFEF"/>
          </w:tcPr>
          <w:p>
            <w:r/>
            <w:r>
              <w:rPr>
                <w:b/>
                <w:sz w:val="18"/>
              </w:rPr>
              <w:t>CUN de origen</w:t>
            </w:r>
          </w:p>
        </w:tc>
        <w:tc>
          <w:tcPr>
            <w:tcW w:type="dxa" w:w="5216"/>
            <w:shd w:val="clear" w:color="auto" w:fill="EFEFEF"/>
          </w:tcPr>
          <w:p>
            <w:r/>
            <w:r>
              <w:rPr>
                <w:b/>
                <w:sz w:val="18"/>
              </w:rPr>
              <w:t>CU del sistema que lo realiza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Capturar 500 mediciones/s por máquina en 25 máquinas, en tiempo real, vía OPC-UA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CU-002 (principal), CU-001, CU-006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Ejecutar inferencia ML sobre las 500 mediciones y predecir la calidad antes de que termine el ciclo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CU-003 (principal), CU-001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Enviar orden de ajuste o de paro al PLC cuando la predicción es «defectuosa»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CU-005 (principal), CU-001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RFG-004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Registrar trazabilidad completa por pieza: máquina, turno, operario, lote, parámetros e inspección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CUN-03, CUN-05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CU-004 (principal), CU-010, CU-012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RFG-005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Etiquetar cada pieza con un código QR único que porte su expediente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CU-011 (principal), CU-010, CU-016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RFG-006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Sellar los registros de producción de forma inmutable y verificable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CU-012 (principal), CU-015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RFG-007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Correlacionar la inspección CMM (15 dimensiones, 5% de piezas) con los datos de producción y reentrenar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CUN-04, CUN-05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CU-013 (principal), CU-003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RFG-008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Consultar trazabilidad forense de un lote sobre el histórico de 7 años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CU-014 (principal), CU-015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RFG-009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Detectar deriva de sensores y notificar a Mantenimiento antes de que cause defectos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CU-007 (principal), CU-002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RFG-010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Presentar tablero de estado y desempeño de turno en tiempo real, con acción correctiva sugerida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CU-008 (principal), CU-009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RFG-011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Bufferizar localmente y reconciliar al reconectar, sin pérdida de mediciones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CU-006 (principal), CU-002, CU-004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RFG-012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Integrarse con ERP y sistema de mantenimiento legacy (REST, 1-2 s) para órdenes y programación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CUN-02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— (no expandido)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RFG-013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Registrar el lote de materia prima, sus propiedades y el certificado del proveedor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CUN-01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— (no expandido)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8"/>
              </w:rPr>
              <w:t>RFG-014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Actualizar el modelo predictivo (shadow, A/B, canary) sin detener la producción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CUN-04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— (no expandido)</w:t>
            </w:r>
          </w:p>
        </w:tc>
      </w:tr>
    </w:tbl>
    <w:p/>
    <w:p>
      <w:r>
        <w:rPr>
          <w:b/>
          <w:sz w:val="24"/>
        </w:rPr>
        <w:t>2. Drivers de atributos de calidad — resumen</w:t>
      </w:r>
    </w:p>
    <w:p>
      <w:r>
        <w:rPr>
          <w:color w:val="555555"/>
          <w:sz w:val="17"/>
        </w:rPr>
        <w:t>Todos llevan medida numérica: un driver de calidad sin número no es un driver, es un deseo.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rPr>
          <w:tblHeader w:val="true"/>
        </w:trPr>
        <w:tc>
          <w:tcPr>
            <w:tcW w:type="dxa" w:w="737"/>
            <w:shd w:val="clear" w:color="auto" w:fill="EFEFE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b/>
                <w:sz w:val="18"/>
              </w:rPr>
              <w:t>Escenario (resumen)</w:t>
            </w:r>
          </w:p>
        </w:tc>
        <w:tc>
          <w:tcPr>
            <w:tcW w:type="dxa" w:w="3402"/>
            <w:shd w:val="clear" w:color="auto" w:fill="EFEFEF"/>
          </w:tcPr>
          <w:p>
            <w:r/>
            <w:r>
              <w:rPr>
                <w:b/>
                <w:sz w:val="18"/>
              </w:rPr>
              <w:t>MEDIDA</w:t>
            </w:r>
          </w:p>
        </w:tc>
        <w:tc>
          <w:tcPr>
            <w:tcW w:type="dxa" w:w="5102"/>
            <w:shd w:val="clear" w:color="auto" w:fill="EFEFEF"/>
          </w:tcPr>
          <w:p>
            <w:r/>
            <w:r>
              <w:rPr>
                <w:b/>
                <w:sz w:val="18"/>
              </w:rPr>
              <w:t>Foco arquitectónico: qué decisión fuerza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Rendimiento (latencia)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Inferencia ML dentro del ciclo de producción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&lt; 1 s (ciclo 45 s) y &lt; 5 s (ciclo 120 s)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Procesamiento en el BORDE: la latencia a internet es impredecible y no cabe en la ventana del ciclo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Rendimiento (respuesta de control)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 PLC pide una orden de ajuste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&lt; 200 ms extremo a extremo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Separar el canal de control del canal de analítica: el lazo duro no comparte cola ni recursos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Disponibilidad / fiabilidad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Caída de red de 30 s durante la producción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0 mediciones pérdidas, 100% de trazabilidad reconstruida, 0 cortes visibles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Store-and-forward con buffer local en el borde y reconciliación idempotente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Escalabilidad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Pico de volumen 10x en el turno de la noche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Se mantiene AC-01 (p95) con 10x el caudal, sin pérdida de mensajes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Ingesta desacoplada por cola y particionamiento por máquina y por tiempo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Seguridad (integridad y autenticación)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 emite una orden de ajuste al PLC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100% de órdenes firmadas, 0 aceptadas sin firma válida, 0 bytes en texto plano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Broker de comandos con firma digital y autenticación mutua sobre OPC-UA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Seguridad (no repudio) / consulta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Consulta forense de un lote de hace 7 años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&lt; 10 min de respuesta, 7 años de retención, 100% verificable por hash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Almacenamiento por niveles (caliente/tibio/frío) + registro WORM con hash encadenado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Mantenibilidad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 científico de datos consultor se retira a los 6 meses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Traspaso &lt;= 6 meses con US$ 20,000; despliegue de modelo con 0 s de paro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LIMITA el número de componentes y de tecnologías: solo lo que 4 personas pueden operar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AC-08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Usabilidad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Operario que rota de turno toma la estación por primera vez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&lt;= 3 horas de capacitación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Capa de presentación de piso reducida, distinta del tablero del supervisor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3. Drivers de calidad — escenarios de SEIS partes</w:t>
      </w:r>
    </w:p>
    <w:p>
      <w:r>
        <w:rPr>
          <w:color w:val="555555"/>
          <w:sz w:val="17"/>
        </w:rPr>
        <w:t>Fuente · Estímulo · Artefacto · Entorno · Respuesta · MEDIDA. Un atributo de calidad NO es un caso de uso: no se dibuja como elipse, se especifica como escenario.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rPr>
          <w:tblHeader w:val="true"/>
        </w:trPr>
        <w:tc>
          <w:tcPr>
            <w:tcW w:type="dxa" w:w="737"/>
            <w:shd w:val="clear" w:color="auto" w:fill="EFEFEF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928"/>
            <w:shd w:val="clear" w:color="auto" w:fill="EFEFEF"/>
          </w:tcPr>
          <w:p>
            <w:r/>
            <w:r>
              <w:rPr>
                <w:b/>
                <w:sz w:val="16"/>
              </w:rPr>
              <w:t>Fuente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b/>
                <w:sz w:val="16"/>
              </w:rPr>
              <w:t>Estímulo</w:t>
            </w:r>
          </w:p>
        </w:tc>
        <w:tc>
          <w:tcPr>
            <w:tcW w:type="dxa" w:w="1928"/>
            <w:shd w:val="clear" w:color="auto" w:fill="EFEFEF"/>
          </w:tcPr>
          <w:p>
            <w:r/>
            <w:r>
              <w:rPr>
                <w:b/>
                <w:sz w:val="16"/>
              </w:rPr>
              <w:t>Artefacto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sz w:val="16"/>
              </w:rPr>
              <w:t>Entorno</w:t>
            </w:r>
          </w:p>
        </w:tc>
        <w:tc>
          <w:tcPr>
            <w:tcW w:type="dxa" w:w="2381"/>
            <w:shd w:val="clear" w:color="auto" w:fill="EFEFEF"/>
          </w:tcPr>
          <w:p>
            <w:r/>
            <w:r>
              <w:rPr>
                <w:b/>
                <w:sz w:val="16"/>
              </w:rPr>
              <w:t>Respuesta</w:t>
            </w:r>
          </w:p>
        </w:tc>
        <w:tc>
          <w:tcPr>
            <w:tcW w:type="dxa" w:w="3118"/>
            <w:shd w:val="clear" w:color="auto" w:fill="EFEFEF"/>
          </w:tcPr>
          <w:p>
            <w:r/>
            <w:r>
              <w:rPr>
                <w:b/>
                <w:sz w:val="16"/>
              </w:rPr>
              <w:t>MEDIDA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Sensores de la máquina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 completan las 500 mediciones de un ciclo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Motor de inferencia ML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Producción normal, 25 máquinas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Emite la predicción de calidad de la pieza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&lt; 1 s (ciclo 45 s) / &lt; 5 s (ciclo 120 s)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AC-02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PLC Siemens S7-1500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Envía una solicitud de ajuste vía OPC-UA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Servicio de control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Red industrial Ethernet/IP, 5 ms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Responde con la orden de ajuste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&lt; 200 ms extremo a extremo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AC-03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Red industrial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Caída de red de 30 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Ingesta + buffer local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Planta 24/7, 3 turnos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Conserva el buffer, reconstruye la trazabilidad y sigue operando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0 mediciones pérdidas; 100% de piezas trazables; 0 cortes visibles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AC-04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Turno de la noche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El volumen de datos sube 10x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Pipeline de ingesta y almacenamiento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Presupuesto de infraestructura fijo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Absorbe el pico sin degradar el servicio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Se mantiene AC-01 (p95) con 10x el caudal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AC-05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Emisor de una orden (o un atacante)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 emite «reducir temperatura 3 °C»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Canal de comandos al PLC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Red de planta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Solo se ejecutan órdenes firmadas y autenticadas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100% firmadas; 0 aceptadas sin firma válida; TLS obligatorio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AC-06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Auditor IATF o cliente con reclamo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Consulta forense de un lote de hace 7 años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Repositorio histórico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PB acumulados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Devuelve el expediente completo y verificable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&lt; 10 min; retención 7 años; 100% con hash verificable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AC-07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Equipo de TI interno (4 personas)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El científico de datos se retira a los 6 meses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Sistema completo, incluido el pipeline de ML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US$ 20,000 de capacitación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El equipo opera, respalda, recupera y despliega modelos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Traspaso &lt;= 6 meses; 0 s de paro al desplegar un modelo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6"/>
              </w:rPr>
              <w:t>AC-08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Operario de máquina que rota de turno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Se le asigna la estación por primera vez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Interfaz de piso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Personal sin perfil técnico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Opera el tablero y atiende alertas sin asistencia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&lt;= 3 horas de capacitación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4.1 Drivers de restricción — TÉCNICAS (tecnologías y plataformas)</w:t>
      </w:r>
    </w:p>
    <w:p>
      <w:r>
        <w:rPr>
          <w:color w:val="555555"/>
          <w:sz w:val="17"/>
        </w:rPr>
        <w:t>Las restricciones NO se priorizan: todas son obligatorias, y ninguna lleva medida (se cumple o no se cumple). Clasificadas en las TRES categorías que pide el enunciado.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1020"/>
            <w:shd w:val="clear" w:color="auto" w:fill="EFEFE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386"/>
            <w:shd w:val="clear" w:color="auto" w:fill="EFEFEF"/>
          </w:tcPr>
          <w:p>
            <w:r/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2268"/>
            <w:shd w:val="clear" w:color="auto" w:fill="EFEFEF"/>
          </w:tcPr>
          <w:p>
            <w:r/>
            <w:r>
              <w:rPr>
                <w:b/>
                <w:sz w:val="18"/>
              </w:rPr>
              <w:t>Origen</w:t>
            </w:r>
          </w:p>
        </w:tc>
        <w:tc>
          <w:tcPr>
            <w:tcW w:type="dxa" w:w="5443"/>
            <w:shd w:val="clear" w:color="auto" w:fill="EFEFEF"/>
          </w:tcPr>
          <w:p>
            <w:r/>
            <w:r>
              <w:rPr>
                <w:b/>
                <w:sz w:val="18"/>
              </w:rPr>
              <w:t>Qué decisión bloquea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El protocolo con las máquinas debe ser OPC-UA; no se puede sustituir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Junta Directiva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Descarta cualquier protocolo propio o más liviano para el lazo de control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25 PLC Siemens S7-1500, 500 mediciones/s cada uno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Infraestructura de planta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Fija el caudal de ingesta: 12,500 mediciones/s en régimen normal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Red industrial Ethernet/IP, 5 ms de latencia, con caídas esporádicas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Infraestructura de planta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Prohíbe asumir red confiable: obliga a buffer local (AC-03)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Internet de 100 Mbps compartido; no se puede depender únicamente de la nube para tiempo real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Infraestructura / Junta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Descarta la inferencia en la nube; obliga a cómputo en el borde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Data center local: 4 servidores VMware, 64 vCPU, 256 GB RAM, 20 TB SAN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Infraestructura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20 TB se agotan en 4 días de datos crudos: descarta guardar todo on-premise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RES-T06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No se pueden almacenar todos los datos crudos de sensores en la base transaccional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Junta Directiva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PROHIBE de frente la tabla única SensorReadings de la Parte III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RES-T07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La base de datos debe soportar particionamiento y retención de datos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Junta Directiva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Descarta una tabla plana sin estrategia de partición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RES-T08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No se puede diseñar un sistema monolítico: ingesta, ML y trazabilidad escalan distinto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Junta Directiva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Obliga a servicios desplegables por separado (y tensiona con AC-07)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RES-T09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Los datos de producción deben viajar cifrados; nada en texto plano por la red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Política de seguridad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Obliga a TLS en todo canal, incluido el de comandos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RES-T10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 la nube solo pueden salir análisis agregados; los datos crudos no salen de la planta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Política de seguridad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Define qué capa puede externalizarse: la tibia, nunca la cruda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RES-T11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Stack del equipo: .NET, SQL Server, Azure, Angular; ML en Python/TensorFlow/Scikit-learn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Equipo y habilidades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Acota las tecnologías elegibles a lo que 4 personas pueden operar</w:t>
            </w:r>
          </w:p>
        </w:tc>
      </w:tr>
    </w:tbl>
    <w:p/>
    <w:p>
      <w:r>
        <w:rPr>
          <w:b/>
          <w:sz w:val="24"/>
        </w:rPr>
        <w:t>4.2 Drivers de restricción — DE NEGOCIO (presupuesto, tiempo, leyes y normativas)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1020"/>
            <w:shd w:val="clear" w:color="auto" w:fill="EFEFE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386"/>
            <w:shd w:val="clear" w:color="auto" w:fill="EFEFEF"/>
          </w:tcPr>
          <w:p>
            <w:r/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2268"/>
            <w:shd w:val="clear" w:color="auto" w:fill="EFEFEF"/>
          </w:tcPr>
          <w:p>
            <w:r/>
            <w:r>
              <w:rPr>
                <w:b/>
                <w:sz w:val="18"/>
              </w:rPr>
              <w:t>Origen</w:t>
            </w:r>
          </w:p>
        </w:tc>
        <w:tc>
          <w:tcPr>
            <w:tcW w:type="dxa" w:w="5443"/>
            <w:shd w:val="clear" w:color="auto" w:fill="EFEFEF"/>
          </w:tcPr>
          <w:p>
            <w:r/>
            <w:r>
              <w:rPr>
                <w:b/>
                <w:sz w:val="18"/>
              </w:rPr>
              <w:t>Qué decisión bloquea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Presupuesto de infraestructura: US$ 150,000 para el próximo año (hardware, licencias y cloud)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Presupuesto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Descarta ampliar la SAN a escala de petabytes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Presupuesto de capacitación: US$ 20,000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Presupuesto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Limita cuantas tecnologías nuevas puede absorber el equipo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Equipo interno de 4 personas, sin experiencia en Big Data ni ML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Equipo y habilidades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Es el techo real de complejidad operativa del sistema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El científico de datos es consultor y está disponible solo 6 meses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Equipo y habilidades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Obliga a que el pipeline de ML sea operable sin el (AC-07)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La planta opera 24/7 en 3 turnos: no se puede parar la producción para mantenimiento ni actualizaciones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Junta Directiva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Obliga a despliegue canary / shadow y a cero ventana de mantenimiento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RES-N06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ISO 9001: trazabilidad de toda acción que afecte la calidad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Regulación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Obliga a bitácora de acciones, no solo de mediciones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RES-N07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IATF 16949: los sistemas de control de calidad deben ser validados y los cambios gestionados formalmente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Regulación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Obliga a inmutabilidad, versionado de modelos y gestión formal de cambios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RES-N08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Retención legal de los datos de producción: 7 años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Regulación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1.3 PB acumulados: obliga a archivo frío por niveles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RES-N09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Confidencialidad: los datos de producción no pueden salir de la planta en texto plano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Política de la empresa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Refuerza RES-T10 y descarta SaaS de analítica sobre datos crudos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RES-N10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La capacitación de un operario no puede exceder 3 horas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Junta Directiva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Descarta una interfaz de piso rica: obliga a separarla del tablero del supervisor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RES-N11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US$ 2.5 millones en penalizaciones en 6 meses justifican el proyecto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Caso de negocio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Acota el plazo: la solución debe dar resultado antes de que el cliente rescinda</w:t>
            </w:r>
          </w:p>
        </w:tc>
      </w:tr>
    </w:tbl>
    <w:p/>
    <w:p>
      <w:r>
        <w:rPr>
          <w:b/>
          <w:sz w:val="24"/>
        </w:rPr>
        <w:t>4.3 Drivers de restricción — DE SISTEMA (interacción con otros sistemas)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1020"/>
            <w:shd w:val="clear" w:color="auto" w:fill="EFEFE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386"/>
            <w:shd w:val="clear" w:color="auto" w:fill="EFEFEF"/>
          </w:tcPr>
          <w:p>
            <w:r/>
            <w:r>
              <w:rPr>
                <w:b/>
                <w:sz w:val="18"/>
              </w:rPr>
              <w:t>Restricción</w:t>
            </w:r>
          </w:p>
        </w:tc>
        <w:tc>
          <w:tcPr>
            <w:tcW w:type="dxa" w:w="2268"/>
            <w:shd w:val="clear" w:color="auto" w:fill="EFEFEF"/>
          </w:tcPr>
          <w:p>
            <w:r/>
            <w:r>
              <w:rPr>
                <w:b/>
                <w:sz w:val="18"/>
              </w:rPr>
              <w:t>Origen</w:t>
            </w:r>
          </w:p>
        </w:tc>
        <w:tc>
          <w:tcPr>
            <w:tcW w:type="dxa" w:w="5443"/>
            <w:shd w:val="clear" w:color="auto" w:fill="EFEFEF"/>
          </w:tcPr>
          <w:p>
            <w:r/>
            <w:r>
              <w:rPr>
                <w:b/>
                <w:sz w:val="18"/>
              </w:rPr>
              <w:t>Qué decisión bloquea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RES-S01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Integración con el ERP legacy (Oracle Forms) por API REST lenta: 1-2 s de respuesta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Expectativa 8 del cliente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Prohíbe consultar el ERP dentro del lazo de tiempo real: obliga a caché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RES-S02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Integración con el sistema de mantenimiento legacy, con la misma limitación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Expectativa 8 del cliente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Obliga a sincronización asincrónica de la programación de mantenimiento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RES-S03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Integración con 25 PLC simultaneos vía OPC-UA, en lectura y escritura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Infraestructura de planta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Define la topología de conectores en el borde, uno por máquina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RES-S04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Integración con el CMM: inspección destructiva, 3 min por pieza, solo el 5% de las piezas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Etapa 4 del proceso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El reentrenamiento solo dispone del 5% etiquetado: condiciona el diseño del modelo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RES-S05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El código QR es el contrato de trazabilidad con el cliente: su contenido y verificación son externos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Etapa 5 del proceso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Fija el formato del expediente por pieza como interfaz pública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5. Leyenda de casos de uso (para leer las matrices)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rPr>
          <w:tblHeader w:val="true"/>
        </w:trP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8504"/>
            <w:shd w:val="clear" w:color="auto" w:fill="EFEFEF"/>
          </w:tcPr>
          <w:p>
            <w:r/>
            <w:r>
              <w:rPr>
                <w:b/>
                <w:sz w:val="18"/>
              </w:rPr>
              <w:t>Caso de uso de NEGOCIO</w:t>
            </w:r>
          </w:p>
        </w:tc>
        <w:tc>
          <w:tcPr>
            <w:tcW w:type="dxa" w:w="4479"/>
            <w:shd w:val="clear" w:color="auto" w:fill="EFEFEF"/>
          </w:tcPr>
          <w:p>
            <w:r/>
            <w:r>
              <w:rPr>
                <w:b/>
                <w:sz w:val="18"/>
              </w:rPr>
              <w:t>Categoría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CUN-01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Recepción y calificación de materia prima</w:t>
            </w:r>
          </w:p>
        </w:tc>
        <w:tc>
          <w:tcPr>
            <w:tcW w:type="dxa" w:w="4479"/>
          </w:tcPr>
          <w:p>
            <w:r/>
            <w:r>
              <w:rPr>
                <w:sz w:val="18"/>
              </w:rPr>
              <w:t>Soporte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CUN-02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Preparación y calibración de la máquina</w:t>
            </w:r>
          </w:p>
        </w:tc>
        <w:tc>
          <w:tcPr>
            <w:tcW w:type="dxa" w:w="4479"/>
          </w:tcPr>
          <w:p>
            <w:r/>
            <w:r>
              <w:rPr>
                <w:sz w:val="18"/>
              </w:rPr>
              <w:t>Soporte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Monitoreo y control en línea del ciclo de producción</w:t>
            </w:r>
          </w:p>
        </w:tc>
        <w:tc>
          <w:tcPr>
            <w:tcW w:type="dxa" w:w="4479"/>
          </w:tcPr>
          <w:p>
            <w:r/>
            <w:r>
              <w:rPr>
                <w:sz w:val="18"/>
              </w:rPr>
              <w:t>Núcleo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CUN-04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Inspección final y mejora del modelo predictivo</w:t>
            </w:r>
          </w:p>
        </w:tc>
        <w:tc>
          <w:tcPr>
            <w:tcW w:type="dxa" w:w="4479"/>
          </w:tcPr>
          <w:p>
            <w:r/>
            <w:r>
              <w:rPr>
                <w:sz w:val="18"/>
              </w:rPr>
              <w:t>Núcleo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Trazabilidad, embarque y auditoría de calidad</w:t>
            </w:r>
          </w:p>
        </w:tc>
        <w:tc>
          <w:tcPr>
            <w:tcW w:type="dxa" w:w="4479"/>
          </w:tcPr>
          <w:p>
            <w:r/>
            <w:r>
              <w:rPr>
                <w:sz w:val="18"/>
              </w:rPr>
              <w:t>Gerencial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1020"/>
            <w:shd w:val="clear" w:color="auto" w:fill="EFEFE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669"/>
            <w:shd w:val="clear" w:color="auto" w:fill="EFEFEF"/>
          </w:tcPr>
          <w:p>
            <w:r/>
            <w:r>
              <w:rPr>
                <w:b/>
                <w:sz w:val="18"/>
              </w:rPr>
              <w:t>Caso de uso del SISTEMA</w:t>
            </w:r>
          </w:p>
        </w:tc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z w:val="18"/>
              </w:rPr>
              <w:t>CUN</w:t>
            </w:r>
          </w:p>
        </w:tc>
        <w:tc>
          <w:tcPr>
            <w:tcW w:type="dxa" w:w="6293"/>
            <w:shd w:val="clear" w:color="auto" w:fill="EFEFEF"/>
          </w:tcPr>
          <w:p>
            <w:r/>
            <w:r>
              <w:rPr>
                <w:b/>
                <w:sz w:val="18"/>
              </w:rPr>
              <w:t>Relación y actor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Supervisar ciclo de producción en línea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base — Operario de máquina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Capturar mediciones de sensores vía OPC-UA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«include» de CU-001 — PLC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CU-003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Predecir calidad de la pieza (inferencia ML)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«include» de CU-001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Registrar trazabilidad del ciclo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«include» de CU-001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Ejecutar acción correctiva sobre la máquina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«extend» [predicción = defectuosa] — PLC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CU-006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Almacenar y reconciliar desde buffer local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«extend» [caída de red]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CU-007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Notificar deriva de sensor a Mantenimiento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«extend» [deriva de sensor]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CU-008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Consultar tablero de estado en tiempo real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asociación — Personal de piso (padre)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CU-009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Atender alerta de desviación y acción sugerida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CUN-03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asociación — Supervisor de turno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CU-010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Gestionar la trazabilidad de la pieza producida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base — Ingeniero de Calidad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CU-011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Etiquetar pieza con código QR único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«include» de CU-010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CU-012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Sellar registro de producción inmutable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«include» de CU-010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CU-013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Registrar inspección CMM y correlacionar con producción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«extend» [pieza en el muestreo 5 %] — CMM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CU-014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Consultar trazabilidad forense de un lote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base — Auditor externo, Cliente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CU-015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Verificar integridad del registro inmutable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«include» de CU-014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CU-016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Emitir expediente de calidad del embarque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CUN-05</w:t>
            </w:r>
          </w:p>
        </w:tc>
        <w:tc>
          <w:tcPr>
            <w:tcW w:type="dxa" w:w="6293"/>
          </w:tcPr>
          <w:p>
            <w:r/>
            <w:r>
              <w:rPr>
                <w:sz w:val="18"/>
              </w:rPr>
              <w:t>base — Cliente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6. Matriz de trazabilidad — Drivers RF vs. CDU</w:t>
      </w:r>
    </w:p>
    <w:p>
      <w:r>
        <w:rPr>
          <w:color w:val="555555"/>
          <w:sz w:val="17"/>
        </w:rPr>
        <w:t>Plantilla de la NT1, figura 1, pág. 91.  Celda:  ● = caso de uso PRINCIPAL (dueño del requerimiento)  ·  X = participa en su realización  ·  vacío = no interviene.  RFG-012 y RFG-013 no aparecen: pertenecen a CUN-01 y CUN-02, que el enunciado no manda expandir.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>
        <w:trPr>
          <w:tblHeader w:val="true"/>
        </w:trPr>
        <w:tc>
          <w:tcPr>
            <w:tcW w:type="dxa" w:w="3175"/>
            <w:shd w:val="clear" w:color="auto" w:fill="EFEFEF"/>
          </w:tcPr>
          <w:p>
            <w:r/>
            <w:r>
              <w:rPr>
                <w:b/>
                <w:sz w:val="14"/>
              </w:rPr>
              <w:t>Requerimiento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CU-001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CU-002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CU-003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CU-004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CU-005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CU-006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CU-007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CU-008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CU-009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CU-010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CU-011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CU-012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CU-013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CU-014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CU-015</w:t>
            </w:r>
          </w:p>
        </w:tc>
        <w:tc>
          <w:tcPr>
            <w:tcW w:type="dxa" w:w="680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4"/>
              </w:rPr>
              <w:t>CU-016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RFG-001  Capturar 500 med/s vía OPC-UA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RFG-002  Inferencia ML dentro del ciclo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RFG-003  Orden de ajuste / paro al PLC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RFG-004  Trazabilidad completa por pieza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RFG-005  Etiquetado QR único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RFG-006  Sellado inmutable y verificable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RFG-007  Correlacionar CMM y reentrenar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RFG-008  Consulta forense a 7 años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RFG-009  Detectar deriva de sensores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RFG-010  Tablero en tiempo real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RFG-011  Buffer local y reconciliación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4"/>
              </w:rPr>
              <w:t>RFG-014  Actualizar modelo sin parar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  <w:t>X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4"/>
              </w:rPr>
            </w:r>
          </w:p>
        </w:tc>
      </w:tr>
    </w:tbl>
    <w:p/>
    <w:p>
      <w:r>
        <w:rPr>
          <w:color w:val="555555"/>
          <w:sz w:val="17"/>
        </w:rPr>
        <w:t>Lectura por fila — ¿dónde se realiza cada requerimiento? Ninguna fila vacía: todo RF expandido tiene al menos un CU dueño.</w:t>
        <w:br/>
        <w:t>Lectura por columna — ¿de dónde viene cada caso de uso? Ninguna columna vacía: no hay CU inventado sin requerimiento que lo origine.</w:t>
        <w:br/>
        <w:t>La columna más poblada es CU-004 (Registrar trazabilidad del ciclo), coherente con que la pérdida de trazabilidad sea el problema que originó el proyecto.</w:t>
      </w:r>
    </w:p>
    <w:p>
      <w:r>
        <w:br w:type="page"/>
      </w:r>
    </w:p>
    <w:p>
      <w:r>
        <w:rPr>
          <w:b/>
          <w:sz w:val="24"/>
        </w:rPr>
        <w:t>7. Matriz de control — Drivers de calidad y restricción vs. CDU</w:t>
      </w:r>
    </w:p>
    <w:p>
      <w:r>
        <w:rPr>
          <w:color w:val="555555"/>
          <w:sz w:val="17"/>
        </w:rPr>
        <w:t>Responde a la Parte III: son los drivers que, de haberse trazado, habrían impedido la decisión de la tabla única SensorReadings.  Celda:  ● = el CU es el punto donde el driver se realiza o se viola  ·  X = el driver lo condiciona  ·  ▲ = control directo sobre la decisión cuestionada.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2835"/>
            <w:shd w:val="clear" w:color="auto" w:fill="EFEFEF"/>
          </w:tcPr>
          <w:p>
            <w:r/>
            <w:r>
              <w:rPr>
                <w:b/>
                <w:sz w:val="15"/>
              </w:rPr>
              <w:t>Driver</w:t>
            </w:r>
          </w:p>
        </w:tc>
        <w:tc>
          <w:tcPr>
            <w:tcW w:type="dxa" w:w="1020"/>
            <w:shd w:val="clear" w:color="auto" w:fill="EFEFEF"/>
          </w:tcPr>
          <w:p>
            <w:r/>
            <w:r>
              <w:rPr>
                <w:b/>
                <w:sz w:val="15"/>
              </w:rPr>
              <w:t>Tipo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CU-002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CU-003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CU-004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CU-005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CU-012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CU-013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CU-014</w:t>
            </w:r>
          </w:p>
        </w:tc>
        <w:tc>
          <w:tcPr>
            <w:tcW w:type="dxa" w:w="652"/>
            <w:shd w:val="clear" w:color="auto" w:fill="EFEFEF"/>
          </w:tcPr>
          <w:p>
            <w:pPr>
              <w:jc w:val="center"/>
            </w:pPr>
            <w:r/>
            <w:r>
              <w:rPr>
                <w:b/>
                <w:sz w:val="15"/>
              </w:rPr>
              <w:t>CU-015</w:t>
            </w:r>
          </w:p>
        </w:tc>
        <w:tc>
          <w:tcPr>
            <w:tcW w:type="dxa" w:w="5046"/>
            <w:shd w:val="clear" w:color="auto" w:fill="EFEFEF"/>
          </w:tcPr>
          <w:p>
            <w:r/>
            <w:r>
              <w:rPr>
                <w:b/>
                <w:sz w:val="15"/>
              </w:rPr>
              <w:t>Control sobre la decisión de SensorReadings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AC-01  Inferencia &lt; 1 s / &lt; 5 s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Calidad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La escritura sincrónica en la tabla única roba tiempo al ciclo de inferencia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AC-02  Respuesta al PLC &lt; 200 ms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Calidad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La contención de escritura en la misma instancia degrada el lazo de control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AC-03  Caída de red 30 s sin pérdida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Calidad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Exige buffer en el borde, no una tabla central única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AC-04  Pico de 10x sin degradación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Calidad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125,000 filas/s contra índices B-tree: el diseño no escala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AC-05  Órdenes firmadas y autenticadas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Calidad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Canal de comandos separado del almacén de datos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AC-06  Forense &lt; 10 min sobre 7 años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Calidad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Imposible sobre EAV plano: exige niveles e índice de trazabilidad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AC-07  Mantenible por 4 personas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Calidad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Justifica SQL Server para el MAESTRO de trazabilidad, no para el crudo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RES-T06  Nada crudo en la transaccional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Restricción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PROHIBICIÓN EXPLÍCITA: la decisión del equipo la viola de frente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RES-T07  BD con particionamiento y retención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Restricción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Una tabla plana sin estrategia de partición no cumple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RES-T05  20 TB de SAN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Restricción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5 TB/día agotan la SAN en 4 días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RES-N08  Retención 7 años (1.3 PB)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Restricción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Obliga a archivo frío por niveles, no a una tabla única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RES-N06/N07  ISO 9001 / IATF 16949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Restricción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●</w:t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▲ Exigen inmutabilidad y validación, que la tabla plana no ofrece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5"/>
              </w:rPr>
              <w:t>RES-T10  Solo agregados a la nube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Restricción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  <w:t>X</w:t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652"/>
          </w:tcPr>
          <w:p>
            <w:pPr>
              <w:jc w:val="center"/>
            </w:pPr>
            <w:r/>
            <w:r>
              <w:rPr>
                <w:sz w:val="15"/>
              </w:rPr>
            </w:r>
          </w:p>
        </w:tc>
        <w:tc>
          <w:tcPr>
            <w:tcW w:type="dxa" w:w="5046"/>
          </w:tcPr>
          <w:p>
            <w:r/>
            <w:r>
              <w:rPr>
                <w:sz w:val="15"/>
              </w:rPr>
              <w:t>Define qué capa puede salir de la planta</w:t>
            </w:r>
          </w:p>
        </w:tc>
      </w:tr>
    </w:tbl>
    <w:p/>
    <w:p>
      <w:r>
        <w:rPr>
          <w:color w:val="555555"/>
          <w:sz w:val="17"/>
        </w:rPr>
        <w:t>1. RES-T06 cruza CU-002 y CU-004 — los dos casos de uso que la tabla única pretendía servir. La celda está marcada: la restricción habría bloqueado la decisión antes de la primera línea de SQL.</w:t>
        <w:br/>
        <w:t>2. La columna CU-004 concentra 9 drivers de control. Un caso de uso con esa densidad de restricciones es un punto de ARQUITECTURA, no de implementación.</w:t>
        <w:br/>
        <w:t>3. AC-07 aparece a favor y en contra: la mantenibilidad justifica SQL Server, pero solo donde el volumen lo permite. Trazado por caso de uso, el argumento del equipo se salva a medias en vez de perderse entero.</w:t>
      </w:r>
    </w:p>
    <w:sectPr w:rsidR="00FC693F" w:rsidRPr="0006063C" w:rsidSect="00034616">
      <w:pgSz w:w="15840" w:h="12240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