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tl"/>
        <w:spacing w:before="60" w:after="60"/>
      </w:pPr>
      <w:r>
        <w:t xml:space="preserve">Planificación de discos</w:t>
      </w:r>
    </w:p>
    <w:p>
      <w:pPr>
        <w:pStyle w:val="Sub"/>
        <w:spacing w:before="60" w:after="60"/>
      </w:pPr>
      <w:r>
        <w:t xml:space="preserve">Sistemas Operativos 2  ·  Unidad 3  ·  Planificación</w:t>
      </w:r>
    </w:p>
    <w:p>
      <w:pPr>
        <w:pStyle w:val="Heading1"/>
        <w:keepNext/>
        <w:spacing w:before="140" w:after="140"/>
      </w:pPr>
      <w:r>
        <w:t xml:space="preserve">El problema</w:t>
      </w:r>
    </w:p>
    <w:p>
      <w:pPr>
        <w:ind w:left="200"/>
        <w:spacing w:before="40" w:after="40"/>
      </w:pPr>
      <w:r>
        <w:t xml:space="preserve">• </w:t>
      </w:r>
      <w:r>
        <w:t xml:space="preserve">Disco de 2000 cilindros, del 0 al 1999.</w:t>
      </w:r>
    </w:p>
    <w:p>
      <w:pPr>
        <w:ind w:left="200"/>
        <w:spacing w:before="40" w:after="40"/>
      </w:pPr>
      <w:r>
        <w:t xml:space="preserve">• </w:t>
      </w:r>
      <w:r>
        <w:t xml:space="preserve">La cabeza está atendiendo el 530 y la anterior fue el 390, o sea que va subiendo.</w:t>
      </w:r>
    </w:p>
    <w:p>
      <w:pPr>
        <w:ind w:left="200"/>
        <w:spacing w:before="40" w:after="40"/>
      </w:pPr>
      <w:r>
        <w:t xml:space="preserve">• </w:t>
      </w:r>
      <w:r>
        <w:t xml:space="preserve">Cola pendiente: 400, 610, 1400, 1900, 1110, 490, 900, 19.</w:t>
      </w:r>
    </w:p>
    <w:p>
      <w:pPr>
        <w:ind w:left="200"/>
        <w:spacing w:before="40" w:after="40"/>
      </w:pPr>
      <w:r>
        <w:t xml:space="preserve">• </w:t>
      </w:r>
      <w:r>
        <w:t xml:space="preserve">Al atender la 3.ª solicitud entran a la cola: 350 y 510.</w:t>
      </w:r>
    </w:p>
    <w:p>
      <w:pPr>
        <w:ind w:left="200"/>
        <w:spacing w:before="40" w:after="40"/>
      </w:pPr>
      <w:r>
        <w:t xml:space="preserve">• </w:t>
      </w:r>
      <w:r>
        <w:t xml:space="preserve">Al atender la 7.ª solicitud entran a la cola: 300 y 800.</w:t>
      </w:r>
    </w:p>
    <w:p>
      <w:pPr>
        <w:ind w:left="200"/>
        <w:spacing w:before="40" w:after="40"/>
      </w:pPr>
      <w:r>
        <w:t xml:space="preserve">• </w:t>
      </w:r>
      <w:r>
        <w:t xml:space="preserve">El disco tiene parking.</w:t>
      </w:r>
    </w:p>
    <w:p>
      <w:pPr>
        <w:spacing w:before="120" w:after="120"/>
      </w:pPr>
      <w:r>
        <w:t xml:space="preserve">Son 12 accesos en total. Hay que sacar el recorrido de la cabeza y cuántos cilindros se mueve el brazo con cada política.</w:t>
      </w:r>
    </w:p>
    <w:p>
      <w:pPr>
        <w:pStyle w:val="Heading1"/>
        <w:keepNext/>
        <w:spacing w:before="140" w:after="140"/>
      </w:pPr>
      <w:r>
        <w:t xml:space="preserve">Ojo con las llegadas</w:t>
      </w:r>
    </w:p>
    <w:p>
      <w:pPr>
        <w:spacing w:before="120" w:after="120"/>
      </w:pPr>
      <w:r>
        <w:t xml:space="preserve">La 3.ª y la 7.ª se cuentan según la política, no según la cola original. Como cada una atiende en otro orden, las solicitudes nuevas entran en otro momento y con la cabeza en otro lado:</w:t>
      </w:r>
    </w:p>
    <w:tbl>
      <w:tblPr>
        <w:tblW w:w="0" w:type="auto"/>
        <w:tblLayout w:type="fixed"/>
      </w:tblPr>
      <w:tblGrid>
        <w:gridCol w:w="3182"/>
        <w:gridCol w:w="3088"/>
        <w:gridCol w:w="3088"/>
      </w:tblGrid>
      <w:tr>
        <w:trPr>
          <w:tblHeader/>
        </w:trPr>
        <w:tc>
          <w:tcPr>
            <w:tcW w:w="3182" w:type="dxa"/>
            <w:tcBorders>
              <w:top w:val="single" w:sz="2" w:space="0" w:color="C9CED6"/>
              <w:bottom w:val="single" w:sz="8" w:space="0" w:color="6E7683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b/>
                <w:sz w:val="18"/>
              </w:rPr>
              <w:t xml:space="preserve">Política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8" w:space="0" w:color="6E7683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b/>
                <w:sz w:val="18"/>
              </w:rPr>
              <w:t xml:space="preserve">3.ª atendida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8" w:space="0" w:color="6E7683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b/>
                <w:sz w:val="18"/>
              </w:rPr>
              <w:t xml:space="preserve">7.ª atendida</w:t>
            </w:r>
          </w:p>
        </w:tc>
      </w:tr>
      <w:tr>
        <w:tc>
          <w:tcPr>
            <w:tcW w:w="3182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sz w:val="18"/>
                <w:b/>
              </w:rPr>
              <w:t xml:space="preserve">FIFO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1400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900</w:t>
            </w:r>
          </w:p>
        </w:tc>
      </w:tr>
      <w:tr>
        <w:tc>
          <w:tcPr>
            <w:tcW w:w="3182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sz w:val="18"/>
                <w:b/>
              </w:rPr>
              <w:t xml:space="preserve">SSTF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610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900</w:t>
            </w:r>
          </w:p>
        </w:tc>
      </w:tr>
      <w:tr>
        <w:tc>
          <w:tcPr>
            <w:tcW w:w="3182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sz w:val="18"/>
                <w:b/>
              </w:rPr>
              <w:t xml:space="preserve">SCAN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1110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490</w:t>
            </w:r>
          </w:p>
        </w:tc>
      </w:tr>
      <w:tr>
        <w:tc>
          <w:tcPr>
            <w:tcW w:w="3182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sz w:val="18"/>
                <w:b/>
              </w:rPr>
              <w:t xml:space="preserve">C-SCAN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1110</w:t>
            </w:r>
          </w:p>
        </w:tc>
        <w:tc>
          <w:tcPr>
            <w:tcW w:w="308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350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>Y lo otro que pega duro en SCAN y C-SCAN: si una solicitud entra atrás de la cabeza, ya no se puede atender en esa pasada y toca esperar la siguiente.</w:t>
      </w:r>
    </w:p>
    <w:p>
      <w:pPr>
        <w:pStyle w:val="Heading1"/>
        <w:pageBreakBefore/>
        <w:keepNext/>
        <w:spacing w:before="140" w:after="140"/>
      </w:pPr>
      <w:r>
        <w:t xml:space="preserve">FIFO</w:t>
      </w:r>
    </w:p>
    <w:p>
      <w:pPr>
        <w:spacing w:before="120" w:after="120"/>
      </w:pPr>
      <w:r>
        <w:t xml:space="preserve">Atiende en el mismo orden en que fueron llegando, sin pensar nada. Por eso la cabeza cruza el disco de lado a lado un montón de veces y sale carísimo. Más que nada sirve para tener con qué comparar las demás.</w:t>
      </w:r>
    </w:p>
    <w:p>
      <w:pPr>
        <w:jc w:val="center"/>
        <w:spacing w:before="100" w:after="40"/>
      </w:pPr>
      <w:r>
        <w:drawing>
          <wp:inline distT="0" distB="0" distL="0" distR="0">
            <wp:extent cx="5303520" cy="3487466"/>
            <wp:effectExtent l="0" t="0" r="0" b="0"/>
            <wp:docPr id="1" name="img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90" w:after="90"/>
      </w:pPr>
      <w:r>
        <w:t xml:space="preserve">Orden de atención</w:t>
      </w:r>
    </w:p>
    <w:p>
      <w:pPr>
        <w:shd w:val="clear" w:fill="EEF2F8"/>
        <w:pBdr>
          <w:top w:val="single" w:sz="4" w:space="4" w:color="DCDFE4"/>
          <w:left w:val="single" w:sz="4" w:space="4" w:color="DCDFE4"/>
          <w:bottom w:val="single" w:sz="4" w:space="4" w:color="DCDFE4"/>
          <w:right w:val="single" w:sz="4" w:space="4" w:color="DCDFE4"/>
        </w:pBdr>
        <w:spacing w:before="120" w:after="120"/>
      </w:pPr>
      <w:r>
        <w:t xml:space="preserve">530 → 400 → 610 → 1400 → 1900 → 1110 → 490 → 900 → 19 → 350 → 510 → 300 → 800</w:t>
      </w:r>
    </w:p>
    <w:p>
      <w:pPr>
        <w:pStyle w:val="Heading2"/>
        <w:keepNext/>
        <w:spacing w:before="90" w:after="90"/>
      </w:pPr>
      <w:r>
        <w:t xml:space="preserve">La cuenta</w:t>
      </w:r>
    </w:p>
    <w:p>
      <w:pPr>
        <w:spacing w:before="40" w:after="40"/>
      </w:pPr>
      <w:r>
        <w:t xml:space="preserve">130 + 210 + 790 + 500 + 790 + 620 + 410 + 881 + 331 + 160 + 210 + 500</w:t>
      </w:r>
    </w:p>
    <w:p>
      <w:pPr>
        <w:spacing w:before="40" w:after="40"/>
      </w:pPr>
      <w:r>
        <w:t xml:space="preserve">= </w:t>
      </w:r>
      <w:r>
        <w:rPr>
          <w:b/>
          <w:color w:val="B0302A"/>
        </w:rPr>
        <w:t xml:space="preserve">5 532 cilindros</w:t>
      </w:r>
    </w:p>
    <w:p>
      <w:pPr>
        <w:pStyle w:val="Heading1"/>
        <w:pageBreakBefore/>
        <w:keepNext/>
        <w:spacing w:before="140" w:after="140"/>
      </w:pPr>
      <w:r>
        <w:t xml:space="preserve">SSTF</w:t>
      </w:r>
    </w:p>
    <w:p>
      <w:pPr>
        <w:spacing w:before="120" w:after="120"/>
      </w:pPr>
      <w:r>
        <w:t xml:space="preserve">Siempre agarra la solicitud más cercana. Al principio va barato, saltando entre el 400, el 490 y el 510, pero se queda pegado en la zona baja del disco y deja el 1400 y el 1900 esperando. Al final le toca pagar el 1900 → 300: 1 600 cilindros de un solo jalón. Esa es la inanición de la que habla el material.</w:t>
      </w:r>
    </w:p>
    <w:p>
      <w:pPr>
        <w:jc w:val="center"/>
        <w:spacing w:before="100" w:after="40"/>
      </w:pPr>
      <w:r>
        <w:drawing>
          <wp:inline distT="0" distB="0" distL="0" distR="0">
            <wp:extent cx="5303520" cy="3487466"/>
            <wp:effectExtent l="0" t="0" r="0" b="0"/>
            <wp:docPr id="2" name="img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90" w:after="90"/>
      </w:pPr>
      <w:r>
        <w:t xml:space="preserve">Orden de atención</w:t>
      </w:r>
    </w:p>
    <w:p>
      <w:pPr>
        <w:shd w:val="clear" w:fill="EEF2F8"/>
        <w:pBdr>
          <w:top w:val="single" w:sz="4" w:space="4" w:color="DCDFE4"/>
          <w:left w:val="single" w:sz="4" w:space="4" w:color="DCDFE4"/>
          <w:bottom w:val="single" w:sz="4" w:space="4" w:color="DCDFE4"/>
          <w:right w:val="single" w:sz="4" w:space="4" w:color="DCDFE4"/>
        </w:pBdr>
        <w:spacing w:before="120" w:after="120"/>
      </w:pPr>
      <w:r>
        <w:t xml:space="preserve">530 → 490 → 400 → 610 → 510 → 350 → 19 → 900 → 800 → 1110 → 1400 → 1900 → 300</w:t>
      </w:r>
    </w:p>
    <w:p>
      <w:pPr>
        <w:pStyle w:val="Heading2"/>
        <w:keepNext/>
        <w:spacing w:before="90" w:after="90"/>
      </w:pPr>
      <w:r>
        <w:t xml:space="preserve">La cuenta</w:t>
      </w:r>
    </w:p>
    <w:p>
      <w:pPr>
        <w:spacing w:before="40" w:after="40"/>
      </w:pPr>
      <w:r>
        <w:t xml:space="preserve">40 + 90 + 210 + 100 + 160 + 331 + 881 + 100 + 310 + 290 + 500 + 1600</w:t>
      </w:r>
    </w:p>
    <w:p>
      <w:pPr>
        <w:spacing w:before="40" w:after="40"/>
      </w:pPr>
      <w:r>
        <w:t xml:space="preserve">= </w:t>
      </w:r>
      <w:r>
        <w:rPr>
          <w:b/>
          <w:color w:val="B0302A"/>
        </w:rPr>
        <w:t xml:space="preserve">4 612 cilindros</w:t>
      </w:r>
    </w:p>
    <w:p>
      <w:pPr>
        <w:pStyle w:val="Heading1"/>
        <w:pageBreakBefore/>
        <w:keepNext/>
        <w:spacing w:before="140" w:after="140"/>
      </w:pPr>
      <w:r>
        <w:t xml:space="preserve">SCAN</w:t>
      </w:r>
    </w:p>
    <w:p>
      <w:pPr>
        <w:spacing w:before="120" w:after="120"/>
      </w:pPr>
      <w:r>
        <w:t xml:space="preserve">Como la cabeza venía del 390 y está en el 530, va subiendo, y esa dirección es la que manda. Sube atendiendo todo lo que encuentra, llega hasta el 1999, se voltea y baja. Ojo con el 800: entra cuando la cabeza ya iba de bajada y ya había pasado por ahí, entonces no lo puede atender en esa pasada. Toca el 0, se voltea otra vez y hasta ahí lo recoge.</w:t>
      </w:r>
    </w:p>
    <w:p>
      <w:pPr>
        <w:jc w:val="center"/>
        <w:spacing w:before="100" w:after="40"/>
      </w:pPr>
      <w:r>
        <w:drawing>
          <wp:inline distT="0" distB="0" distL="0" distR="0">
            <wp:extent cx="4206240" cy="3046337"/>
            <wp:effectExtent l="0" t="0" r="0" b="0"/>
            <wp:docPr id="3" name="img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4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90" w:after="90"/>
      </w:pPr>
      <w:r>
        <w:t xml:space="preserve">Orden de atención</w:t>
      </w:r>
    </w:p>
    <w:p>
      <w:pPr>
        <w:shd w:val="clear" w:fill="EEF2F8"/>
        <w:pBdr>
          <w:top w:val="single" w:sz="4" w:space="4" w:color="DCDFE4"/>
          <w:left w:val="single" w:sz="4" w:space="4" w:color="DCDFE4"/>
          <w:bottom w:val="single" w:sz="4" w:space="4" w:color="DCDFE4"/>
          <w:right w:val="single" w:sz="4" w:space="4" w:color="DCDFE4"/>
        </w:pBdr>
        <w:spacing w:before="120" w:after="120"/>
      </w:pPr>
      <w:r>
        <w:t xml:space="preserve">530 → 610 → 900 → 1110 → 1400 → 1900 → 1999 → 510 → 490 → 400 → 350 → 300 → 19 → 0 → 800</w:t>
      </w:r>
    </w:p>
    <w:p>
      <w:pPr>
        <w:pStyle w:val="Heading2"/>
        <w:keepNext/>
        <w:spacing w:before="90" w:after="90"/>
      </w:pPr>
      <w:r>
        <w:t xml:space="preserve">La cuenta</w:t>
      </w:r>
    </w:p>
    <w:p>
      <w:pPr>
        <w:spacing w:before="40" w:after="40"/>
      </w:pPr>
      <w:r>
        <w:t xml:space="preserve">80 + 290 + 210 + 290 + 500 + 99 + 1489 + 20 + 90 + 50 + 50 + 281 + 19 + 800</w:t>
      </w:r>
    </w:p>
    <w:p>
      <w:pPr>
        <w:spacing w:before="40" w:after="40"/>
      </w:pPr>
      <w:r>
        <w:t xml:space="preserve">= </w:t>
      </w:r>
      <w:r>
        <w:rPr>
          <w:b/>
          <w:color w:val="B0302A"/>
        </w:rPr>
        <w:t xml:space="preserve">4 268 cilindros</w:t>
      </w:r>
    </w:p>
    <w:p>
      <w:pPr>
        <w:pStyle w:val="Heading1"/>
        <w:pageBreakBefore/>
        <w:keepNext/>
        <w:spacing w:before="140" w:after="140"/>
      </w:pPr>
      <w:r>
        <w:t xml:space="preserve">C-SCAN</w:t>
      </w:r>
    </w:p>
    <w:p>
      <w:pPr>
        <w:spacing w:before="120" w:after="120"/>
      </w:pPr>
      <w:r>
        <w:t xml:space="preserve">Igual que SCAN pero solo atiende de subida. Al llegar al 1999 hace parking, cae al 0 sin atender a nadie y vuelve a subir. Lo caro es el 300: entra justo después de que la cabeza pasó por el 350, y como aquí nada se atiende de bajada, hay que dar otra vuelta completa nada más por él.</w:t>
      </w:r>
    </w:p>
    <w:p>
      <w:pPr>
        <w:jc w:val="center"/>
        <w:spacing w:before="100" w:after="40"/>
      </w:pPr>
      <w:r>
        <w:drawing>
          <wp:inline distT="0" distB="0" distL="0" distR="0">
            <wp:extent cx="4206240" cy="3326753"/>
            <wp:effectExtent l="0" t="0" r="0" b="0"/>
            <wp:docPr id="4" name="img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90" w:after="90"/>
      </w:pPr>
      <w:r>
        <w:t xml:space="preserve">Orden de atención</w:t>
      </w:r>
    </w:p>
    <w:p>
      <w:pPr>
        <w:shd w:val="clear" w:fill="EEF2F8"/>
        <w:pBdr>
          <w:top w:val="single" w:sz="4" w:space="4" w:color="DCDFE4"/>
          <w:left w:val="single" w:sz="4" w:space="4" w:color="DCDFE4"/>
          <w:bottom w:val="single" w:sz="4" w:space="4" w:color="DCDFE4"/>
          <w:right w:val="single" w:sz="4" w:space="4" w:color="DCDFE4"/>
        </w:pBdr>
        <w:spacing w:before="120" w:after="120"/>
      </w:pPr>
      <w:r>
        <w:t xml:space="preserve">530 → 610 → 900 → 1110 → 1400 → 1900 → 1999 → 0 (parking) → 19 → 350 → 400 → 490 → 510 → 800 → 1999 → 0 (parking) → 300</w:t>
      </w:r>
    </w:p>
    <w:p>
      <w:pPr>
        <w:pStyle w:val="Heading2"/>
        <w:keepNext/>
        <w:spacing w:before="90" w:after="90"/>
      </w:pPr>
      <w:r>
        <w:t xml:space="preserve">La cuenta</w:t>
      </w:r>
    </w:p>
    <w:p>
      <w:pPr>
        <w:spacing w:before="40" w:after="40"/>
      </w:pPr>
      <w:r>
        <w:t xml:space="preserve">80 + 290 + 210 + 290 + 500 + 99 + 1999 + 19 + 331 + 50 + 90 + 20 + 290 + 1199 + 1999 + 300</w:t>
      </w:r>
    </w:p>
    <w:p>
      <w:pPr>
        <w:spacing w:before="40" w:after="40"/>
      </w:pPr>
      <w:r>
        <w:t xml:space="preserve">= </w:t>
      </w:r>
      <w:r>
        <w:rPr>
          <w:b/>
          <w:color w:val="B0302A"/>
        </w:rPr>
        <w:t xml:space="preserve">7 766 cilindros</w:t>
      </w:r>
    </w:p>
    <w:p>
      <w:pPr>
        <w:spacing w:before="40" w:after="40"/>
      </w:pPr>
      <w:r>
        <w:t xml:space="preserve">De esos, 3 998 son los dos retornos en parking, sin atender a nadie: el trabajo de verdad son 3 768 cilindros.</w:t>
      </w:r>
    </w:p>
    <w:p>
      <w:pPr>
        <w:pStyle w:val="Heading1"/>
        <w:pageBreakBefore/>
        <w:keepNext/>
        <w:spacing w:before="140" w:after="140"/>
      </w:pPr>
      <w:r>
        <w:t xml:space="preserve">Comparación</w:t>
      </w:r>
    </w:p>
    <w:p>
      <w:pPr>
        <w:jc w:val="center"/>
        <w:spacing w:before="100" w:after="40"/>
      </w:pPr>
      <w:r>
        <w:drawing>
          <wp:inline distT="0" distB="0" distL="0" distR="0">
            <wp:extent cx="5394960" cy="1978152"/>
            <wp:effectExtent l="0" t="0" r="0" b="0"/>
            <wp:docPr id="5" name="img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</w:tblPr>
      <w:tblGrid>
        <w:gridCol w:w="2808"/>
        <w:gridCol w:w="2433"/>
        <w:gridCol w:w="2059"/>
        <w:gridCol w:w="2059"/>
      </w:tblGrid>
      <w:tr>
        <w:trPr>
          <w:tblHeader/>
        </w:trPr>
        <w:tc>
          <w:tcPr>
            <w:tcW w:w="2808" w:type="dxa"/>
            <w:tcBorders>
              <w:top w:val="single" w:sz="2" w:space="0" w:color="C9CED6"/>
              <w:bottom w:val="single" w:sz="8" w:space="0" w:color="6E7683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b/>
                <w:sz w:val="18"/>
              </w:rPr>
              <w:t xml:space="preserve">Política</w:t>
            </w:r>
          </w:p>
        </w:tc>
        <w:tc>
          <w:tcPr>
            <w:tcW w:w="2433" w:type="dxa"/>
            <w:tcBorders>
              <w:top w:val="single" w:sz="2" w:space="0" w:color="C9CED6"/>
              <w:bottom w:val="single" w:sz="8" w:space="0" w:color="6E7683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b/>
                <w:sz w:val="18"/>
              </w:rPr>
              <w:t xml:space="preserve">Atendiendo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8" w:space="0" w:color="6E7683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b/>
                <w:sz w:val="18"/>
              </w:rPr>
              <w:t xml:space="preserve">Parking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8" w:space="0" w:color="6E7683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b/>
                <w:sz w:val="18"/>
              </w:rPr>
              <w:t xml:space="preserve">Total</w:t>
            </w:r>
          </w:p>
        </w:tc>
      </w:tr>
      <w:tr>
        <w:tc>
          <w:tcPr>
            <w:tcW w:w="280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sz w:val="18"/>
                <w:b/>
              </w:rPr>
              <w:t xml:space="preserve">FIFO</w:t>
            </w:r>
          </w:p>
        </w:tc>
        <w:tc>
          <w:tcPr>
            <w:tcW w:w="2433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5 532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—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5 532</w:t>
            </w:r>
          </w:p>
        </w:tc>
      </w:tr>
      <w:tr>
        <w:tc>
          <w:tcPr>
            <w:tcW w:w="280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sz w:val="18"/>
                <w:b/>
              </w:rPr>
              <w:t xml:space="preserve">SSTF</w:t>
            </w:r>
          </w:p>
        </w:tc>
        <w:tc>
          <w:tcPr>
            <w:tcW w:w="2433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4 612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—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4 612</w:t>
            </w:r>
          </w:p>
        </w:tc>
      </w:tr>
      <w:tr>
        <w:tc>
          <w:tcPr>
            <w:tcW w:w="2808" w:type="dxa"/>
            <w:tcBorders>
              <w:top w:val="single" w:sz="2" w:space="0" w:color="C9CED6"/>
              <w:bottom w:val="single" w:sz="2" w:space="0" w:color="C9CED6"/>
            </w:tcBorders>
            <w:shd w:val="clear" w:fill="F6E9E1"/>
            <w:vAlign w:val="center"/>
          </w:tcPr>
          <w:p>
            <w:pPr>
              <w:jc w:val="left"/>
              <w:spacing w:before="50" w:after="50"/>
            </w:pPr>
            <w:r>
              <w:rPr>
                <w:sz w:val="18"/>
                <w:b/>
              </w:rPr>
              <w:t xml:space="preserve">SCAN</w:t>
            </w:r>
          </w:p>
        </w:tc>
        <w:tc>
          <w:tcPr>
            <w:tcW w:w="2433" w:type="dxa"/>
            <w:tcBorders>
              <w:top w:val="single" w:sz="2" w:space="0" w:color="C9CED6"/>
              <w:bottom w:val="single" w:sz="2" w:space="0" w:color="C9CED6"/>
            </w:tcBorders>
            <w:shd w:val="clear" w:fill="F6E9E1"/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4 268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2" w:space="0" w:color="C9CED6"/>
            </w:tcBorders>
            <w:shd w:val="clear" w:fill="F6E9E1"/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—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2" w:space="0" w:color="C9CED6"/>
            </w:tcBorders>
            <w:shd w:val="clear" w:fill="F6E9E1"/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4 268</w:t>
            </w:r>
          </w:p>
        </w:tc>
      </w:tr>
      <w:tr>
        <w:tc>
          <w:tcPr>
            <w:tcW w:w="2808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left"/>
              <w:spacing w:before="50" w:after="50"/>
            </w:pPr>
            <w:r>
              <w:rPr>
                <w:sz w:val="18"/>
                <w:b/>
              </w:rPr>
              <w:t xml:space="preserve">C-SCAN</w:t>
            </w:r>
          </w:p>
        </w:tc>
        <w:tc>
          <w:tcPr>
            <w:tcW w:w="2433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3 768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3 998</w:t>
            </w:r>
          </w:p>
        </w:tc>
        <w:tc>
          <w:tcPr>
            <w:tcW w:w="2059" w:type="dxa"/>
            <w:tcBorders>
              <w:top w:val="single" w:sz="2" w:space="0" w:color="C9CED6"/>
              <w:bottom w:val="single" w:sz="2" w:space="0" w:color="C9CED6"/>
            </w:tcBorders>
            <w:vAlign w:val="center"/>
          </w:tcPr>
          <w:p>
            <w:pPr>
              <w:jc w:val="right"/>
              <w:spacing w:before="50" w:after="50"/>
            </w:pPr>
            <w:r>
              <w:rPr>
                <w:sz w:val="18"/>
                <w:rFonts w:ascii="Segoe Print" w:hAnsi="Segoe Print"/>
              </w:rPr>
              <w:t xml:space="preserve">7 766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>SCAN es la que menos mueve el brazo con 4 268 cilindros y FIFO la que más con 5 532. C-SCAN sale en 7 766 si se cobra el retorno completo, pero descontando el parking hace el menor trabajo útil de las cuatro: 3 768.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Print" w:hAnsi="Segoe Print"/>
        <w:sz w:val="19"/>
      </w:rPr>
    </w:rPrDefault>
    <w:pPrDefault>
      <w:pPr>
        <w:spacing w:line="300" w:lineRule="auto"/>
      </w:pPr>
    </w:pPrDefault>
  </w:docDefaults>
  <w:style w:type="paragraph" w:default="1" w:styleId="Normal">
    <w:name w:val="Normal"/>
  </w:style>
  <w:style w:type="paragraph" w:styleId="Ttl">
    <w:name w:val="Title"/>
    <w:basedOn w:val="Normal"/>
    <w:pPr>
      <w:keepNext/>
      <w:spacing w:before="0" w:after="60"/>
    </w:pPr>
    <w:rPr>
      <w:rFonts w:ascii="Segoe Print" w:hAnsi="Segoe Print"/>
      <w:b/>
      <w:color w:val="1A1D22"/>
      <w:sz w:val="52"/>
    </w:rPr>
  </w:style>
  <w:style w:type="paragraph" w:styleId="Sub">
    <w:name w:val="Subtitle"/>
    <w:basedOn w:val="Normal"/>
    <w:pPr>
      <w:keepNext/>
      <w:spacing w:before="0" w:after="240"/>
    </w:pPr>
    <w:rPr>
      <w:rFonts w:ascii="Segoe Print" w:hAnsi="Segoe Print"/>
      <w:color w:val="6E7683"/>
      <w:sz w:val="22"/>
    </w:rPr>
  </w:style>
  <w:style w:type="paragraph" w:styleId="Heading1">
    <w:name w:val="heading 1"/>
    <w:basedOn w:val="Normal"/>
    <w:pPr>
      <w:keepNext/>
      <w:spacing w:before="240" w:after="90"/>
    </w:pPr>
    <w:rPr>
      <w:rFonts w:ascii="Segoe Print" w:hAnsi="Segoe Print"/>
      <w:b/>
      <w:color w:val="B0302A"/>
      <w:sz w:val="30"/>
    </w:rPr>
  </w:style>
  <w:style w:type="paragraph" w:styleId="Heading2">
    <w:name w:val="heading 2"/>
    <w:basedOn w:val="Normal"/>
    <w:pPr>
      <w:keepNext/>
      <w:spacing w:before="160" w:after="60"/>
    </w:pPr>
    <w:rPr>
      <w:rFonts w:ascii="Segoe Print" w:hAnsi="Segoe Print"/>
      <w:b/>
      <w:color w:val="1C377A"/>
      <w:sz w:val="22"/>
    </w:rPr>
  </w:style>
  <w:style w:type="paragraph" w:styleId="Cap">
    <w:name w:val="caption"/>
    <w:basedOn w:val="Normal"/>
    <w:pPr>
      <w:keepNext/>
      <w:spacing w:before="0" w:after="200"/>
    </w:pPr>
    <w:rPr>
      <w:rFonts w:ascii="Segoe Print" w:hAnsi="Segoe Print"/>
      <w:i/>
      <w:color w:val="6E7683"/>
      <w:sz w:val="17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Relationship Id="rIdImg4" Type="http://schemas.openxmlformats.org/officeDocument/2006/relationships/image" Target="media/img4.png"/><Relationship Id="rIdImg5" Type="http://schemas.openxmlformats.org/officeDocument/2006/relationships/image" Target="media/img5.png"/></Relationships>
</file>