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86100" cy="901700"/>
            <wp:effectExtent b="0" l="0" r="0" t="0"/>
            <wp:docPr descr="Home | Universidad Manuela Beltrán | UMB Virtual" id="1" name="image1.png"/>
            <a:graphic>
              <a:graphicData uri="http://schemas.openxmlformats.org/drawingml/2006/picture">
                <pic:pic>
                  <pic:nvPicPr>
                    <pic:cNvPr descr="Home | Universidad Manuela Beltrán | UMB Virtu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TALLER Crear Módulo CRUD con Jakarta EE y JSF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80" w:lineRule="auto"/>
        <w:ind w:firstLine="700"/>
        <w:jc w:val="center"/>
        <w:rPr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Castro González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Manuela Beltrán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WEB II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Eduardo Mujica Reyes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de septiembre del 2025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Manual de Construcción y Despliegue de la Aplicación Web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crud-empleados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Introducción</w:t>
        <w:br w:type="textWrapping"/>
        <w:t xml:space="preserve"> Este manual describe la construcción, configuración y despliegue de la aplicación web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crud-empleados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un sistema CRUD para gestionar empleados, utilizando tecnologías modernas y estándares de la industria: Jakarta EE 10, JSF 4, JPA 3, CDI 4, WildFly y PostgreSQL en contenedor Docker.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Metodología y Tecnologías Seleccionadas</w:t>
        <w:br w:type="textWrapping"/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1.1044118400605"/>
        <w:gridCol w:w="6524.407399183563"/>
        <w:tblGridChange w:id="0">
          <w:tblGrid>
            <w:gridCol w:w="2501.1044118400605"/>
            <w:gridCol w:w="6524.4073991835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Tecnología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Jakarta EE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base para desarrollo de aplicaciones empresariales Java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JSF 4 / Facelets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Framework web para interfaces de 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JPA 3 / Hibernate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Persistencia de datos y mapeo objeto-relacional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CDI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Inyección de dependencias y gestión de ciclo de vida de componentes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WildFly 26+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Servidor de aplicaciones Jakarta EE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PostgreSQL 15 (Docker)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 de datos relacional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Apache Maven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Gestión de dependencias y compilación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NetBeans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 con soporte Maven y Jakarta EE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Configuración del Entorno de Desarrollo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JDK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Java 23. Verificación: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-version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NetBeans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 para desarrollo y edición.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Integrado en NetBeans. Verificación: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-v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WildFly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Servidor de aplicaciones Jakarta EE.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 PostgreSQL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 run --name postgres-container \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-e POSTGRES_USER=miusuario \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-e POSTGRES_PASSWORD=clave123 \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-e POSTGRES_DB=erp_hr_db \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-p 5432:5432 -d postgres:15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Estructura del Proyecto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crud-empleados</w:t>
        <w:br w:type="textWrapping"/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crud-empleados/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 Web Pages/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 WEB-INF/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    └─ employees.xhtml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 Source Packages/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 com.unimanuela.erp.hr.app/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    ├─ Employee.java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    ├─ EmployeeBean.java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    └─ EmployeeService.java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 src/main/resources/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 META-INF/persistence.xml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 Dependencies/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 Java Dependencies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 Project Files/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├─ pom.xml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 nb-configuration.xml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Configuración de Persistencia (JPA)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Employee.java</w:t>
        <w:br w:type="textWrapping"/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@Entity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@Table(name = "employees")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Employee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@Id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Long id;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@Column(name="first_name", nullable=false)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firstName;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@Column(name="last_name", nullable=false)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lastName;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@Column(nullable=false, unique=true)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email;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position;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@Column(name="hire_date", nullable=false)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LocalDate hireDate;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Getters y Setters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persistence.xml</w:t>
        <w:br w:type="textWrapping"/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&lt;persistence-unit name="erp-hr-pu" transaction-type="JTA"&gt;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&lt;jta-data-source&gt;java:jboss/datasources/ErpHrDS&lt;/jta-data-source&gt;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&lt;properties&gt;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name="hibernate.hbm2ddl.auto" value="update"/&gt;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name="hibernate.show_sql" value="true"/&gt;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&lt;/properties&gt;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&lt;/persistence-unit&gt;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Configuración de DataSource en WildFly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ErpHrDS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JNDI Name: java:jboss/datasources/ErpHrDS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Connection URL: jdbc:postgresql://localhost:5432/erp_hr_db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Username: miusuario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Password: clave123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Lógica de Negocio (CDI + JPA)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EmployeeService.java</w:t>
        <w:br w:type="textWrapping"/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@ApplicationScoped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EmployeeService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@PersistenceContext(unitName = "erp-hr-pu")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EntityManager em;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em.createQuery("SELECT e FROM Employee e ORDER BY e.lastName", Employee.class).getResultList();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@Transactional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saveEmployee(Employee employee)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(employee.getId() == null) em.persist(employee);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em.merge(employee);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@Transactional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deleteEmployee(Long employeeId)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Employee emp = em.find(Employee.class, employeeId);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(emp != null) em.remove(emp);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Interfaz de Usuario y Backing Bean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EmployeeBean.java</w:t>
        <w:br w:type="textWrapping"/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@Named("employeeBean")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@ViewScoped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EmployeeBean implements Serializable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@Inject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EmployeeService service;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Employee selectedEmployee;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List&lt;Employee&gt; employeeList;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@PostConstruct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init()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selectedEmployee = new Employee();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employeeList = service.getAllEmployees();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save() { ...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delete(Long id) { ...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prepareNew() { selectedEmployee = new Employee(); 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employees.xhtml</w:t>
        <w:br w:type="textWrapping"/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&lt;h:form&gt;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&lt;h:panelGrid columns="2"&gt;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&lt;h:outputLabel for="firstName" value="Nombre:"/&gt;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&lt;h:inputText id="firstName" value="#{employeeBean.selectedEmployee.firstName}" required="true"/&gt;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...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&lt;/h:panelGrid&gt;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&lt;h:commandButton value="Guardar" action="#{employeeBean.save}"/&gt;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&lt;/h:form&gt;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&lt;h:dataTable value="#{employeeBean.employeeList}" var="emp"&gt;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&lt;h:column&gt;#{emp.id}&lt;/h:column&gt;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...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&lt;/h:dataTable&gt;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Compilación y Despliegue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Compilar y empaquetar WAR: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clean package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Desplegar en WildFly: copiar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crud-empleados.war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standalone/deployments/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http://localhost:8080/crud-empleados/employees.xhtml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Conclusión</w:t>
        <w:br w:type="textWrapping"/>
        <w:t xml:space="preserve"> La aplicación integra un stack moderno Jakarta EE con persistencia en PostgreSQL mediante contenedor Docker. Cumple con las mejores prácticas y estándares de la industria.</w:t>
        <w:br w:type="textWrapping"/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