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Reporte Ejecutivo de Gobernanza TIC</w:t>
      </w:r>
      <w:bookmarkEnd w:id="0"/>
    </w:p>
    <w:p>
      <w:pPr>
        <w:jc w:val="center"/>
      </w:pPr>
      <w:r>
        <w:rPr>
          <w:i w:val="1"/>
          <w:iCs w:val="1"/>
        </w:rPr>
        <w:t xml:space="preserve">Periodo: February 2026</w:t>
      </w:r>
    </w:p>
    <w:p/>
    <w:p>
      <w:pPr>
        <w:pStyle w:val="Heading2"/>
      </w:pPr>
      <w:bookmarkStart w:id="1" w:name="_Toc1"/>
      <w:r>
        <w:t>1. Resumen de Salud Institucional</w:t>
      </w:r>
      <w:bookmarkEnd w:id="1"/>
    </w:p>
    <w:p>
      <w:pPr/>
      <w:r>
        <w:rPr>
          <w:b w:val="1"/>
          <w:bCs w:val="1"/>
        </w:rPr>
        <w:t xml:space="preserve">Índice Global de Salud TI: </w:t>
      </w:r>
    </w:p>
    <w:p>
      <w:pPr>
        <w:jc w:val="center"/>
      </w:pPr>
      <w:r>
        <w:pict>
          <v:shape type="#_x0000_t75" stroked="f" style="width:120pt; height:12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/>
      <w:r>
        <w:rPr/>
        <w:t xml:space="preserve">Distribución de Excelencia:</w:t>
      </w:r>
    </w:p>
    <w:p>
      <w:pPr>
        <w:jc w:val="center"/>
      </w:pPr>
      <w:r>
        <w:pict>
          <v:shape type="#_x0000_t75" stroked="f" style="width:350pt; height:373.57512953368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Heading2"/>
      </w:pPr>
      <w:bookmarkStart w:id="2" w:name="_Toc2"/>
      <w:r>
        <w:t>2. Indicadores por Pilar Estratégico</w:t>
      </w:r>
      <w:bookmarkEnd w:id="2"/>
    </w:p>
    <w:p>
      <w:pPr/>
      <w:r>
        <w:rPr/>
        <w:t xml:space="preserve">• Portafolio de Proyectos: 100% de salud promedio.</w:t>
      </w:r>
    </w:p>
    <w:p>
      <w:pPr/>
      <w:r>
        <w:rPr/>
        <w:t xml:space="preserve">  - Proyectos Críticos: 0</w:t>
      </w:r>
    </w:p>
    <w:p>
      <w:pPr/>
      <w:r>
        <w:rPr/>
        <w:t xml:space="preserve">• Infraestructura (SLA): 100%</w:t>
      </w:r>
    </w:p>
    <w:p>
      <w:pPr/>
      <w:r>
        <w:rPr/>
        <w:t xml:space="preserve">• Cumplimiento FURAG: 0.6%</w:t>
      </w:r>
    </w:p>
    <w:p>
      <w:pPr>
        <w:pStyle w:val="Heading2"/>
      </w:pPr>
      <w:bookmarkStart w:id="3" w:name="_Toc3"/>
      <w:r>
        <w:t>4. Análisis de Carga de Equipo</w:t>
      </w:r>
      <w:bookmarkEnd w:id="3"/>
    </w:p>
    <w:p>
      <w:pPr>
        <w:jc w:val="center"/>
      </w:pPr>
      <w:r>
        <w:pict>
          <v:shape type="#_x0000_t75" stroked="f" style="width:400pt; height:173.22834645669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40"/>
    </w:pPr>
    <w:rPr>
      <w:color w:val="0f172a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200" w:after="100"/>
    </w:pPr>
    <w:rPr>
      <w:color w:val="334155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2026-02-26T13:43:07+00:00</dcterms:created>
  <dcterms:modified xsi:type="dcterms:W3CDTF">2026-02-26T13:43:07+00:00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