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06739" w14:textId="77777777" w:rsidR="0093415A" w:rsidRDefault="0093415A">
      <w:pPr>
        <w:spacing w:after="240"/>
      </w:pPr>
    </w:p>
    <w:p w14:paraId="6674AC07" w14:textId="77777777" w:rsidR="0093415A" w:rsidRDefault="00000000">
      <w:pPr>
        <w:spacing w:after="160"/>
        <w:jc w:val="center"/>
      </w:pPr>
      <w:r>
        <w:rPr>
          <w:b/>
          <w:bCs/>
          <w:color w:val="1F3864"/>
          <w:sz w:val="52"/>
          <w:szCs w:val="52"/>
        </w:rPr>
        <w:t>LogiTrack</w:t>
      </w:r>
    </w:p>
    <w:p w14:paraId="24F87CD5" w14:textId="77777777" w:rsidR="0093415A" w:rsidRDefault="00000000">
      <w:pPr>
        <w:spacing w:after="80"/>
        <w:jc w:val="center"/>
      </w:pPr>
      <w:r>
        <w:rPr>
          <w:b/>
          <w:bCs/>
          <w:color w:val="2E75B6"/>
          <w:sz w:val="40"/>
          <w:szCs w:val="40"/>
        </w:rPr>
        <w:t>Informe de Dilema Ético</w:t>
      </w:r>
    </w:p>
    <w:p w14:paraId="6BD9CD9E" w14:textId="77777777" w:rsidR="0093415A" w:rsidRDefault="00000000">
      <w:pPr>
        <w:spacing w:after="80"/>
        <w:jc w:val="center"/>
      </w:pPr>
      <w:r>
        <w:rPr>
          <w:sz w:val="26"/>
          <w:szCs w:val="26"/>
        </w:rPr>
        <w:t>Ojo de Patrón y Ley 25.326 de Protección de Datos Personales</w:t>
      </w:r>
    </w:p>
    <w:p w14:paraId="1DB2293A" w14:textId="77777777" w:rsidR="0093415A" w:rsidRDefault="0093415A">
      <w:pPr>
        <w:spacing w:after="120"/>
      </w:pPr>
    </w:p>
    <w:p w14:paraId="56E44F3D" w14:textId="3291814E" w:rsidR="0093415A" w:rsidRPr="00DD3AD6" w:rsidRDefault="00000000">
      <w:pPr>
        <w:spacing w:after="40"/>
        <w:jc w:val="center"/>
        <w:rPr>
          <w:u w:val="single"/>
        </w:rPr>
      </w:pPr>
      <w:r>
        <w:rPr>
          <w:sz w:val="20"/>
          <w:szCs w:val="20"/>
        </w:rPr>
        <w:t>Proyecto: LogiTrack</w:t>
      </w:r>
    </w:p>
    <w:p w14:paraId="0FC0C7B5" w14:textId="77777777" w:rsidR="0093415A" w:rsidRDefault="00000000">
      <w:pPr>
        <w:spacing w:after="40"/>
        <w:jc w:val="center"/>
      </w:pPr>
      <w:r>
        <w:rPr>
          <w:sz w:val="20"/>
          <w:szCs w:val="20"/>
        </w:rPr>
        <w:t>Fecha: 08 de junio de 2026</w:t>
      </w:r>
    </w:p>
    <w:p w14:paraId="71BA177C" w14:textId="77777777" w:rsidR="0093415A" w:rsidRDefault="0093415A">
      <w:pPr>
        <w:spacing w:after="360"/>
      </w:pPr>
    </w:p>
    <w:p w14:paraId="0B23DAC0" w14:textId="77777777" w:rsidR="0093415A" w:rsidRDefault="00000000">
      <w:pPr>
        <w:pStyle w:val="Ttulo1"/>
        <w:pBdr>
          <w:bottom w:val="single" w:sz="8" w:space="0" w:color="2E75B6"/>
        </w:pBdr>
        <w:shd w:val="clear" w:color="auto" w:fill="1F3864"/>
        <w:ind w:left="200" w:right="200"/>
      </w:pPr>
      <w:r>
        <w:t>Parte 1 — La Ley 25.326 y el Dilema Ético</w:t>
      </w:r>
    </w:p>
    <w:p w14:paraId="798B9E09" w14:textId="77777777" w:rsidR="0093415A" w:rsidRDefault="0093415A">
      <w:pPr>
        <w:spacing w:after="120"/>
      </w:pPr>
    </w:p>
    <w:p w14:paraId="7C3AB880" w14:textId="77777777" w:rsidR="0093415A" w:rsidRDefault="00000000">
      <w:pPr>
        <w:spacing w:before="80" w:after="140"/>
        <w:jc w:val="both"/>
      </w:pPr>
      <w:r>
        <w:t>La Ley 25.326 de Protección de Datos Personales es la norma argentina que regula cómo las organizaciones pueden recolectar, almacenar y usar información sobre personas físicas. No es una ley técnica: es una declaración de derechos. El principio que la atraviesa es simple: los datos de una persona le pertenecen a esa persona, y cualquier organización que los use debe justificar por qué, para qué, durante cuánto tiempo y con el consentimiento de quién.</w:t>
      </w:r>
    </w:p>
    <w:p w14:paraId="73C502CE" w14:textId="77777777" w:rsidR="0093415A" w:rsidRDefault="00000000">
      <w:pPr>
        <w:spacing w:before="80" w:after="140"/>
        <w:jc w:val="both"/>
      </w:pPr>
      <w:r>
        <w:t>La ley distingue entre datos comunes —nombre, dirección, correo— y datos sensibles, que reciben protección máxima. Son sensibles los datos que revelan origen racial, creencias religiosas, opiniones políticas y, especialmente, el estado de salud. No hace falta un diagnóstico médico para que un dato sea "de salud": cualquier indicador que refleje el estado físico o mental de una persona cae bajo esa categoría.</w:t>
      </w:r>
    </w:p>
    <w:p w14:paraId="68097FDC" w14:textId="77777777" w:rsidR="0093415A" w:rsidRDefault="00000000">
      <w:pPr>
        <w:spacing w:before="80" w:after="140"/>
        <w:jc w:val="both"/>
      </w:pPr>
      <w:r>
        <w:t xml:space="preserve">Aquí aparece la primera tensión: </w:t>
      </w:r>
      <w:r>
        <w:rPr>
          <w:b/>
          <w:bCs/>
        </w:rPr>
        <w:t>la fatiga es salud.</w:t>
      </w:r>
      <w:r>
        <w:t xml:space="preserve"> Evaluar si un conductor está fatigado antes de salir a la ruta equivale a evaluar su estado físico en ese momento. El resultado de esa evaluación —aunque sea un número, un puntaje— es un dato sensible bajo la ley.</w:t>
      </w:r>
    </w:p>
    <w:p w14:paraId="4F7B11D5" w14:textId="77777777" w:rsidR="0093415A" w:rsidRDefault="0093415A">
      <w:pPr>
        <w:spacing w:after="120"/>
      </w:pPr>
    </w:p>
    <w:p w14:paraId="3F67FC55" w14:textId="77777777" w:rsidR="0093415A" w:rsidRDefault="00000000">
      <w:pPr>
        <w:pStyle w:val="Ttulo2"/>
        <w:pBdr>
          <w:bottom w:val="single" w:sz="4" w:space="0" w:color="2E75B6"/>
        </w:pBdr>
      </w:pPr>
      <w:r>
        <w:t>Marco legal aplicable</w:t>
      </w:r>
    </w:p>
    <w:p w14:paraId="13482E8F" w14:textId="77777777" w:rsidR="0093415A" w:rsidRDefault="00000000">
      <w:pPr>
        <w:spacing w:before="80" w:after="140"/>
        <w:jc w:val="both"/>
      </w:pPr>
      <w:r>
        <w:t>Las disposiciones más relevantes de la Ley 25.326 para este caso son:</w:t>
      </w:r>
    </w:p>
    <w:p w14:paraId="532EEA15" w14:textId="77777777" w:rsidR="0093415A" w:rsidRDefault="0093415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3415A" w14:paraId="6E759B3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49D70211" w14:textId="77777777" w:rsidR="0093415A" w:rsidRDefault="00000000">
            <w:r>
              <w:rPr>
                <w:b/>
                <w:bCs/>
                <w:color w:val="FFFFFF"/>
                <w:sz w:val="20"/>
                <w:szCs w:val="20"/>
              </w:rPr>
              <w:t>Artículo</w:t>
            </w:r>
          </w:p>
        </w:tc>
        <w:tc>
          <w:tcPr>
            <w:tcW w:w="7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877293B" w14:textId="77777777" w:rsidR="0093415A" w:rsidRDefault="00000000">
            <w:r>
              <w:rPr>
                <w:b/>
                <w:bCs/>
                <w:color w:val="FFFFFF"/>
                <w:sz w:val="20"/>
                <w:szCs w:val="20"/>
              </w:rPr>
              <w:t>Obligación relevante</w:t>
            </w:r>
          </w:p>
        </w:tc>
      </w:tr>
      <w:tr w:rsidR="0093415A" w14:paraId="593E88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D08491" w14:textId="77777777" w:rsidR="0093415A" w:rsidRDefault="00000000">
            <w:r>
              <w:rPr>
                <w:sz w:val="20"/>
                <w:szCs w:val="20"/>
              </w:rPr>
              <w:t>Art. 2</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7A849E" w14:textId="77777777" w:rsidR="0093415A" w:rsidRDefault="00000000">
            <w:r>
              <w:rPr>
                <w:sz w:val="20"/>
                <w:szCs w:val="20"/>
              </w:rPr>
              <w:t>Define los "datos sensibles": incluye el estado de salud. Un puntaje de fatiga —por ser indicador del estado físico de la persona— cae en esta categoría y recibe la máxima protección de la ley.</w:t>
            </w:r>
          </w:p>
        </w:tc>
      </w:tr>
      <w:tr w:rsidR="0093415A" w14:paraId="151F1F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F01AE33" w14:textId="77777777" w:rsidR="0093415A" w:rsidRDefault="00000000">
            <w:r>
              <w:rPr>
                <w:sz w:val="20"/>
                <w:szCs w:val="20"/>
              </w:rPr>
              <w:t>Art. 5</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E84BBA3" w14:textId="77777777" w:rsidR="0093415A" w:rsidRDefault="00000000">
            <w:r>
              <w:rPr>
                <w:sz w:val="20"/>
                <w:szCs w:val="20"/>
              </w:rPr>
              <w:t>El consentimiento para tratar datos sensibles debe ser libre, expreso e informado. "Libre" significa que la persona puede negarse sin sufrir consecuencias. En un contexto laboral, este punto genera el dilema central del informe.</w:t>
            </w:r>
          </w:p>
        </w:tc>
      </w:tr>
      <w:tr w:rsidR="0093415A" w14:paraId="6CEEFC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FFB012" w14:textId="77777777" w:rsidR="0093415A" w:rsidRDefault="00000000">
            <w:r>
              <w:rPr>
                <w:sz w:val="20"/>
                <w:szCs w:val="20"/>
              </w:rPr>
              <w:t>Art. 6</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12951B" w14:textId="77777777" w:rsidR="0093415A" w:rsidRDefault="00000000">
            <w:r>
              <w:rPr>
                <w:sz w:val="20"/>
                <w:szCs w:val="20"/>
              </w:rPr>
              <w:t>Antes de recolectar datos, el responsable debe informar: quién los trata, para qué, a quiénes se transmiten y cuáles son los derechos del titular. La información debe ser previa y clara.</w:t>
            </w:r>
          </w:p>
        </w:tc>
      </w:tr>
      <w:tr w:rsidR="0093415A" w14:paraId="2C6F60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74F51F4" w14:textId="77777777" w:rsidR="0093415A" w:rsidRDefault="00000000">
            <w:r>
              <w:rPr>
                <w:sz w:val="20"/>
                <w:szCs w:val="20"/>
              </w:rPr>
              <w:t>Art. 7</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907D47C" w14:textId="77777777" w:rsidR="0093415A" w:rsidRDefault="00000000">
            <w:r>
              <w:rPr>
                <w:sz w:val="20"/>
                <w:szCs w:val="20"/>
              </w:rPr>
              <w:t xml:space="preserve">Los datos de salud solo pueden tratarse con consentimiento expreso o cuando "razones de interés general lo autoricen". La seguridad vial puede encuadrarse </w:t>
              <w:lastRenderedPageBreak/>
              <w:t>en esta segunda excepción, pero el tratamiento debe ser proporcional a esa finalidad.</w:t>
            </w:r>
          </w:p>
        </w:tc>
      </w:tr>
      <w:tr w:rsidR="0093415A" w14:paraId="732C10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D6FFD2" w14:textId="77777777" w:rsidR="0093415A" w:rsidRDefault="00000000">
            <w:r>
              <w:rPr>
                <w:sz w:val="20"/>
                <w:szCs w:val="20"/>
              </w:rPr>
              <w:lastRenderedPageBreak/>
              <w:t>Art. 4</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2100E5" w14:textId="77777777" w:rsidR="0093415A" w:rsidRDefault="00000000">
            <w:r>
              <w:rPr>
                <w:sz w:val="20"/>
                <w:szCs w:val="20"/>
              </w:rPr>
              <w:t>Los datos deben ser adecuados, pertinentes y no excesivos respecto de la finalidad. Deben ser exactos y conservarse solo durante el tiempo necesario para el fin que justificó su recolección.</w:t>
            </w:r>
          </w:p>
        </w:tc>
      </w:tr>
      <w:tr w:rsidR="0093415A" w14:paraId="59268A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C7C519D" w14:textId="77777777" w:rsidR="0093415A" w:rsidRDefault="00000000">
            <w:r>
              <w:rPr>
                <w:sz w:val="20"/>
                <w:szCs w:val="20"/>
              </w:rPr>
              <w:t>Art. 12</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853FD3B" w14:textId="77777777" w:rsidR="0093415A" w:rsidRDefault="00000000">
            <w:r>
              <w:rPr>
                <w:sz w:val="20"/>
                <w:szCs w:val="20"/>
              </w:rPr>
              <w:t>Prohíbe transferir datos personales a países que no garanticen un nivel de protección adecuado. Se aplica cuando los datos se alojan en servidores extranjeros (por ejemplo, proveedores de nube en Estados Unidos).</w:t>
            </w:r>
          </w:p>
        </w:tc>
      </w:tr>
      <w:tr w:rsidR="0093415A" w14:paraId="70F483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97DC85" w14:textId="77777777" w:rsidR="0093415A" w:rsidRDefault="00000000">
            <w:r>
              <w:rPr>
                <w:sz w:val="20"/>
                <w:szCs w:val="20"/>
              </w:rPr>
              <w:t>Arts. 14–16</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F3AB03" w14:textId="77777777" w:rsidR="0093415A" w:rsidRDefault="00000000">
            <w:r>
              <w:rPr>
                <w:sz w:val="20"/>
                <w:szCs w:val="20"/>
              </w:rPr>
              <w:t>El titular tiene derecho a acceder a sus datos, corregirlos y solicitar su eliminación ("derecho al olvido"). El responsable debe facilitar el ejercicio de estos derechos de forma gratuita y en plazo razonable.</w:t>
            </w:r>
          </w:p>
        </w:tc>
      </w:tr>
    </w:tbl>
    <w:p w14:paraId="6F78119E" w14:textId="77777777" w:rsidR="0093415A" w:rsidRDefault="0093415A">
      <w:pPr>
        <w:spacing w:after="240"/>
      </w:pPr>
    </w:p>
    <w:p w14:paraId="6C48C7B7" w14:textId="77777777" w:rsidR="0093415A" w:rsidRDefault="00000000">
      <w:pPr>
        <w:pStyle w:val="Ttulo2"/>
        <w:pBdr>
          <w:bottom w:val="single" w:sz="4" w:space="0" w:color="2E75B6"/>
        </w:pBdr>
      </w:pPr>
      <w:r>
        <w:t>El dilema central: consentimiento en el trabajo</w:t>
      </w:r>
    </w:p>
    <w:p w14:paraId="3F22B848" w14:textId="77777777" w:rsidR="0093415A" w:rsidRDefault="00000000">
      <w:pPr>
        <w:spacing w:before="80" w:after="140"/>
        <w:jc w:val="both"/>
      </w:pPr>
      <w:r>
        <w:t>La ley exige que el consentimiento para tratar datos sensibles sea libre, expreso e informado. Libre significa que la persona puede decir que no sin sufrir consecuencias. Informado significa que entiende qué se hace con sus datos, para qué y quién es el responsable.</w:t>
      </w:r>
    </w:p>
    <w:p w14:paraId="3204854A" w14:textId="77777777" w:rsidR="0093415A" w:rsidRDefault="00000000">
      <w:pPr>
        <w:spacing w:before="80" w:after="140"/>
        <w:jc w:val="both"/>
      </w:pPr>
      <w:r>
        <w:t>El problema ético aparece cuando ese consentimiento se pide dentro de una relación laboral. Un trabajador que depende de ese trabajo para vivir nunca puede consentir con verdadera libertad: si rechazar implica no poder salir a trabajar ese día, el "no" se convierte en una opción teórica. El consentimiento existe en el papel, pero no en los hechos.</w:t>
      </w:r>
    </w:p>
    <w:p w14:paraId="727A2745" w14:textId="77777777" w:rsidR="0093415A" w:rsidRDefault="0093415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415A" w14:paraId="612C5481" w14:textId="77777777">
        <w:tblPrEx>
          <w:tblCellMar>
            <w:top w:w="0" w:type="dxa"/>
            <w:bottom w:w="0" w:type="dxa"/>
          </w:tblCellMar>
        </w:tblPrEx>
        <w:tc>
          <w:tcPr>
            <w:tcW w:w="9360" w:type="dxa"/>
            <w:tcBorders>
              <w:top w:val="none" w:sz="0" w:space="0" w:color="FFFFFF"/>
              <w:left w:val="single" w:sz="24" w:space="0" w:color="2E75B6"/>
              <w:bottom w:val="none" w:sz="0" w:space="0" w:color="FFFFFF"/>
              <w:right w:val="none" w:sz="0" w:space="0" w:color="FFFFFF"/>
            </w:tcBorders>
            <w:shd w:val="clear" w:color="auto" w:fill="D5E8F0"/>
            <w:tcMar>
              <w:top w:w="120" w:type="dxa"/>
              <w:left w:w="200" w:type="dxa"/>
              <w:bottom w:w="120" w:type="dxa"/>
              <w:right w:w="200" w:type="dxa"/>
            </w:tcMar>
          </w:tcPr>
          <w:p w14:paraId="53417588" w14:textId="77777777" w:rsidR="0093415A" w:rsidRDefault="00000000">
            <w:pPr>
              <w:spacing w:after="60"/>
            </w:pPr>
            <w:r>
              <w:rPr>
                <w:b/>
                <w:bCs/>
                <w:color w:val="1F3864"/>
              </w:rPr>
              <w:t>El dilema en una sola frase</w:t>
            </w:r>
          </w:p>
          <w:p w14:paraId="1146B8CD" w14:textId="77777777" w:rsidR="0093415A" w:rsidRDefault="00000000">
            <w:r>
              <w:rPr>
                <w:sz w:val="21"/>
                <w:szCs w:val="21"/>
              </w:rPr>
              <w:t>Sin obligatoriedad, la prueba de seguridad no tiene sentido: un conductor cansado simplemente la rechazaría y saldría igual. Pero con obligatoriedad, el consentimiento se convierte en una formalidad vacía, incompatible con el espíritu de la ley.</w:t>
            </w:r>
          </w:p>
        </w:tc>
      </w:tr>
    </w:tbl>
    <w:p w14:paraId="7CB2D65D" w14:textId="77777777" w:rsidR="0093415A" w:rsidRDefault="0093415A">
      <w:pPr>
        <w:spacing w:after="120"/>
      </w:pPr>
    </w:p>
    <w:p w14:paraId="73D6B780" w14:textId="77777777" w:rsidR="0093415A" w:rsidRDefault="00000000">
      <w:pPr>
        <w:spacing w:before="80" w:after="140"/>
        <w:jc w:val="both"/>
      </w:pPr>
      <w:r>
        <w:t>La salida ética a este dilema no es técnica. Es jurídica: encuadrar la prueba de fatiga no como un tratamiento de datos voluntario sino como una condición de aptitud laboral, respaldada por el deber del empleador de garantizar seguridad en el trabajo (Ley 19.587 de Higiene y Seguridad). Esto requiere que esté estipulado en el contrato de trabajo, de forma clara y previa al inicio de la relación laboral.</w:t>
      </w:r>
    </w:p>
    <w:p w14:paraId="0F4AA450" w14:textId="77777777" w:rsidR="0093415A" w:rsidRDefault="0093415A">
      <w:pPr>
        <w:spacing w:after="120"/>
      </w:pPr>
    </w:p>
    <w:p w14:paraId="3D8E3973" w14:textId="77777777" w:rsidR="0093415A" w:rsidRDefault="00000000">
      <w:pPr>
        <w:pStyle w:val="Ttulo2"/>
        <w:pBdr>
          <w:bottom w:val="single" w:sz="4" w:space="0" w:color="2E75B6"/>
        </w:pBdr>
      </w:pPr>
      <w:r>
        <w:t>Seguridad colectiva vs. privacidad individual</w:t>
      </w:r>
    </w:p>
    <w:p w14:paraId="143EC6F3" w14:textId="77777777" w:rsidR="0093415A" w:rsidRDefault="00000000">
      <w:pPr>
        <w:spacing w:before="80" w:after="140"/>
        <w:jc w:val="both"/>
      </w:pPr>
      <w:r>
        <w:t>Un conductor que sale fatigado no solo se pone en riesgo a sí mismo: pone en riesgo a peatones, otros conductores y la comunidad. La seguridad vial es un bien colectivo. Esto genera una segunda tensión ética: ¿puede el derecho individual a la privacidad ponerse por encima del derecho colectivo a la seguridad?</w:t>
      </w:r>
    </w:p>
    <w:p w14:paraId="47630768" w14:textId="77777777" w:rsidR="0093415A" w:rsidRDefault="00000000">
      <w:pPr>
        <w:spacing w:before="80" w:after="140"/>
        <w:jc w:val="both"/>
      </w:pPr>
      <w:r>
        <w:t>La ley argentina contempla esta posibilidad. El artículo 7 permite tratar datos sensibles cuando "razones de interés general así lo autoricen". La seguridad vial califica, pero requiere que el tratamiento sea proporcional: usar solo los datos estrictamente necesarios, durante el tiempo estrictamente necesario, para la finalidad estrictamente declarada. No se puede usar la excusa de la seguridad para construir un perfil laboral del trabajador.</w:t>
      </w:r>
    </w:p>
    <w:p w14:paraId="3D200449" w14:textId="77777777" w:rsidR="0093415A" w:rsidRDefault="0093415A">
      <w:pPr>
        <w:spacing w:after="120"/>
      </w:pPr>
    </w:p>
    <w:p w14:paraId="105146C1" w14:textId="77777777" w:rsidR="0093415A" w:rsidRDefault="00000000">
      <w:pPr>
        <w:pStyle w:val="Ttulo2"/>
        <w:pBdr>
          <w:bottom w:val="single" w:sz="4" w:space="0" w:color="2E75B6"/>
        </w:pBdr>
      </w:pPr>
      <w:r>
        <w:lastRenderedPageBreak/>
        <w:t>Vigilancia laboral y perfilado</w:t>
      </w:r>
    </w:p>
    <w:p w14:paraId="1914129D" w14:textId="77777777" w:rsidR="0093415A" w:rsidRDefault="00000000">
      <w:pPr>
        <w:spacing w:before="80" w:after="140"/>
        <w:jc w:val="both"/>
      </w:pPr>
      <w:r>
        <w:t>Cuando los controles de fatiga se acumulan a lo largo del tiempo, dejan de ser chequeos puntuales y se convierten en un historial. Ese historial puede revelar patrones: un conductor que repite bloqueos cada lunes por la mañana, o que muestra deterioro progresivo a lo largo de meses. Esta información tiene un valor enorme para la gestión de recursos humanos, pero también es potencialmente discriminatoria: podría usarse —consciente o inconscientemente— para no renovar contratos, reducir rutas o marginar trabajadores.</w:t>
      </w:r>
    </w:p>
    <w:p w14:paraId="321AC2DD" w14:textId="77777777" w:rsidR="0093415A" w:rsidRDefault="00000000">
      <w:pPr>
        <w:spacing w:before="80" w:after="140"/>
        <w:jc w:val="both"/>
      </w:pPr>
      <w:r>
        <w:t>La ley prohíbe usar los datos para una finalidad distinta a la declarada. Si la finalidad es la seguridad vial, el historial de fatiga no puede convertirse en insumo para decisiones de empleo. Este es un límite ético y legal que exige tanto diseño técnico como política interna de la organización.</w:t>
      </w:r>
    </w:p>
    <w:p w14:paraId="47B26A1B" w14:textId="77777777" w:rsidR="0093415A" w:rsidRDefault="0093415A">
      <w:pPr>
        <w:spacing w:after="120"/>
      </w:pPr>
    </w:p>
    <w:p w14:paraId="229D7523" w14:textId="77777777" w:rsidR="0093415A" w:rsidRDefault="00000000">
      <w:pPr>
        <w:pStyle w:val="Ttulo2"/>
        <w:pBdr>
          <w:bottom w:val="single" w:sz="4" w:space="0" w:color="2E75B6"/>
        </w:pBdr>
      </w:pPr>
      <w:r>
        <w:t>Dónde se guardan los datos</w:t>
      </w:r>
    </w:p>
    <w:p w14:paraId="0DA385B4" w14:textId="77777777" w:rsidR="0093415A" w:rsidRDefault="00000000">
      <w:pPr>
        <w:spacing w:before="80" w:after="140"/>
        <w:jc w:val="both"/>
      </w:pPr>
      <w:r>
        <w:t>La ley prohíbe transferir información a países que no garanticen un nivel de protección equivalente al argentino, salvo excepciones específicas. Muchas plataformas tecnológicas —bases de datos en la nube, servicios de inteligencia artificial— operan desde los Estados Unidos, que no cuenta con una legislación de protección de datos comparable. Cuando datos sensibles se almacenan en servidores extranjeros sin los resguardos adecuados, se produce una transferencia internacional que puede ser ilegal bajo la ley argentina.</w:t>
      </w:r>
    </w:p>
    <w:p w14:paraId="554CF087" w14:textId="77777777" w:rsidR="0093415A" w:rsidRDefault="0093415A">
      <w:pPr>
        <w:pageBreakBefore/>
      </w:pPr>
    </w:p>
    <w:p w14:paraId="03B45658" w14:textId="77777777" w:rsidR="0093415A" w:rsidRDefault="00000000">
      <w:pPr>
        <w:pStyle w:val="Ttulo1"/>
        <w:pBdr>
          <w:bottom w:val="single" w:sz="8" w:space="0" w:color="2E75B6"/>
        </w:pBdr>
        <w:shd w:val="clear" w:color="auto" w:fill="1F3864"/>
        <w:ind w:left="200" w:right="200"/>
      </w:pPr>
      <w:r>
        <w:t>Parte 2 — El Ojo de Patrón: propuesta y lo que construimos</w:t>
      </w:r>
    </w:p>
    <w:p w14:paraId="386125A4" w14:textId="77777777" w:rsidR="0093415A" w:rsidRDefault="0093415A">
      <w:pPr>
        <w:spacing w:after="120"/>
      </w:pPr>
    </w:p>
    <w:p w14:paraId="01EDDCD9" w14:textId="77777777" w:rsidR="0093415A" w:rsidRDefault="00000000">
      <w:pPr>
        <w:pStyle w:val="Ttulo2"/>
        <w:pBdr>
          <w:bottom w:val="single" w:sz="4" w:space="0" w:color="2E75B6"/>
        </w:pBdr>
      </w:pPr>
      <w:r>
        <w:t>Qué propusimos</w:t>
      </w:r>
    </w:p>
    <w:p w14:paraId="1D3E2343" w14:textId="77777777" w:rsidR="0093415A" w:rsidRDefault="00000000">
      <w:pPr>
        <w:spacing w:before="80" w:after="140"/>
        <w:jc w:val="both"/>
      </w:pPr>
      <w:r>
        <w:t>El Ojo de Patrón es un sistema de control de aptitud para la conducción que los transportistas de LogiTrack deben completar antes de iniciar una ruta y, bajo ciertas condiciones, también durante el recorrido. La idea central es sencilla: antes de que un repartidor salga con mercancía a cargo, el sistema le hace una breve prueba para detectar si su nivel de alerta es el adecuado para conducir con seguridad.</w:t>
      </w:r>
    </w:p>
    <w:p w14:paraId="73DB7E2E" w14:textId="77777777" w:rsidR="0093415A" w:rsidRDefault="00000000">
      <w:pPr>
        <w:spacing w:before="80" w:after="140"/>
        <w:jc w:val="both"/>
      </w:pPr>
      <w:r>
        <w:t>La prueba puede ser de dos tipos: una muestra de voz —el conductor habla por unos segundos— o una prueba de reacción —toca la pantalla cuando aparece una señal—. El sistema analiza esos datos y produce un resultado: apto o bloqueado.</w:t>
      </w:r>
    </w:p>
    <w:p w14:paraId="4684AE6F" w14:textId="77777777" w:rsidR="0093415A" w:rsidRDefault="00000000">
      <w:pPr>
        <w:spacing w:before="80" w:after="140"/>
        <w:jc w:val="both"/>
      </w:pPr>
      <w:r>
        <w:t>Además, si el conductor lleva mucho tiempo en ruta o se detiene durante un período prolongado, el sistema puede solicitar un re-chequeo antes de que continúe. Si el resultado es negativo, la ruta se pausa y un supervisor debe intervenir para resolverlo.</w:t>
      </w:r>
    </w:p>
    <w:p w14:paraId="6B24BEC0" w14:textId="77777777" w:rsidR="0093415A" w:rsidRDefault="0093415A">
      <w:pPr>
        <w:spacing w:after="120"/>
      </w:pPr>
    </w:p>
    <w:p w14:paraId="7BB6B133" w14:textId="77777777" w:rsidR="0093415A" w:rsidRDefault="00000000">
      <w:pPr>
        <w:pStyle w:val="Ttulo2"/>
        <w:pBdr>
          <w:bottom w:val="single" w:sz="4" w:space="0" w:color="2E75B6"/>
        </w:pBdr>
      </w:pPr>
      <w:r>
        <w:t>Cómo abordamos la Ley 25.326 en el diseño</w:t>
      </w:r>
    </w:p>
    <w:p w14:paraId="2AB8EFA2" w14:textId="77777777" w:rsidR="0093415A" w:rsidRDefault="00000000">
      <w:pPr>
        <w:spacing w:before="80" w:after="140"/>
        <w:jc w:val="both"/>
      </w:pPr>
      <w:r>
        <w:t>Desde el primer momento reconocimos que los datos que genera este sistema son sensibles. Se tomaron varias decisiones de diseño para cumplir con la ley:</w:t>
      </w:r>
    </w:p>
    <w:p w14:paraId="13CDE84E" w14:textId="77777777" w:rsidR="0093415A" w:rsidRDefault="0093415A">
      <w:pPr>
        <w:spacing w:after="120"/>
      </w:pPr>
    </w:p>
    <w:p w14:paraId="5D55B2A1" w14:textId="77777777" w:rsidR="0093415A" w:rsidRDefault="00000000">
      <w:pPr>
        <w:pStyle w:val="Prrafodelista"/>
        <w:numPr>
          <w:ilvl w:val="0"/>
          <w:numId w:val="2"/>
        </w:numPr>
        <w:spacing w:before="60" w:after="60"/>
      </w:pPr>
      <w:r>
        <w:t>No guardamos el dato biométrico crudo. El audio de voz o los tiempos de reacción se evalúan en el momento y se descartan. Lo único que se almacena es el resultado numérico de la prueba y el veredicto. Nunca se guarda una grabación.</w:t>
      </w:r>
    </w:p>
    <w:p w14:paraId="3BB2B077" w14:textId="77777777" w:rsidR="0093415A" w:rsidRDefault="00000000">
      <w:pPr>
        <w:pStyle w:val="Prrafodelista"/>
        <w:numPr>
          <w:ilvl w:val="0"/>
          <w:numId w:val="2"/>
        </w:numPr>
        <w:spacing w:before="60" w:after="60"/>
      </w:pPr>
      <w:r>
        <w:t>El consentimiento es explícito e informado. Antes de la prueba, el conductor ve una pantalla que explica qué se evalúa, para qué, quién es el responsable y cuáles son sus derechos. Hay una versión registrada de ese texto para poder probar en cualquier momento qué se le comunicó al trabajador.</w:t>
      </w:r>
    </w:p>
    <w:p w14:paraId="5128A73C" w14:textId="77777777" w:rsidR="0093415A" w:rsidRDefault="00000000">
      <w:pPr>
        <w:pStyle w:val="Prrafodelista"/>
        <w:numPr>
          <w:ilvl w:val="0"/>
          <w:numId w:val="2"/>
        </w:numPr>
        <w:spacing w:before="60" w:after="60"/>
      </w:pPr>
      <w:r>
        <w:t>El conductor tiene derechos sobre sus datos. Desde su perfil puede consultar su historial de chequeos, solicitar la eliminación de sus registros y revocar el consentimiento.</w:t>
      </w:r>
    </w:p>
    <w:p w14:paraId="1FA4991E" w14:textId="77777777" w:rsidR="0093415A" w:rsidRDefault="00000000">
      <w:pPr>
        <w:pStyle w:val="Prrafodelista"/>
        <w:numPr>
          <w:ilvl w:val="0"/>
          <w:numId w:val="2"/>
        </w:numPr>
        <w:spacing w:before="60" w:after="60"/>
      </w:pPr>
      <w:r>
        <w:t>Los datos tienen fecha de vencimiento. Los registros se borran automáticamente después de un período configurable. No existe acumulación indefinida de información.</w:t>
      </w:r>
    </w:p>
    <w:p w14:paraId="0892D218" w14:textId="77777777" w:rsidR="0093415A" w:rsidRDefault="00000000">
      <w:pPr>
        <w:pStyle w:val="Prrafodelista"/>
        <w:numPr>
          <w:ilvl w:val="0"/>
          <w:numId w:val="2"/>
        </w:numPr>
        <w:spacing w:before="60" w:after="60"/>
      </w:pPr>
      <w:r>
        <w:t>Todo queda registrado en auditoría. Cada acción relevante —quién dio consentimiento, cuándo se realizó una prueba, quién liberó un bloqueo y por qué— queda registrada con fecha, hora y responsable.</w:t>
      </w:r>
    </w:p>
    <w:p w14:paraId="0AB1C201" w14:textId="77777777" w:rsidR="0093415A" w:rsidRDefault="0093415A">
      <w:pPr>
        <w:spacing w:after="120"/>
      </w:pPr>
    </w:p>
    <w:p w14:paraId="0AB1C202" w14:textId="77777777" w:rsidR="0093415A" w:rsidRDefault="00000000">
      <w:pPr>
        <w:pStyle w:val="Ttulo2"/>
        <w:pBdr>
          <w:bottom w:val="single" w:sz="4" w:space="0" w:color="2E75B6"/>
        </w:pBdr>
      </w:pPr>
      <w:r>
        <w:t>Procesamiento de voz por un proveedor externo (STT)</w:t>
      </w:r>
    </w:p>
    <w:p w14:paraId="0AB1C203" w14:textId="77777777" w:rsidR="0093415A" w:rsidRDefault="00000000">
      <w:pPr>
        <w:spacing w:before="80" w:after="140"/>
        <w:jc w:val="both"/>
      </w:pPr>
      <w:r>
        <w:t>Para que la prueba de voz funcione en todos los dispositivos —en particular en iPhone y iPad, donde el reconocimiento de voz del navegador no captura audio—, el sistema puede grabar una muestra breve de voz y enviarla a un servicio externo de transcripción (Speech-to-Text) que la convierte en texto para compararla con la frase solicitada. Ese servicio —por ejemplo Groq, que ejecuta el modelo Whisper— opera desde servidores ubicados fuera de Argentina.</w:t>
      </w:r>
    </w:p>
    <w:p w14:paraId="0AB1C204" w14:textId="77777777" w:rsidR="0093415A" w:rsidRDefault="00000000">
      <w:pPr>
        <w:spacing w:before="80" w:after="140"/>
        <w:jc w:val="both"/>
      </w:pPr>
      <w:r>
        <w:t>Esto reintroduce dos cuestiones de la Ley 25.326. Primero, una transferencia internacional de un dato sensible: la voz es un dato biométrico y, al salir del país hacia un tercero, queda alcanzada por el artículo 12. Segundo, la intervención de un encargado de tratamiento externo, cuya actuación debe estar regulada por un acuerdo de procesamiento de datos.</w:t>
      </w:r>
    </w:p>
    <w:p w14:paraId="0AB1C205" w14:textId="77777777" w:rsidR="0093415A" w:rsidRDefault="00000000">
      <w:pPr>
        <w:spacing w:before="80" w:after="140"/>
        <w:jc w:val="both"/>
      </w:pPr>
      <w:r>
        <w:t>El diseño conserva los mismos recaudos que el resto del sistema: la muestra de voz se procesa de forma efímera —se transcribe y se descarta en el acto—, no se almacena ni en LogiTrack ni de forma persistente en el proveedor, y solo se guarda el puntaje de coincidencia. Aun así, durante ese instante el audio transita por un tercero en el exterior, por lo que su uso responsable exige: declararlo expresamente en el texto de consentimiento, firmar un acuerdo de procesamiento de datos con el proveedor, y ofrecer siempre la prueba de reacción como alternativa equivalente que no envía ningún dato a terceros.</w:t>
      </w:r>
    </w:p>
    <w:p w14:paraId="0AB1C206" w14:textId="77777777" w:rsidR="0093415A" w:rsidRDefault="00000000">
      <w:pPr>
        <w:spacing w:before="80" w:after="140"/>
        <w:jc w:val="both"/>
      </w:pPr>
      <w:r>
        <w:t>Como alternativa de máximo cumplimiento, la transcripción puede realizarse en infraestructura propia —un modelo de voz alojado en Argentina o en un país con protección equivalente—, evitando la transferencia internacional. Esta decisión depende del presupuesto y del nivel de exigencia que adopte la organización.</w:t>
      </w:r>
    </w:p>
    <w:p w14:paraId="03928D0F" w14:textId="77777777" w:rsidR="0093415A" w:rsidRDefault="0093415A">
      <w:pPr>
        <w:spacing w:after="120"/>
      </w:pPr>
    </w:p>
    <w:p w14:paraId="283A1D9E" w14:textId="77777777" w:rsidR="0093415A" w:rsidRDefault="00000000">
      <w:pPr>
        <w:pStyle w:val="Ttulo2"/>
        <w:pBdr>
          <w:bottom w:val="single" w:sz="4" w:space="0" w:color="2E75B6"/>
        </w:pBdr>
      </w:pPr>
      <w:r>
        <w:t>Lo que el sistema hace bien</w:t>
      </w:r>
    </w:p>
    <w:p w14:paraId="588EED78" w14:textId="77777777" w:rsidR="0093415A" w:rsidRDefault="0093415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93415A" w14:paraId="199DD6C9"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7E3901D6" w14:textId="77777777" w:rsidR="0093415A" w:rsidRDefault="00000000">
            <w:r>
              <w:rPr>
                <w:b/>
                <w:bCs/>
                <w:color w:val="FFFFFF"/>
                <w:sz w:val="20"/>
                <w:szCs w:val="20"/>
              </w:rPr>
              <w:lastRenderedPageBreak/>
              <w:t>Elemento</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6C086880" w14:textId="77777777" w:rsidR="0093415A" w:rsidRDefault="00000000">
            <w:r>
              <w:rPr>
                <w:b/>
                <w:bCs/>
                <w:color w:val="FFFFFF"/>
                <w:sz w:val="20"/>
                <w:szCs w:val="20"/>
              </w:rPr>
              <w:t>Cómo se implementa en el sistema</w:t>
            </w:r>
          </w:p>
        </w:tc>
      </w:tr>
      <w:tr w:rsidR="0093415A" w14:paraId="76A4A0A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45A03B" w14:textId="77777777" w:rsidR="0093415A" w:rsidRDefault="00000000">
            <w:r>
              <w:rPr>
                <w:sz w:val="20"/>
                <w:szCs w:val="20"/>
              </w:rPr>
              <w:t>Mínimo de datos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20CEA7" w14:textId="77777777" w:rsidR="0093415A" w:rsidRDefault="00000000">
            <w:r>
              <w:rPr>
                <w:sz w:val="20"/>
                <w:szCs w:val="20"/>
              </w:rPr>
              <w:t>Solo se guarda el resultado de la prueba (un puntaje numérico). El audio de voz y los tiempos de reacción se evalúan en el momento y se descartan de inmediato.</w:t>
            </w:r>
          </w:p>
        </w:tc>
      </w:tr>
      <w:tr w:rsidR="0093415A" w14:paraId="181AA0A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4B310AA" w14:textId="77777777" w:rsidR="0093415A" w:rsidRDefault="00000000">
            <w:r>
              <w:rPr>
                <w:sz w:val="20"/>
                <w:szCs w:val="20"/>
              </w:rPr>
              <w:t>Retención limitada</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4930B06" w14:textId="77777777" w:rsidR="0093415A" w:rsidRDefault="00000000">
            <w:r>
              <w:rPr>
                <w:sz w:val="20"/>
                <w:szCs w:val="20"/>
              </w:rPr>
              <w:t>Los registros tienen fecha de vencimiento. Se borran automáticamente una vez cumplido el período definido (por defecto, 90 días).</w:t>
            </w:r>
          </w:p>
        </w:tc>
      </w:tr>
      <w:tr w:rsidR="0093415A" w14:paraId="2952FC9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92C8DD" w14:textId="77777777" w:rsidR="0093415A" w:rsidRDefault="00000000">
            <w:r>
              <w:rPr>
                <w:sz w:val="20"/>
                <w:szCs w:val="20"/>
              </w:rPr>
              <w:t>Consentimiento informado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30B315" w14:textId="77777777" w:rsidR="0093415A" w:rsidRDefault="00000000">
            <w:r>
              <w:rPr>
                <w:sz w:val="20"/>
                <w:szCs w:val="20"/>
              </w:rPr>
              <w:t>Antes de cada prueba el conductor ve un texto que explica qué se evalúa, para qué, quién es el responsable y cuáles son sus derechos. El texto está versionado para poder probar en cualquier momento qué se comunicó.</w:t>
            </w:r>
          </w:p>
        </w:tc>
      </w:tr>
      <w:tr w:rsidR="0093415A" w14:paraId="4368C14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FB08C56" w14:textId="77777777" w:rsidR="0093415A" w:rsidRDefault="00000000">
            <w:r>
              <w:rPr>
                <w:sz w:val="20"/>
                <w:szCs w:val="20"/>
              </w:rPr>
              <w:t>Derecho de acceso</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3049F86" w14:textId="77777777" w:rsidR="0093415A" w:rsidRDefault="00000000">
            <w:r>
              <w:rPr>
                <w:sz w:val="20"/>
                <w:szCs w:val="20"/>
              </w:rPr>
              <w:t>El conductor puede consultar su historial completo de chequeos desde su perfil.</w:t>
            </w:r>
          </w:p>
        </w:tc>
      </w:tr>
      <w:tr w:rsidR="0093415A" w14:paraId="332165C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CAB1D5" w14:textId="77777777" w:rsidR="0093415A" w:rsidRDefault="00000000">
            <w:r>
              <w:rPr>
                <w:sz w:val="20"/>
                <w:szCs w:val="20"/>
              </w:rPr>
              <w:t>Derecho de supresión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14FC58" w14:textId="77777777" w:rsidR="0093415A" w:rsidRDefault="00000000">
            <w:r>
              <w:rPr>
                <w:sz w:val="20"/>
                <w:szCs w:val="20"/>
              </w:rPr>
              <w:t>El conductor puede solicitar la eliminación de todos sus registros de fatiga.</w:t>
            </w:r>
          </w:p>
        </w:tc>
      </w:tr>
      <w:tr w:rsidR="0093415A" w14:paraId="7E670EA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34A6AC5" w14:textId="77777777" w:rsidR="0093415A" w:rsidRDefault="00000000">
            <w:r>
              <w:rPr>
                <w:sz w:val="20"/>
                <w:szCs w:val="20"/>
              </w:rPr>
              <w:t>Derecho de revocación</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8EEDB7C" w14:textId="77777777" w:rsidR="0093415A" w:rsidRDefault="00000000">
            <w:r>
              <w:rPr>
                <w:sz w:val="20"/>
                <w:szCs w:val="20"/>
              </w:rPr>
              <w:t>El conductor puede revocar el consentimiento en cualquier momento.</w:t>
            </w:r>
          </w:p>
        </w:tc>
      </w:tr>
      <w:tr w:rsidR="0093415A" w14:paraId="7BB2003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AAA23E" w14:textId="77777777" w:rsidR="0093415A" w:rsidRDefault="00000000">
            <w:r>
              <w:rPr>
                <w:sz w:val="20"/>
                <w:szCs w:val="20"/>
              </w:rPr>
              <w:t>Auditoría completa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1F028E" w14:textId="77777777" w:rsidR="0093415A" w:rsidRDefault="00000000">
            <w:r>
              <w:rPr>
                <w:sz w:val="20"/>
                <w:szCs w:val="20"/>
              </w:rPr>
              <w:t>Cada acción queda registrada: quién dio consentimiento, cuándo se realizó cada prueba, quién liberó un bloqueo y con qué justificación.</w:t>
            </w:r>
          </w:p>
        </w:tc>
      </w:tr>
    </w:tbl>
    <w:p w14:paraId="76BF16EB" w14:textId="77777777" w:rsidR="0093415A" w:rsidRDefault="0093415A">
      <w:pPr>
        <w:spacing w:after="240"/>
      </w:pPr>
    </w:p>
    <w:p w14:paraId="1BDF2697" w14:textId="77777777" w:rsidR="0093415A" w:rsidRDefault="00000000">
      <w:pPr>
        <w:pStyle w:val="Ttulo2"/>
        <w:pBdr>
          <w:bottom w:val="single" w:sz="4" w:space="0" w:color="2E75B6"/>
        </w:pBdr>
      </w:pPr>
      <w:r>
        <w:t>Cómo funciona el flujo para el conductor</w:t>
      </w:r>
    </w:p>
    <w:p w14:paraId="5AD83403" w14:textId="77777777" w:rsidR="0093415A" w:rsidRDefault="00000000">
      <w:pPr>
        <w:spacing w:before="80" w:after="140"/>
        <w:jc w:val="both"/>
      </w:pPr>
      <w:r>
        <w:t>El conductor abre la aplicación, ve su ruta asignada y presiona iniciar. En ese momento aparece la pantalla de consentimiento, que explica brevemente el proceso. Si acepta, realiza la prueba. Si el resultado es positivo, la ruta se habilita y sale. Si el resultado es negativo, el sistema bloquea el inicio y notifica automáticamente al supervisor de la sucursal.</w:t>
      </w:r>
    </w:p>
    <w:p w14:paraId="33504A08" w14:textId="77777777" w:rsidR="0093415A" w:rsidRDefault="00000000">
      <w:pPr>
        <w:spacing w:before="80" w:after="140"/>
        <w:jc w:val="both"/>
      </w:pPr>
      <w:r>
        <w:t>Si el supervisor determina que fue un falso positivo, puede liberar la ruta directamente. Si considera que el conductor genuinamente necesita descanso, puede autorizar un período de espera antes de una segunda prueba. Todo esto queda registrado.</w:t>
      </w:r>
    </w:p>
    <w:p w14:paraId="2A34E0CF" w14:textId="77777777" w:rsidR="0093415A" w:rsidRDefault="00000000">
      <w:pPr>
        <w:spacing w:before="80" w:after="140"/>
        <w:jc w:val="both"/>
      </w:pPr>
      <w:r>
        <w:t>Durante la ruta, si el conductor se detiene más de lo previsto, el sistema puede pedirle un segundo chequeo antes de que continúe.</w:t>
      </w:r>
    </w:p>
    <w:p w14:paraId="49A13F1D" w14:textId="77777777" w:rsidR="0093415A" w:rsidRDefault="0093415A">
      <w:pPr>
        <w:spacing w:after="120"/>
      </w:pPr>
    </w:p>
    <w:p w14:paraId="49FF142D" w14:textId="77777777" w:rsidR="0093415A" w:rsidRDefault="00000000">
      <w:pPr>
        <w:pStyle w:val="Ttulo2"/>
        <w:pBdr>
          <w:bottom w:val="single" w:sz="4" w:space="0" w:color="2E75B6"/>
        </w:pBdr>
      </w:pPr>
      <w:r>
        <w:t>Cómo funciona el patrón recurrente</w:t>
      </w:r>
    </w:p>
    <w:p w14:paraId="59B5D79D" w14:textId="77777777" w:rsidR="0093415A" w:rsidRDefault="00000000">
      <w:pPr>
        <w:spacing w:before="80" w:after="140"/>
        <w:jc w:val="both"/>
      </w:pPr>
      <w:r>
        <w:t>Si un conductor acumula varios bloqueos en un período de tiempo determinado, el sistema detecta automáticamente ese patrón y avisa al supervisor. La idea es que un bloqueo puntual puede ser casualidad, pero un patrón repetido merece una conversación sobre el bienestar del trabajador o sus condiciones laborales.</w:t>
      </w:r>
    </w:p>
    <w:p w14:paraId="301D9700" w14:textId="77777777" w:rsidR="0093415A" w:rsidRDefault="00000000">
      <w:pPr>
        <w:spacing w:before="80" w:after="140"/>
        <w:jc w:val="both"/>
      </w:pPr>
      <w:r>
        <w:t>El supervisor puede revisar el patrón, marcarlo como revisado o descartarlo si considera que no es significativo. Esto obliga a que un ser humano —no el sistema— tome la decisión sobre cómo actuar.</w:t>
      </w:r>
    </w:p>
    <w:p w14:paraId="7A36A33A" w14:textId="77777777" w:rsidR="0093415A" w:rsidRDefault="0093415A">
      <w:pPr>
        <w:spacing w:after="120"/>
      </w:pPr>
    </w:p>
    <w:p w14:paraId="1D20EC2C" w14:textId="77777777" w:rsidR="0093415A" w:rsidRDefault="00000000">
      <w:pPr>
        <w:pStyle w:val="Ttulo2"/>
        <w:pBdr>
          <w:bottom w:val="single" w:sz="4" w:space="0" w:color="2E75B6"/>
        </w:pBdr>
      </w:pPr>
      <w:r>
        <w:t>Riesgos que el sistema solo no puede resolver</w:t>
      </w:r>
    </w:p>
    <w:p w14:paraId="13111074" w14:textId="77777777" w:rsidR="0093415A" w:rsidRDefault="00000000">
      <w:pPr>
        <w:spacing w:before="80" w:after="140"/>
        <w:jc w:val="both"/>
      </w:pPr>
      <w:r>
        <w:lastRenderedPageBreak/>
        <w:t>El sistema está construido para cumplir la ley en lo que corresponde a la tecnología. Pero hay riesgos que requieren decisiones de la organización, no del software:</w:t>
      </w:r>
    </w:p>
    <w:p w14:paraId="10B0FC06" w14:textId="77777777" w:rsidR="0093415A" w:rsidRDefault="0093415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4360"/>
      </w:tblGrid>
      <w:tr w:rsidR="0093415A" w14:paraId="7DBDE204"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70C12966" w14:textId="77777777" w:rsidR="0093415A" w:rsidRDefault="00000000">
            <w:r>
              <w:rPr>
                <w:b/>
                <w:bCs/>
                <w:color w:val="FFFFFF"/>
                <w:sz w:val="20"/>
                <w:szCs w:val="20"/>
              </w:rPr>
              <w:t>Riesgo</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D5E293D" w14:textId="77777777" w:rsidR="0093415A" w:rsidRDefault="00000000">
            <w:r>
              <w:rPr>
                <w:b/>
                <w:bCs/>
                <w:color w:val="FFFFFF"/>
                <w:sz w:val="20"/>
                <w:szCs w:val="20"/>
              </w:rPr>
              <w:t>Gravedad</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6060D450" w14:textId="77777777" w:rsidR="0093415A" w:rsidRDefault="00000000">
            <w:r>
              <w:rPr>
                <w:b/>
                <w:bCs/>
                <w:color w:val="FFFFFF"/>
                <w:sz w:val="20"/>
                <w:szCs w:val="20"/>
              </w:rPr>
              <w:t>Qué se necesita</w:t>
            </w:r>
          </w:p>
        </w:tc>
      </w:tr>
      <w:tr w:rsidR="0093415A" w14:paraId="07C02C2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94B54D" w14:textId="77777777" w:rsidR="0093415A" w:rsidRDefault="00000000">
            <w:r>
              <w:rPr>
                <w:sz w:val="20"/>
                <w:szCs w:val="20"/>
              </w:rPr>
              <w:t>Consentimiento laboral no libre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FC42EE" w14:textId="77777777" w:rsidR="0093415A" w:rsidRDefault="00000000">
            <w:r>
              <w:rPr>
                <w:sz w:val="20"/>
                <w:szCs w:val="20"/>
              </w:rPr>
              <w:t>Alta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A09D53" w14:textId="77777777" w:rsidR="0093415A" w:rsidRDefault="00000000">
            <w:r>
              <w:rPr>
                <w:sz w:val="20"/>
                <w:szCs w:val="20"/>
              </w:rPr>
              <w:t>Establecer la prueba como condición contractual de aptitud laboral, con asesoramiento legal. No es un cambio técnico sino jurídico.</w:t>
            </w:r>
          </w:p>
        </w:tc>
      </w:tr>
      <w:tr w:rsidR="0093415A" w14:paraId="1B0B58C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26BAEEF" w14:textId="77777777" w:rsidR="0093415A" w:rsidRDefault="00000000">
            <w:r>
              <w:rPr>
                <w:sz w:val="20"/>
                <w:szCs w:val="20"/>
              </w:rPr>
              <w:t>Uso discriminatorio del historial de fatiga</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822F8F1" w14:textId="77777777" w:rsidR="0093415A" w:rsidRDefault="00000000">
            <w:r>
              <w:rPr>
                <w:sz w:val="20"/>
                <w:szCs w:val="20"/>
              </w:rPr>
              <w:t>Alta</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0B5019A" w14:textId="77777777" w:rsidR="0093415A" w:rsidRDefault="00000000">
            <w:r>
              <w:rPr>
                <w:sz w:val="20"/>
                <w:szCs w:val="20"/>
              </w:rPr>
              <w:t>Definir en política interna que los datos de fatiga no pueden usarse en decisiones de empleo. El sistema fue diseñado con una sola finalidad: seguridad vial.</w:t>
            </w:r>
          </w:p>
        </w:tc>
      </w:tr>
      <w:tr w:rsidR="0093415A" w14:paraId="2CC08DC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5A5A83" w14:textId="77777777" w:rsidR="0093415A" w:rsidRDefault="00000000">
            <w:r>
              <w:rPr>
                <w:sz w:val="20"/>
                <w:szCs w:val="20"/>
              </w:rPr>
              <w:t>Transferencia internacional de datos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4F033F" w14:textId="77777777" w:rsidR="0093415A" w:rsidRDefault="00000000">
            <w:r>
              <w:rPr>
                <w:sz w:val="20"/>
                <w:szCs w:val="20"/>
              </w:rPr>
              <w:t>Alta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3C4F72" w14:textId="77777777" w:rsidR="0093415A" w:rsidRDefault="00000000">
            <w:r>
              <w:rPr>
                <w:sz w:val="20"/>
                <w:szCs w:val="20"/>
              </w:rPr>
              <w:t>Firmar un acuerdo de procesamiento de datos con el proveedor de la base de datos y con el proveedor externo de transcripción de voz (STT), o migrar a infraestructura en Argentina o en un país con protección equivalente.</w:t>
            </w:r>
          </w:p>
        </w:tc>
      </w:tr>
      <w:tr w:rsidR="0093415A" w14:paraId="19FB411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20CAC97" w14:textId="77777777" w:rsidR="0093415A" w:rsidRDefault="00000000">
            <w:r>
              <w:rPr>
                <w:sz w:val="20"/>
                <w:szCs w:val="20"/>
              </w:rPr>
              <w:t>Sin plazo de respuesta para revisar bloqueos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B4602C1" w14:textId="77777777" w:rsidR="0093415A" w:rsidRDefault="00000000">
            <w:r>
              <w:rPr>
                <w:sz w:val="20"/>
                <w:szCs w:val="20"/>
              </w:rPr>
              <w:t>Media</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7E4A783" w14:textId="77777777" w:rsidR="0093415A" w:rsidRDefault="00000000">
            <w:r>
              <w:rPr>
                <w:sz w:val="20"/>
                <w:szCs w:val="20"/>
              </w:rPr>
              <w:t>Definir un tiempo máximo en que el supervisor debe resolver un bloqueo para no afectar desproporcionadamente al conductor.</w:t>
            </w:r>
          </w:p>
        </w:tc>
      </w:tr>
    </w:tbl>
    <w:p w14:paraId="56FD6DAB" w14:textId="77777777" w:rsidR="0093415A" w:rsidRDefault="0093415A">
      <w:pPr>
        <w:spacing w:after="240"/>
      </w:pPr>
    </w:p>
    <w:p w14:paraId="53651030" w14:textId="77777777" w:rsidR="0093415A" w:rsidRDefault="00000000">
      <w:pPr>
        <w:pStyle w:val="Ttulo2"/>
        <w:pBdr>
          <w:bottom w:val="single" w:sz="4" w:space="0" w:color="2E75B6"/>
        </w:pBdr>
      </w:pPr>
      <w:r>
        <w:t>Balance final</w:t>
      </w:r>
    </w:p>
    <w:p w14:paraId="672ADDD2" w14:textId="77777777" w:rsidR="0093415A" w:rsidRDefault="0093415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415A" w14:paraId="54FAA2F4" w14:textId="77777777">
        <w:tblPrEx>
          <w:tblCellMar>
            <w:top w:w="0" w:type="dxa"/>
            <w:bottom w:w="0" w:type="dxa"/>
          </w:tblCellMar>
        </w:tblPrEx>
        <w:tc>
          <w:tcPr>
            <w:tcW w:w="9360" w:type="dxa"/>
            <w:tcBorders>
              <w:top w:val="none" w:sz="0" w:space="0" w:color="FFFFFF"/>
              <w:left w:val="single" w:sz="24" w:space="0" w:color="2E75B6"/>
              <w:bottom w:val="none" w:sz="0" w:space="0" w:color="FFFFFF"/>
              <w:right w:val="none" w:sz="0" w:space="0" w:color="FFFFFF"/>
            </w:tcBorders>
            <w:shd w:val="clear" w:color="auto" w:fill="D5E8F0"/>
            <w:tcMar>
              <w:top w:w="120" w:type="dxa"/>
              <w:left w:w="200" w:type="dxa"/>
              <w:bottom w:w="120" w:type="dxa"/>
              <w:right w:w="200" w:type="dxa"/>
            </w:tcMar>
          </w:tcPr>
          <w:p w14:paraId="728CC011" w14:textId="77777777" w:rsidR="0093415A" w:rsidRDefault="00000000">
            <w:pPr>
              <w:spacing w:after="60"/>
            </w:pPr>
            <w:r>
              <w:rPr>
                <w:b/>
                <w:bCs/>
                <w:color w:val="1F3864"/>
              </w:rPr>
              <w:t>¿Cómo se posiciona LogiTrack?</w:t>
            </w:r>
          </w:p>
          <w:p w14:paraId="1CB132E8" w14:textId="77777777" w:rsidR="0093415A" w:rsidRDefault="00000000">
            <w:r>
              <w:rPr>
                <w:sz w:val="21"/>
                <w:szCs w:val="21"/>
              </w:rPr>
              <w:t>El Ojo de Patrón resuelve bien el problema de seguridad que lo motivó y fue diseñado con la ley como restricción real, no como una lista de chequeo. El sistema no guarda más de lo necesario, protege los derechos del titular y deja trazabilidad de cada decisión.</w:t>
            </w:r>
          </w:p>
        </w:tc>
      </w:tr>
    </w:tbl>
    <w:p w14:paraId="2E4A5F15" w14:textId="77777777" w:rsidR="0093415A" w:rsidRDefault="0093415A">
      <w:pPr>
        <w:spacing w:after="120"/>
      </w:pPr>
    </w:p>
    <w:p w14:paraId="762E6671" w14:textId="77777777" w:rsidR="0093415A" w:rsidRDefault="00000000">
      <w:pPr>
        <w:spacing w:before="80" w:after="140"/>
        <w:jc w:val="both"/>
      </w:pPr>
      <w:r>
        <w:t>Los riesgos que quedan abiertos no son fallas del sistema: son tensiones propias de supervisar el estado físico de los trabajadores en cualquier contexto, y su resolución depende de decisiones organizacionales y legales que van más allá del software.</w:t>
      </w:r>
    </w:p>
    <w:p w14:paraId="6D1CF7A2" w14:textId="77777777" w:rsidR="0093415A" w:rsidRDefault="00000000">
      <w:pPr>
        <w:spacing w:before="80" w:after="140"/>
        <w:jc w:val="both"/>
      </w:pPr>
      <w:r>
        <w:t>La recomendación es abordar los tres riesgos residuales —el consentimiento contractual, la política de uso de datos y el acuerdo con el proveedor de infraestructura— como tareas paralelas al desarrollo, con el apoyo del área legal de la organización. Sin esos tres elementos, el sistema es técnicamente correcto pero jurídicamente incompleto.</w:t>
      </w:r>
    </w:p>
    <w:p w14:paraId="0B54E1FD" w14:textId="77777777" w:rsidR="0093415A" w:rsidRDefault="0093415A">
      <w:pPr>
        <w:spacing w:after="240"/>
      </w:pPr>
    </w:p>
    <w:sectPr w:rsidR="0093415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C723D" w14:textId="77777777" w:rsidR="004513AC" w:rsidRDefault="004513AC">
      <w:r>
        <w:separator/>
      </w:r>
    </w:p>
  </w:endnote>
  <w:endnote w:type="continuationSeparator" w:id="0">
    <w:p w14:paraId="2386904E" w14:textId="77777777" w:rsidR="004513AC" w:rsidRDefault="004513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9C052" w14:textId="77777777" w:rsidR="0093415A" w:rsidRDefault="00000000">
    <w:pPr>
      <w:pBdr>
        <w:top w:val="single" w:sz="4" w:space="0" w:color="2E75B6"/>
      </w:pBdr>
      <w:spacing w:before="100"/>
      <w:jc w:val="right"/>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DD3AD6">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DD3AD6">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2671D" w14:textId="77777777" w:rsidR="004513AC" w:rsidRDefault="004513AC">
      <w:r>
        <w:separator/>
      </w:r>
    </w:p>
  </w:footnote>
  <w:footnote w:type="continuationSeparator" w:id="0">
    <w:p w14:paraId="762E26C8" w14:textId="77777777" w:rsidR="004513AC" w:rsidRDefault="004513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EA2E1" w14:textId="77777777" w:rsidR="0093415A" w:rsidRDefault="00000000">
    <w:pPr>
      <w:pBdr>
        <w:bottom w:val="single" w:sz="4" w:space="0" w:color="2E75B6"/>
      </w:pBdr>
      <w:spacing w:after="120"/>
    </w:pPr>
    <w:r>
      <w:rPr>
        <w:sz w:val="18"/>
        <w:szCs w:val="18"/>
      </w:rPr>
      <w:t>LogiTrack-G2  —  Dilema ético: Ojo de Patrón y Ley 25.326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6B83"/>
    <w:multiLevelType w:val="hybridMultilevel"/>
    <w:tmpl w:val="79A8AED0"/>
    <w:lvl w:ilvl="0" w:tplc="D968EAFA">
      <w:start w:val="1"/>
      <w:numFmt w:val="bullet"/>
      <w:lvlText w:val="•"/>
      <w:lvlJc w:val="left"/>
      <w:pPr>
        <w:ind w:left="720" w:hanging="360"/>
      </w:pPr>
    </w:lvl>
    <w:lvl w:ilvl="1" w:tplc="010A59CA">
      <w:numFmt w:val="decimal"/>
      <w:lvlText w:val=""/>
      <w:lvlJc w:val="left"/>
    </w:lvl>
    <w:lvl w:ilvl="2" w:tplc="232EEAC0">
      <w:numFmt w:val="decimal"/>
      <w:lvlText w:val=""/>
      <w:lvlJc w:val="left"/>
    </w:lvl>
    <w:lvl w:ilvl="3" w:tplc="75A005EA">
      <w:numFmt w:val="decimal"/>
      <w:lvlText w:val=""/>
      <w:lvlJc w:val="left"/>
    </w:lvl>
    <w:lvl w:ilvl="4" w:tplc="37A87A0C">
      <w:numFmt w:val="decimal"/>
      <w:lvlText w:val=""/>
      <w:lvlJc w:val="left"/>
    </w:lvl>
    <w:lvl w:ilvl="5" w:tplc="B77A6C08">
      <w:numFmt w:val="decimal"/>
      <w:lvlText w:val=""/>
      <w:lvlJc w:val="left"/>
    </w:lvl>
    <w:lvl w:ilvl="6" w:tplc="F3407DF0">
      <w:numFmt w:val="decimal"/>
      <w:lvlText w:val=""/>
      <w:lvlJc w:val="left"/>
    </w:lvl>
    <w:lvl w:ilvl="7" w:tplc="014610EC">
      <w:numFmt w:val="decimal"/>
      <w:lvlText w:val=""/>
      <w:lvlJc w:val="left"/>
    </w:lvl>
    <w:lvl w:ilvl="8" w:tplc="7CB47EE6">
      <w:numFmt w:val="decimal"/>
      <w:lvlText w:val=""/>
      <w:lvlJc w:val="left"/>
    </w:lvl>
  </w:abstractNum>
  <w:abstractNum w:abstractNumId="1" w15:restartNumberingAfterBreak="0">
    <w:nsid w:val="61E84A82"/>
    <w:multiLevelType w:val="hybridMultilevel"/>
    <w:tmpl w:val="C090F2AC"/>
    <w:lvl w:ilvl="0" w:tplc="47EEF976">
      <w:start w:val="1"/>
      <w:numFmt w:val="bullet"/>
      <w:lvlText w:val="●"/>
      <w:lvlJc w:val="left"/>
      <w:pPr>
        <w:ind w:left="720" w:hanging="360"/>
      </w:pPr>
    </w:lvl>
    <w:lvl w:ilvl="1" w:tplc="D382C9D2">
      <w:start w:val="1"/>
      <w:numFmt w:val="bullet"/>
      <w:lvlText w:val="○"/>
      <w:lvlJc w:val="left"/>
      <w:pPr>
        <w:ind w:left="1440" w:hanging="360"/>
      </w:pPr>
    </w:lvl>
    <w:lvl w:ilvl="2" w:tplc="F69A2040">
      <w:start w:val="1"/>
      <w:numFmt w:val="bullet"/>
      <w:lvlText w:val="■"/>
      <w:lvlJc w:val="left"/>
      <w:pPr>
        <w:ind w:left="2160" w:hanging="360"/>
      </w:pPr>
    </w:lvl>
    <w:lvl w:ilvl="3" w:tplc="AA6C66A6">
      <w:start w:val="1"/>
      <w:numFmt w:val="bullet"/>
      <w:lvlText w:val="●"/>
      <w:lvlJc w:val="left"/>
      <w:pPr>
        <w:ind w:left="2880" w:hanging="360"/>
      </w:pPr>
    </w:lvl>
    <w:lvl w:ilvl="4" w:tplc="8AAEA2A0">
      <w:start w:val="1"/>
      <w:numFmt w:val="bullet"/>
      <w:lvlText w:val="○"/>
      <w:lvlJc w:val="left"/>
      <w:pPr>
        <w:ind w:left="3600" w:hanging="360"/>
      </w:pPr>
    </w:lvl>
    <w:lvl w:ilvl="5" w:tplc="72DA8B88">
      <w:start w:val="1"/>
      <w:numFmt w:val="bullet"/>
      <w:lvlText w:val="■"/>
      <w:lvlJc w:val="left"/>
      <w:pPr>
        <w:ind w:left="4320" w:hanging="360"/>
      </w:pPr>
    </w:lvl>
    <w:lvl w:ilvl="6" w:tplc="81066924">
      <w:start w:val="1"/>
      <w:numFmt w:val="bullet"/>
      <w:lvlText w:val="●"/>
      <w:lvlJc w:val="left"/>
      <w:pPr>
        <w:ind w:left="5040" w:hanging="360"/>
      </w:pPr>
    </w:lvl>
    <w:lvl w:ilvl="7" w:tplc="29C4A564">
      <w:start w:val="1"/>
      <w:numFmt w:val="bullet"/>
      <w:lvlText w:val="●"/>
      <w:lvlJc w:val="left"/>
      <w:pPr>
        <w:ind w:left="5760" w:hanging="360"/>
      </w:pPr>
    </w:lvl>
    <w:lvl w:ilvl="8" w:tplc="75467090">
      <w:start w:val="1"/>
      <w:numFmt w:val="bullet"/>
      <w:lvlText w:val="●"/>
      <w:lvlJc w:val="left"/>
      <w:pPr>
        <w:ind w:left="6480" w:hanging="360"/>
      </w:pPr>
    </w:lvl>
  </w:abstractNum>
  <w:num w:numId="1" w16cid:durableId="1338921722">
    <w:abstractNumId w:val="1"/>
    <w:lvlOverride w:ilvl="0">
      <w:startOverride w:val="1"/>
    </w:lvlOverride>
  </w:num>
  <w:num w:numId="2" w16cid:durableId="9981944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15A"/>
    <w:rsid w:val="00173648"/>
    <w:rsid w:val="004513AC"/>
    <w:rsid w:val="0093415A"/>
    <w:rsid w:val="00DD3AD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EC388"/>
  <w15:docId w15:val="{0B43142D-6114-481F-8413-CAA3B431B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95959"/>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FFFFFF"/>
      <w:sz w:val="36"/>
      <w:szCs w:val="36"/>
    </w:rPr>
  </w:style>
  <w:style w:type="paragraph" w:styleId="Ttulo2">
    <w:name w:val="heading 2"/>
    <w:uiPriority w:val="9"/>
    <w:unhideWhenUsed/>
    <w:qFormat/>
    <w:pPr>
      <w:spacing w:before="320" w:after="120"/>
      <w:outlineLvl w:val="1"/>
    </w:pPr>
    <w:rPr>
      <w:b/>
      <w:bCs/>
      <w:color w:val="1F3864"/>
      <w:sz w:val="28"/>
      <w:szCs w:val="28"/>
    </w:rPr>
  </w:style>
  <w:style w:type="paragraph" w:styleId="Ttulo3">
    <w:name w:val="heading 3"/>
    <w:uiPriority w:val="9"/>
    <w:semiHidden/>
    <w:unhideWhenUsed/>
    <w:qFormat/>
    <w:pPr>
      <w:spacing w:before="240" w:after="80"/>
      <w:outlineLvl w:val="2"/>
    </w:pPr>
    <w:rPr>
      <w:b/>
      <w:bCs/>
      <w:color w:val="2E75B6"/>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2098</Words>
  <Characters>10994</Characters>
  <Application>Microsoft Office Word</Application>
  <DocSecurity>0</DocSecurity>
  <Lines>249</Lines>
  <Paragraphs>117</Paragraphs>
  <ScaleCrop>false</ScaleCrop>
  <Company/>
  <LinksUpToDate>false</LinksUpToDate>
  <CharactersWithSpaces>12975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 Chappa</cp:lastModifiedBy>
  <cp:revision>2</cp:revision>
  <dcterms:created xsi:type="dcterms:W3CDTF">2026-06-08T19:19:00Z</dcterms:created>
  <dcterms:modified xsi:type="dcterms:W3CDTF">2026-06-08T19:24:00Z</dcterms:modified>
</cp:coreProperties>
</file>