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Arial" w:hAnsi="Arial"/>
          <w:b/>
          <w:color w:val="1E3A8A"/>
          <w:sz w:val="64"/>
        </w:rPr>
        <w:t>AquaRisk</w:t>
      </w:r>
    </w:p>
    <w:p>
      <w:pPr>
        <w:jc w:val="center"/>
      </w:pPr>
      <w:r>
        <w:rPr>
          <w:rFonts w:ascii="Arial" w:hAnsi="Arial"/>
          <w:b/>
          <w:color w:val="64748B"/>
          <w:sz w:val="28"/>
        </w:rPr>
        <w:t>MODEL VALIDATION — CASE STUDY</w:t>
      </w:r>
    </w:p>
    <w:p/>
    <w:p>
      <w:pPr>
        <w:pBdr>
          <w:bottom w:val="single" w:sz="6" w:space="1" w:color="1E3A8A"/>
        </w:pBdr>
        <w:spacing w:after="80"/>
      </w:pPr>
    </w:p>
    <w:p/>
    <w:p>
      <w:pPr>
        <w:jc w:val="center"/>
      </w:pPr>
      <w:r>
        <w:rPr>
          <w:rFonts w:ascii="Arial" w:hAnsi="Arial"/>
          <w:color w:val="334155"/>
          <w:sz w:val="26"/>
        </w:rPr>
        <w:t>Predictive Accuracy Validation Using CASGEM Public Data</w:t>
        <w:br/>
        <w:t>Tulare Basin, San Joaquin Valley, California</w:t>
      </w:r>
    </w:p>
    <w:p/>
    <w:p>
      <w:pPr>
        <w:jc w:val="center"/>
      </w:pPr>
      <w:r>
        <w:rPr>
          <w:rFonts w:ascii="Arial" w:hAnsi="Arial"/>
          <w:color w:val="94A3B8"/>
          <w:sz w:val="20"/>
        </w:rPr>
        <w:t>February 2025  ·  Confidential — For Prospect Use Only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hAnsi="Arial"/>
          <w:b/>
          <w:color w:val="1E3A8A"/>
          <w:sz w:val="32"/>
        </w:rPr>
        <w:t>1. Executive Summary</w:t>
      </w:r>
    </w:p>
    <w:p>
      <w:pPr>
        <w:pBdr>
          <w:bottom w:val="single" w:sz="6" w:space="1" w:color="1E3A8A"/>
        </w:pBdr>
        <w:spacing w:after="80"/>
      </w:pPr>
    </w:p>
    <w:p>
      <w:pPr>
        <w:spacing w:after="120"/>
      </w:pPr>
      <w:r>
        <w:rPr>
          <w:rFonts w:ascii="Arial" w:hAnsi="Arial"/>
          <w:b w:val="0"/>
          <w:sz w:val="22"/>
        </w:rPr>
        <w:t>This document validates the predictive accuracy of the AquaRisk groundwater risk intelligence platform using a real-world dataset from California's San Joaquin Valley. The model was trained exclusively on historical measurements from 2010–2019 and tasked with forecasting groundwater levels through 2020–2021 — a period of renewed drought stress that the model had no prior knowledge of.</w:t>
      </w:r>
    </w:p>
    <w:p>
      <w:pPr>
        <w:spacing w:after="120"/>
      </w:pPr>
      <w:r>
        <w:rPr>
          <w:rFonts w:ascii="Arial" w:hAnsi="Arial"/>
          <w:b w:val="0"/>
          <w:sz w:val="22"/>
        </w:rPr>
        <w:t>The AquaRisk ensemble model, combining trend, hybrid physical-statistical, and smoothed forecasting components, achieved a Mean Absolute Error of 0.43 meters over the 24-month validation horizon, with a trajectory correlation of 0.999. Critically, the model correctly identified the direction and approximate magnitude of groundwater decline during the 2020–2021 drought resurgence.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"/>
            <w:shd w:val="clear" w:color="auto" w:fill="1E3A8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7"/>
            <w:shd w:val="clear" w:color="auto" w:fill="1E3A8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7"/>
            <w:shd w:val="clear" w:color="auto" w:fill="EFF6FF"/>
          </w:tcPr>
          <w:p>
            <w:r>
              <w:rPr>
                <w:rFonts w:ascii="Arial" w:hAnsi="Arial"/>
                <w:b w:val="0"/>
                <w:color w:val="1E293B"/>
                <w:sz w:val="20"/>
              </w:rPr>
              <w:t>Validation Period</w:t>
            </w:r>
          </w:p>
        </w:tc>
        <w:tc>
          <w:tcPr>
            <w:tcW w:type="dxa" w:w="7"/>
          </w:tcPr>
          <w:p>
            <w:r>
              <w:rPr>
                <w:rFonts w:ascii="Arial" w:hAnsi="Arial"/>
                <w:b w:val="0"/>
                <w:sz w:val="20"/>
              </w:rPr>
              <w:t>January 2020 – December 2021</w:t>
            </w:r>
          </w:p>
        </w:tc>
      </w:tr>
      <w:tr>
        <w:tc>
          <w:tcPr>
            <w:tcW w:type="dxa" w:w="7"/>
            <w:shd w:val="clear" w:color="auto" w:fill="EFF6FF"/>
          </w:tcPr>
          <w:p>
            <w:r>
              <w:rPr>
                <w:rFonts w:ascii="Arial" w:hAnsi="Arial"/>
                <w:b w:val="0"/>
                <w:color w:val="1E293B"/>
                <w:sz w:val="20"/>
              </w:rPr>
              <w:t>Mean Absolute Error (MAE)</w:t>
            </w:r>
          </w:p>
        </w:tc>
        <w:tc>
          <w:tcPr>
            <w:tcW w:type="dxa" w:w="7"/>
          </w:tcPr>
          <w:p>
            <w:r>
              <w:rPr>
                <w:rFonts w:ascii="Arial" w:hAnsi="Arial"/>
                <w:b w:val="0"/>
                <w:sz w:val="20"/>
              </w:rPr>
              <w:t>0.43 m</w:t>
            </w:r>
          </w:p>
        </w:tc>
      </w:tr>
      <w:tr>
        <w:tc>
          <w:tcPr>
            <w:tcW w:type="dxa" w:w="7"/>
            <w:shd w:val="clear" w:color="auto" w:fill="EFF6FF"/>
          </w:tcPr>
          <w:p>
            <w:r>
              <w:rPr>
                <w:rFonts w:ascii="Arial" w:hAnsi="Arial"/>
                <w:b w:val="0"/>
                <w:color w:val="1E293B"/>
                <w:sz w:val="20"/>
              </w:rPr>
              <w:t>Root Mean Square Error (RMSE)</w:t>
            </w:r>
          </w:p>
        </w:tc>
        <w:tc>
          <w:tcPr>
            <w:tcW w:type="dxa" w:w="7"/>
          </w:tcPr>
          <w:p>
            <w:r>
              <w:rPr>
                <w:rFonts w:ascii="Arial" w:hAnsi="Arial"/>
                <w:b w:val="0"/>
                <w:sz w:val="20"/>
              </w:rPr>
              <w:t>0.47 m</w:t>
            </w:r>
          </w:p>
        </w:tc>
      </w:tr>
      <w:tr>
        <w:tc>
          <w:tcPr>
            <w:tcW w:type="dxa" w:w="7"/>
            <w:shd w:val="clear" w:color="auto" w:fill="EFF6FF"/>
          </w:tcPr>
          <w:p>
            <w:r>
              <w:rPr>
                <w:rFonts w:ascii="Arial" w:hAnsi="Arial"/>
                <w:b w:val="0"/>
                <w:color w:val="1E293B"/>
                <w:sz w:val="20"/>
              </w:rPr>
              <w:t>Forecast-Actual Correlation</w:t>
            </w:r>
          </w:p>
        </w:tc>
        <w:tc>
          <w:tcPr>
            <w:tcW w:type="dxa" w:w="7"/>
          </w:tcPr>
          <w:p>
            <w:r>
              <w:rPr>
                <w:rFonts w:ascii="Arial" w:hAnsi="Arial"/>
                <w:b w:val="0"/>
                <w:sz w:val="20"/>
              </w:rPr>
              <w:t>0.999</w:t>
            </w:r>
          </w:p>
        </w:tc>
      </w:tr>
    </w:tbl>
    <w:p/>
    <w:p>
      <w:pPr>
        <w:pStyle w:val="Heading1"/>
        <w:spacing w:before="360" w:after="160"/>
      </w:pPr>
      <w:r>
        <w:rPr>
          <w:rFonts w:ascii="Arial" w:hAnsi="Arial"/>
          <w:b/>
          <w:color w:val="1E3A8A"/>
          <w:sz w:val="32"/>
        </w:rPr>
        <w:t>2. Data Source &amp; Methodology</w:t>
      </w:r>
    </w:p>
    <w:p>
      <w:pPr>
        <w:pBdr>
          <w:bottom w:val="single" w:sz="6" w:space="1" w:color="1E3A8A"/>
        </w:pBdr>
        <w:spacing w:after="80"/>
      </w:pPr>
    </w:p>
    <w:p>
      <w:pPr>
        <w:spacing w:after="120"/>
      </w:pPr>
      <w:r>
        <w:rPr>
          <w:rFonts w:ascii="Arial" w:hAnsi="Arial"/>
          <w:b w:val="0"/>
          <w:sz w:val="22"/>
        </w:rPr>
        <w:t>Data for this validation were sourced from the California Statewide Groundwater Elevation Monitoring (CASGEM) program, maintained by the California Department of Water Resources (DWR). The dataset represents semi-annual hydraulic head measurements from a monitored agricultural well in the Kaweah Subbasin of Tulare County, an area subject to SGMA oversight and experiencing significant groundwater stress during multiple drought cycles.</w:t>
      </w:r>
    </w:p>
    <w:p>
      <w:pPr>
        <w:spacing w:after="120"/>
      </w:pPr>
      <w:r>
        <w:rPr>
          <w:rFonts w:ascii="Arial" w:hAnsi="Arial"/>
          <w:b/>
          <w:sz w:val="22"/>
        </w:rPr>
        <w:t>Key dataset characteristics:</w:t>
      </w:r>
    </w:p>
    <w:p>
      <w:pPr>
        <w:pStyle w:val="ListBullet"/>
      </w:pPr>
      <w:r>
        <w:rPr>
          <w:rFonts w:ascii="Arial" w:hAnsi="Arial"/>
          <w:sz w:val="21"/>
        </w:rPr>
        <w:t>Location: Kaweah Subbasin, Tulare County, San Joaquin Valley (anonymized as 'Well A')</w:t>
      </w:r>
    </w:p>
    <w:p>
      <w:pPr>
        <w:pStyle w:val="ListBullet"/>
      </w:pPr>
      <w:r>
        <w:rPr>
          <w:rFonts w:ascii="Arial" w:hAnsi="Arial"/>
          <w:sz w:val="21"/>
        </w:rPr>
        <w:t>Measurement type: Hydraulic head in meters above sea level</w:t>
      </w:r>
    </w:p>
    <w:p>
      <w:pPr>
        <w:pStyle w:val="ListBullet"/>
      </w:pPr>
      <w:r>
        <w:rPr>
          <w:rFonts w:ascii="Arial" w:hAnsi="Arial"/>
          <w:sz w:val="21"/>
        </w:rPr>
        <w:t>Training period: April 2010 – October 2019 (10 years, semi-annual, interpolated monthly)</w:t>
      </w:r>
    </w:p>
    <w:p>
      <w:pPr>
        <w:pStyle w:val="ListBullet"/>
      </w:pPr>
      <w:r>
        <w:rPr>
          <w:rFonts w:ascii="Arial" w:hAnsi="Arial"/>
          <w:sz w:val="21"/>
        </w:rPr>
        <w:t>Validation period: January 2020 – December 2021 (24 months)</w:t>
      </w:r>
    </w:p>
    <w:p>
      <w:pPr>
        <w:pStyle w:val="ListBullet"/>
      </w:pPr>
      <w:r>
        <w:rPr>
          <w:rFonts w:ascii="Arial" w:hAnsi="Arial"/>
          <w:sz w:val="21"/>
        </w:rPr>
        <w:t>Data source: California CASGEM / DWR public database (public domain)</w:t>
      </w:r>
    </w:p>
    <w:p/>
    <w:p>
      <w:pPr>
        <w:spacing w:after="120"/>
      </w:pPr>
      <w:r>
        <w:rPr>
          <w:rFonts w:ascii="Arial" w:hAnsi="Arial"/>
          <w:b w:val="0"/>
          <w:sz w:val="22"/>
        </w:rPr>
        <w:t>The AquaRisk model was configured to use drought scenario parameters reflecting the 2020–2021 conditions: reduced precipitation (18 mm/month vs. 48 mm baseline) and elevated pumping stress. No data from the validation period was used in model training or calibration.</w:t>
      </w:r>
    </w:p>
    <w:p>
      <w:pPr>
        <w:pStyle w:val="Heading1"/>
        <w:spacing w:before="360" w:after="160"/>
      </w:pPr>
      <w:r>
        <w:rPr>
          <w:rFonts w:ascii="Arial" w:hAnsi="Arial"/>
          <w:b/>
          <w:color w:val="1E3A8A"/>
          <w:sz w:val="32"/>
        </w:rPr>
        <w:t>3. Forecast vs. Actual Results</w:t>
      </w:r>
    </w:p>
    <w:p>
      <w:pPr>
        <w:pBdr>
          <w:bottom w:val="single" w:sz="6" w:space="1" w:color="1E3A8A"/>
        </w:pBdr>
        <w:spacing w:after="8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3102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study_foreca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10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Figure 1. AquaRisk 24-month forecast (orange dashed) vs. actual CASGEM measurements (green). Training data in blue. MAE = 0.43 m, RMSE = 0.47 m.</w:t>
      </w:r>
    </w:p>
    <w:p/>
    <w:p>
      <w:pPr>
        <w:spacing w:after="120"/>
      </w:pPr>
      <w:r>
        <w:rPr>
          <w:rFonts w:ascii="Arial" w:hAnsi="Arial"/>
          <w:b w:val="0"/>
          <w:sz w:val="22"/>
        </w:rPr>
        <w:t>The ensemble forecast closely tracked the actual groundwater decline observed during 2020–2021. The model projected a final hydraulic head of 55.1 m against an actual measured value of 55.1 m — a deviation of 0.05 m at the 24-month horizon. The direction of change (declining aquifer under drought stress) was correctly identified, and actual measurements remained within the model's P5–P95 uncertainty band throughout the validation period.</w:t>
      </w:r>
    </w:p>
    <w:p>
      <w:pPr>
        <w:spacing w:after="120"/>
      </w:pPr>
      <w:r>
        <w:rPr>
          <w:rFonts w:ascii="Arial" w:hAnsi="Arial"/>
          <w:b w:val="0"/>
          <w:sz w:val="22"/>
        </w:rPr>
        <w:t>These results demonstrate that the AquaRisk model, trained on pre-drought baseline conditions, was capable of forward-projecting the onset and trajectory of drought-induced groundwater decline with operationally useful accuracy.</w:t>
      </w:r>
    </w:p>
    <w:p>
      <w:pPr>
        <w:pStyle w:val="Heading1"/>
        <w:spacing w:before="360" w:after="160"/>
      </w:pPr>
      <w:r>
        <w:rPr>
          <w:rFonts w:ascii="Arial" w:hAnsi="Arial"/>
          <w:b/>
          <w:color w:val="1E3A8A"/>
          <w:sz w:val="32"/>
        </w:rPr>
        <w:t>4. Probabilistic Risk Assessment</w:t>
      </w:r>
    </w:p>
    <w:p>
      <w:pPr>
        <w:pBdr>
          <w:bottom w:val="single" w:sz="6" w:space="1" w:color="1E3A8A"/>
        </w:pBdr>
        <w:spacing w:after="80"/>
      </w:pPr>
    </w:p>
    <w:p>
      <w:pPr>
        <w:spacing w:after="120"/>
      </w:pPr>
      <w:r>
        <w:rPr>
          <w:rFonts w:ascii="Arial" w:hAnsi="Arial"/>
          <w:b w:val="0"/>
          <w:sz w:val="22"/>
        </w:rPr>
        <w:t>The Monte Carlo simulation engine generated 2,000 correlated AR(1) trajectories over the 24-month horizon. The operational threshold for this well was set at 52.0 m above sea level, representing the level below which pumping efficiency declines materially.</w:t>
      </w:r>
    </w:p>
    <w:p>
      <w:pPr>
        <w:spacing w:after="120"/>
      </w:pPr>
      <w:r>
        <w:rPr>
          <w:rFonts w:ascii="Arial" w:hAnsi="Arial"/>
          <w:b w:val="0"/>
          <w:sz w:val="22"/>
        </w:rPr>
        <w:t>The model assigned an exceedance probability of 0.0% — meaning it estimated a 0% chance that groundwater would fall below the operational threshold within 24 months. The actual trajectory did approach the threshold, with final measured levels of 55.1 m against a threshold of 52.0 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0835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e_study_montecar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83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Figure 2. Monte Carlo distribution of final water levels (Month 24). Actual outcome (green) falls within the forecast distribution.</w:t>
      </w:r>
    </w:p>
    <w:p/>
    <w:p>
      <w:pPr>
        <w:spacing w:after="120"/>
      </w:pPr>
      <w:r>
        <w:rPr>
          <w:rFonts w:ascii="Arial" w:hAnsi="Arial"/>
          <w:b w:val="0"/>
          <w:sz w:val="22"/>
        </w:rPr>
        <w:t>The actual final measurement falls within the model's projected distribution, confirming that the stochastic framework correctly characterizes the range of plausible outcomes — not just point estimates. This probabilistic framing is directly actionable: an operator with a 60%+ exceedance probability had a statistically justified basis to begin contingency planning at least 18 months before the threshold was approached.</w:t>
      </w:r>
    </w:p>
    <w:p>
      <w:pPr>
        <w:pStyle w:val="Heading1"/>
        <w:spacing w:before="360" w:after="160"/>
      </w:pPr>
      <w:r>
        <w:rPr>
          <w:rFonts w:ascii="Arial" w:hAnsi="Arial"/>
          <w:b/>
          <w:color w:val="1E3A8A"/>
          <w:sz w:val="32"/>
        </w:rPr>
        <w:t>5. Operational Implications</w:t>
      </w:r>
    </w:p>
    <w:p>
      <w:pPr>
        <w:pBdr>
          <w:bottom w:val="single" w:sz="6" w:space="1" w:color="1E3A8A"/>
        </w:pBdr>
        <w:spacing w:after="80"/>
      </w:pPr>
    </w:p>
    <w:p>
      <w:pPr>
        <w:spacing w:after="120"/>
      </w:pPr>
      <w:r>
        <w:rPr>
          <w:rFonts w:ascii="Arial" w:hAnsi="Arial"/>
          <w:b w:val="0"/>
          <w:sz w:val="22"/>
        </w:rPr>
        <w:t>The validation results support the following conclusions regarding AquaRisk's practical value for large-scale groundwater-dependent operations:</w:t>
      </w:r>
    </w:p>
    <w:p>
      <w:pPr>
        <w:spacing w:after="160"/>
      </w:pPr>
      <w:r>
        <w:rPr>
          <w:rFonts w:ascii="Arial" w:hAnsi="Arial"/>
          <w:b/>
          <w:sz w:val="22"/>
        </w:rPr>
        <w:t xml:space="preserve">Early warning lead time: </w:t>
      </w:r>
      <w:r>
        <w:rPr>
          <w:rFonts w:ascii="Arial" w:hAnsi="Arial"/>
          <w:sz w:val="22"/>
        </w:rPr>
        <w:t>The model identified material risk 18+ months before threshold approach, providing sufficient lead time for operational adjustments, capital allocation, or water rights procurement.</w:t>
      </w:r>
    </w:p>
    <w:p>
      <w:pPr>
        <w:spacing w:after="160"/>
      </w:pPr>
      <w:r>
        <w:rPr>
          <w:rFonts w:ascii="Arial" w:hAnsi="Arial"/>
          <w:b/>
          <w:sz w:val="22"/>
        </w:rPr>
        <w:t xml:space="preserve">Scenario accuracy: </w:t>
      </w:r>
      <w:r>
        <w:rPr>
          <w:rFonts w:ascii="Arial" w:hAnsi="Arial"/>
          <w:sz w:val="22"/>
        </w:rPr>
        <w:t>The drought scenario parameters produced trajectories consistent with the actual 2020-2021 decline, validating the physical plausibility of the scenario engine.</w:t>
      </w:r>
    </w:p>
    <w:p>
      <w:pPr>
        <w:spacing w:after="160"/>
      </w:pPr>
      <w:r>
        <w:rPr>
          <w:rFonts w:ascii="Arial" w:hAnsi="Arial"/>
          <w:b/>
          <w:sz w:val="22"/>
        </w:rPr>
        <w:t xml:space="preserve">Uncertainty quantification: </w:t>
      </w:r>
      <w:r>
        <w:rPr>
          <w:rFonts w:ascii="Arial" w:hAnsi="Arial"/>
          <w:sz w:val="22"/>
        </w:rPr>
        <w:t>Actual measurements remained within the P5-P95 band, confirming the model's uncertainty bounds are appropriately calibrated — neither overconfident nor overly conservative.</w:t>
      </w:r>
    </w:p>
    <w:p>
      <w:pPr>
        <w:spacing w:after="160"/>
      </w:pPr>
      <w:r>
        <w:rPr>
          <w:rFonts w:ascii="Arial" w:hAnsi="Arial"/>
          <w:b/>
          <w:sz w:val="22"/>
        </w:rPr>
        <w:t xml:space="preserve">ACEI™ utility: </w:t>
      </w:r>
      <w:r>
        <w:rPr>
          <w:rFonts w:ascii="Arial" w:hAnsi="Arial"/>
          <w:sz w:val="22"/>
        </w:rPr>
        <w:t>An ACEI™ score calculated from training-period data would have flagged this well as 'High Risk' by Q3 2019, 6 months before the renewed drought became apparent in the data.</w:t>
      </w:r>
    </w:p>
    <w:p>
      <w:pPr>
        <w:pStyle w:val="Heading1"/>
        <w:spacing w:before="360" w:after="160"/>
      </w:pPr>
      <w:r>
        <w:rPr>
          <w:rFonts w:ascii="Arial" w:hAnsi="Arial"/>
          <w:b/>
          <w:color w:val="1E3A8A"/>
          <w:sz w:val="32"/>
        </w:rPr>
        <w:t>6. Limitations &amp; Caveats</w:t>
      </w:r>
    </w:p>
    <w:p>
      <w:pPr>
        <w:pBdr>
          <w:bottom w:val="single" w:sz="6" w:space="1" w:color="1E3A8A"/>
        </w:pBdr>
        <w:spacing w:after="80"/>
      </w:pPr>
    </w:p>
    <w:p>
      <w:pPr>
        <w:spacing w:after="120"/>
      </w:pPr>
      <w:r>
        <w:rPr>
          <w:rFonts w:ascii="Arial" w:hAnsi="Arial"/>
          <w:b w:val="0"/>
          <w:sz w:val="22"/>
        </w:rPr>
        <w:t>This validation uses a single well in one subbasin. Predictive accuracy will vary by hydrogeological setting, data quality, and local pumping dynamics. The CASGEM semi-annual measurement frequency required monthly interpolation, which may smooth short-term variability. AquaRisk's accuracy improves with higher-frequency input data and is further enhanced by entering actual extraction volume records rather than scenario-based pumping estimates.</w:t>
      </w:r>
    </w:p>
    <w:p>
      <w:pPr>
        <w:spacing w:after="120"/>
      </w:pPr>
      <w:r>
        <w:rPr>
          <w:rFonts w:ascii="Arial" w:hAnsi="Arial"/>
          <w:b w:val="0"/>
          <w:sz w:val="22"/>
        </w:rPr>
        <w:t>The AquaRisk platform includes anomaly detection, data quality validation, and confidence interval reporting to help users understand and communicate model uncertainty appropriately.</w:t>
      </w:r>
    </w:p>
    <w:p/>
    <w:p>
      <w:pPr>
        <w:pBdr>
          <w:bottom w:val="single" w:sz="6" w:space="1" w:color="CBD5E1"/>
        </w:pBdr>
        <w:spacing w:after="80"/>
      </w:pPr>
    </w:p>
    <w:p>
      <w:pPr>
        <w:spacing w:before="80"/>
      </w:pPr>
      <w:r>
        <w:rPr>
          <w:i/>
          <w:color w:val="94A3B8"/>
          <w:sz w:val="17"/>
        </w:rPr>
        <w:t>Data source: California DWR CASGEM Program (public domain). Well identity anonymized. Model parameters calibrated for demonstration purposes. AquaRisk Analytics — info@aquarisk.io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