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546456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ghffghfgh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ghffg</w:t>
      </w:r>
    </w:p>
    <w:p>
      <w:pPr>
        <w:numPr>
          <w:ilvl w:val="0"/>
          <w:numId w:val="1"/>
        </w:numPr>
      </w:pPr>
      <w:r>
        <w:rPr/>
        <w:t xml:space="preserve">fghfgh</w:t>
      </w:r>
    </w:p>
    <w:p>
      <w:pPr>
        <w:numPr>
          <w:ilvl w:val="0"/>
          <w:numId w:val="1"/>
        </w:numPr>
      </w:pPr>
      <w:r>
        <w:rPr/>
        <w:t xml:space="preserve">fghfg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140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140 folios originales 
                <w:br/>
                 - Memorando Vicepresidencia GPE 67 - 56 folio. 
                <w:br/>
                 - Memorando Contabilidad EAF 6 - 6 folio. 
                <w:br/>
                 - Formato solicitud de baja de activos fijos 07-07.4-F-017-1.0 - v 1 – 66 folio. 
                <w:br/>
                 - Concepto técnico de baja – 6 folios. 
                <w:br/>
                 - Registro fotográfico – 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MAURICIO CAÑÓN GUERRERO
                <w:br/>
                BAIRO RAMÓN MALDONADO RODRÍGUEZ
                <w:br/>
                JORGE PINTO GALEANO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14806
                <w:br/>
                25248
                <w:br/>
                30980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E55B2C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2023-08-11T21:33:51+02:00</dcterms:created>
  <dcterms:modified xsi:type="dcterms:W3CDTF">2023-08-11T21:33:51+02:00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