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9009-12312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ARMANDO LÓPEZ CHAVARRÍO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Bajas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tbl>
      <w:tblGrid>
        <w:gridCol w:w="1500" w:type="dxa"/>
        <w:gridCol w:w="4500" w:type="dxa"/>
        <w:gridCol w:w="1500" w:type="dxa"/>
      </w:tblGrid>
      <w:tblPr>
        <w:tblStyle w:val="estilo3"/>
      </w:tblP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ÍTEM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Baja 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eqweq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124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4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ARMANDO LÓPEZ CHAVARRÍO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4 folios originales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GENARO LOZANO CARRILLO
                <w:br/>
                ESTEBAN GARCÍA HERRERA
                <w:br/>
                OSCAR FRANCISCO GARCÍA FORERO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24953
                <w:br/>
                19611
                <w:br/>
                19795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Gerencia Planta Externa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2023-08-14T07:01:15+02:00</dcterms:created>
  <dcterms:modified xsi:type="dcterms:W3CDTF">2023-08-14T07:01:15+02:00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