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123-9023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EFRAÍN MARTÍNEZ MONROY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ARMANDO LÓPEZ CHAVARRÍO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dfasda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VT040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p>
      <w:pPr>
        <w:numPr>
          <w:ilvl w:val="0"/>
          <w:numId w:val="1"/>
        </w:numPr>
      </w:pPr>
      <w:r>
        <w:rPr/>
        <w:t xml:space="preserve">1</w:t>
      </w:r>
    </w:p>
    <w:p>
      <w:pPr>
        <w:numPr>
          <w:ilvl w:val="0"/>
          <w:numId w:val="1"/>
        </w:numPr>
      </w:pPr>
      <w:r>
        <w:rPr/>
        <w:t xml:space="preserve">2</w:t>
      </w:r>
    </w:p>
    <w:p>
      <w:pPr>
        <w:numPr>
          <w:ilvl w:val="0"/>
          <w:numId w:val="1"/>
        </w:numPr>
      </w:pPr>
      <w:r>
        <w:rPr/>
        <w:t xml:space="preserve">3</w:t>
      </w:r>
    </w:p>
    <w:p>
      <w:pPr>
        <w:numPr>
          <w:ilvl w:val="0"/>
          <w:numId w:val="1"/>
        </w:numPr>
      </w:pPr>
      <w:r>
        <w:rPr/>
        <w:t xml:space="preserve">4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4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ARMANDO LÓPEZ CHAVARRÍO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4 folios originales 
                <w:br/>
                 - Memorando Contabilidad EAF 1 - 1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HENRY GÓMEZ GALVIS
                <w:br/>
                ARMANDO LÓPEZ CHAVARRÍO
                <w:br/>
                HENRY GÓMEZ GALVIS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20672
                <w:br/>
                24641
                <w:br/>
                20672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07-07.7-F-025-v.4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11/08/2023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48F065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2023-08-11T19:25:36+02:00</dcterms:created>
  <dcterms:modified xsi:type="dcterms:W3CDTF">2023-08-11T19:25:36+02:00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